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43E0" w:rsidRPr="00A60452" w:rsidRDefault="00AF43E0" w:rsidP="00D8793C">
      <w:pPr>
        <w:pStyle w:val="BodyText"/>
        <w:jc w:val="left"/>
        <w:rPr>
          <w:rFonts w:asciiTheme="majorBidi" w:hAnsiTheme="majorBidi" w:cstheme="majorBidi"/>
          <w:bCs/>
          <w:szCs w:val="22"/>
        </w:rPr>
      </w:pPr>
    </w:p>
    <w:tbl>
      <w:tblPr>
        <w:tblW w:w="12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7"/>
        <w:gridCol w:w="2610"/>
        <w:gridCol w:w="2790"/>
        <w:gridCol w:w="5243"/>
      </w:tblGrid>
      <w:tr w:rsidR="00295C6A" w:rsidRPr="00A60452" w:rsidTr="00BB478A">
        <w:trPr>
          <w:trHeight w:val="690"/>
          <w:tblHeader/>
        </w:trPr>
        <w:tc>
          <w:tcPr>
            <w:tcW w:w="2317" w:type="dxa"/>
          </w:tcPr>
          <w:p w:rsidR="00295C6A" w:rsidRPr="00A60452" w:rsidRDefault="00295C6A" w:rsidP="005D7867">
            <w:pPr>
              <w:jc w:val="center"/>
              <w:rPr>
                <w:rFonts w:asciiTheme="majorBidi" w:hAnsiTheme="majorBidi" w:cstheme="majorBidi"/>
                <w:b/>
                <w:szCs w:val="22"/>
              </w:rPr>
            </w:pPr>
            <w:r>
              <w:rPr>
                <w:rFonts w:asciiTheme="majorBidi" w:hAnsiTheme="majorBidi" w:cstheme="majorBidi"/>
                <w:b/>
                <w:szCs w:val="22"/>
              </w:rPr>
              <w:t>Subsector</w:t>
            </w:r>
          </w:p>
        </w:tc>
        <w:tc>
          <w:tcPr>
            <w:tcW w:w="2610" w:type="dxa"/>
          </w:tcPr>
          <w:p w:rsidR="00295C6A" w:rsidRPr="001E7F93" w:rsidRDefault="00295C6A" w:rsidP="005D7867">
            <w:pPr>
              <w:jc w:val="center"/>
              <w:rPr>
                <w:rFonts w:asciiTheme="majorBidi" w:hAnsiTheme="majorBidi" w:cstheme="majorBidi"/>
                <w:b/>
                <w:szCs w:val="22"/>
              </w:rPr>
            </w:pPr>
            <w:r w:rsidRPr="001E7F93">
              <w:rPr>
                <w:rFonts w:asciiTheme="majorBidi" w:hAnsiTheme="majorBidi" w:cstheme="majorBidi"/>
                <w:b/>
                <w:szCs w:val="22"/>
              </w:rPr>
              <w:t xml:space="preserve">Generic </w:t>
            </w:r>
            <w:r w:rsidR="00493095">
              <w:rPr>
                <w:rFonts w:asciiTheme="majorBidi" w:hAnsiTheme="majorBidi" w:cstheme="majorBidi"/>
                <w:b/>
                <w:szCs w:val="22"/>
              </w:rPr>
              <w:t>e</w:t>
            </w:r>
            <w:r w:rsidR="00493095" w:rsidRPr="001E7F93">
              <w:rPr>
                <w:rFonts w:asciiTheme="majorBidi" w:hAnsiTheme="majorBidi" w:cstheme="majorBidi"/>
                <w:b/>
                <w:szCs w:val="22"/>
              </w:rPr>
              <w:t>xamples</w:t>
            </w:r>
          </w:p>
        </w:tc>
        <w:tc>
          <w:tcPr>
            <w:tcW w:w="2790" w:type="dxa"/>
            <w:tcBorders>
              <w:bottom w:val="single" w:sz="4" w:space="0" w:color="auto"/>
            </w:tcBorders>
          </w:tcPr>
          <w:p w:rsidR="00295C6A" w:rsidRPr="00A60452" w:rsidRDefault="00295C6A" w:rsidP="005D7867">
            <w:pPr>
              <w:jc w:val="center"/>
              <w:rPr>
                <w:rFonts w:asciiTheme="majorBidi" w:hAnsiTheme="majorBidi" w:cstheme="majorBidi"/>
                <w:b/>
                <w:szCs w:val="22"/>
              </w:rPr>
            </w:pPr>
            <w:r>
              <w:rPr>
                <w:rFonts w:asciiTheme="majorBidi" w:hAnsiTheme="majorBidi" w:cstheme="majorBidi"/>
                <w:b/>
                <w:szCs w:val="22"/>
              </w:rPr>
              <w:t>Examples of</w:t>
            </w:r>
            <w:r w:rsidR="00121FA2">
              <w:rPr>
                <w:rFonts w:asciiTheme="majorBidi" w:hAnsiTheme="majorBidi" w:cstheme="majorBidi"/>
                <w:b/>
                <w:szCs w:val="22"/>
              </w:rPr>
              <w:t xml:space="preserve"> financial</w:t>
            </w:r>
            <w:r>
              <w:rPr>
                <w:rFonts w:asciiTheme="majorBidi" w:hAnsiTheme="majorBidi" w:cstheme="majorBidi"/>
                <w:b/>
                <w:szCs w:val="22"/>
              </w:rPr>
              <w:t xml:space="preserve"> </w:t>
            </w:r>
            <w:r w:rsidR="0024132B">
              <w:rPr>
                <w:rFonts w:asciiTheme="majorBidi" w:hAnsiTheme="majorBidi" w:cstheme="majorBidi"/>
                <w:b/>
                <w:szCs w:val="22"/>
              </w:rPr>
              <w:t>s</w:t>
            </w:r>
            <w:r>
              <w:rPr>
                <w:rFonts w:asciiTheme="majorBidi" w:hAnsiTheme="majorBidi" w:cstheme="majorBidi"/>
                <w:b/>
                <w:szCs w:val="22"/>
              </w:rPr>
              <w:t>ervices provided</w:t>
            </w:r>
          </w:p>
        </w:tc>
        <w:tc>
          <w:tcPr>
            <w:tcW w:w="5243" w:type="dxa"/>
            <w:tcBorders>
              <w:bottom w:val="single" w:sz="4" w:space="0" w:color="auto"/>
            </w:tcBorders>
          </w:tcPr>
          <w:p w:rsidR="00295C6A" w:rsidRPr="00A60452" w:rsidRDefault="00611653" w:rsidP="005D7867">
            <w:pPr>
              <w:jc w:val="center"/>
              <w:rPr>
                <w:rFonts w:asciiTheme="majorBidi" w:hAnsiTheme="majorBidi" w:cstheme="majorBidi"/>
                <w:b/>
                <w:szCs w:val="22"/>
              </w:rPr>
            </w:pPr>
            <w:r>
              <w:rPr>
                <w:rFonts w:asciiTheme="majorBidi" w:hAnsiTheme="majorBidi" w:cstheme="majorBidi"/>
                <w:b/>
                <w:szCs w:val="22"/>
              </w:rPr>
              <w:t>Proposed m</w:t>
            </w:r>
            <w:r w:rsidR="00295C6A">
              <w:rPr>
                <w:rFonts w:asciiTheme="majorBidi" w:hAnsiTheme="majorBidi" w:cstheme="majorBidi"/>
                <w:b/>
                <w:szCs w:val="22"/>
              </w:rPr>
              <w:t xml:space="preserve">ethod to </w:t>
            </w:r>
            <w:r>
              <w:rPr>
                <w:rFonts w:asciiTheme="majorBidi" w:hAnsiTheme="majorBidi" w:cstheme="majorBidi"/>
                <w:b/>
                <w:szCs w:val="22"/>
              </w:rPr>
              <w:t>calculate</w:t>
            </w:r>
            <w:r w:rsidR="00295C6A">
              <w:rPr>
                <w:rFonts w:asciiTheme="majorBidi" w:hAnsiTheme="majorBidi" w:cstheme="majorBidi"/>
                <w:b/>
                <w:szCs w:val="22"/>
              </w:rPr>
              <w:t xml:space="preserve"> </w:t>
            </w:r>
            <w:r w:rsidR="00493095">
              <w:rPr>
                <w:rFonts w:asciiTheme="majorBidi" w:hAnsiTheme="majorBidi" w:cstheme="majorBidi"/>
                <w:b/>
                <w:szCs w:val="22"/>
              </w:rPr>
              <w:t>output</w:t>
            </w:r>
          </w:p>
        </w:tc>
      </w:tr>
      <w:tr w:rsidR="002148B3" w:rsidRPr="00A60452" w:rsidTr="00BB478A">
        <w:tblPrEx>
          <w:tblLook w:val="01E0" w:firstRow="1" w:lastRow="1" w:firstColumn="1" w:lastColumn="1" w:noHBand="0" w:noVBand="0"/>
        </w:tblPrEx>
        <w:trPr>
          <w:trHeight w:val="255"/>
        </w:trPr>
        <w:tc>
          <w:tcPr>
            <w:tcW w:w="2317" w:type="dxa"/>
            <w:vMerge w:val="restart"/>
          </w:tcPr>
          <w:p w:rsidR="002148B3" w:rsidRPr="00A60452" w:rsidRDefault="002148B3" w:rsidP="000E6EA7">
            <w:pPr>
              <w:jc w:val="left"/>
              <w:rPr>
                <w:rFonts w:asciiTheme="majorBidi" w:hAnsiTheme="majorBidi" w:cstheme="majorBidi"/>
                <w:bCs/>
                <w:szCs w:val="22"/>
              </w:rPr>
            </w:pPr>
            <w:r>
              <w:rPr>
                <w:rFonts w:asciiTheme="majorBidi" w:hAnsiTheme="majorBidi" w:cstheme="majorBidi"/>
                <w:bCs/>
                <w:szCs w:val="22"/>
              </w:rPr>
              <w:t>Central Bank (S121)</w:t>
            </w:r>
          </w:p>
        </w:tc>
        <w:tc>
          <w:tcPr>
            <w:tcW w:w="2610" w:type="dxa"/>
            <w:vMerge w:val="restart"/>
          </w:tcPr>
          <w:p w:rsidR="002148B3" w:rsidRPr="001E7F93" w:rsidRDefault="002148B3" w:rsidP="003D3AF8">
            <w:pPr>
              <w:autoSpaceDE w:val="0"/>
              <w:autoSpaceDN w:val="0"/>
              <w:adjustRightInd w:val="0"/>
              <w:spacing w:line="240" w:lineRule="atLeast"/>
              <w:jc w:val="left"/>
              <w:rPr>
                <w:rFonts w:asciiTheme="majorBidi" w:hAnsiTheme="majorBidi" w:cstheme="majorBidi"/>
                <w:noProof/>
                <w:szCs w:val="22"/>
                <w:lang w:eastAsia="zh-TW"/>
              </w:rPr>
            </w:pPr>
            <w:r w:rsidRPr="001E7F93">
              <w:rPr>
                <w:rFonts w:asciiTheme="majorBidi" w:hAnsiTheme="majorBidi" w:cstheme="majorBidi"/>
                <w:noProof/>
                <w:szCs w:val="22"/>
                <w:lang w:eastAsia="zh-TW"/>
              </w:rPr>
              <w:t>Central Bank</w:t>
            </w:r>
          </w:p>
          <w:p w:rsidR="002148B3" w:rsidRPr="001E7F93" w:rsidRDefault="002148B3" w:rsidP="003D3AF8">
            <w:pPr>
              <w:autoSpaceDE w:val="0"/>
              <w:autoSpaceDN w:val="0"/>
              <w:adjustRightInd w:val="0"/>
              <w:spacing w:line="240" w:lineRule="atLeast"/>
              <w:jc w:val="left"/>
              <w:rPr>
                <w:rFonts w:asciiTheme="majorBidi" w:hAnsiTheme="majorBidi" w:cstheme="majorBidi"/>
                <w:noProof/>
                <w:szCs w:val="22"/>
                <w:lang w:eastAsia="zh-TW"/>
              </w:rPr>
            </w:pPr>
            <w:r w:rsidRPr="001E7F93">
              <w:rPr>
                <w:rFonts w:asciiTheme="majorBidi" w:hAnsiTheme="majorBidi" w:cstheme="majorBidi"/>
                <w:noProof/>
                <w:szCs w:val="22"/>
                <w:lang w:eastAsia="zh-TW"/>
              </w:rPr>
              <w:t>Monetary Authority</w:t>
            </w:r>
          </w:p>
          <w:p w:rsidR="002148B3" w:rsidRPr="001E7F93" w:rsidRDefault="002148B3" w:rsidP="00340663">
            <w:pPr>
              <w:jc w:val="left"/>
              <w:rPr>
                <w:rFonts w:asciiTheme="majorBidi" w:hAnsiTheme="majorBidi" w:cstheme="majorBidi"/>
                <w:noProof/>
                <w:szCs w:val="22"/>
                <w:lang w:eastAsia="zh-TW"/>
              </w:rPr>
            </w:pPr>
          </w:p>
        </w:tc>
        <w:tc>
          <w:tcPr>
            <w:tcW w:w="2790" w:type="dxa"/>
            <w:tcBorders>
              <w:bottom w:val="nil"/>
            </w:tcBorders>
          </w:tcPr>
          <w:p w:rsidR="002148B3" w:rsidRPr="00A60452" w:rsidRDefault="002148B3" w:rsidP="00B2522E">
            <w:pPr>
              <w:autoSpaceDE w:val="0"/>
              <w:autoSpaceDN w:val="0"/>
              <w:adjustRightInd w:val="0"/>
              <w:spacing w:line="240" w:lineRule="atLeast"/>
              <w:jc w:val="left"/>
              <w:rPr>
                <w:rFonts w:asciiTheme="majorBidi" w:hAnsiTheme="majorBidi" w:cstheme="majorBidi"/>
                <w:noProof/>
                <w:szCs w:val="22"/>
                <w:lang w:eastAsia="zh-TW"/>
              </w:rPr>
            </w:pPr>
            <w:r>
              <w:rPr>
                <w:rFonts w:asciiTheme="majorBidi" w:hAnsiTheme="majorBidi" w:cstheme="majorBidi"/>
                <w:noProof/>
                <w:szCs w:val="22"/>
                <w:lang w:eastAsia="zh-TW"/>
              </w:rPr>
              <w:t>Monetary policy services</w:t>
            </w:r>
          </w:p>
        </w:tc>
        <w:tc>
          <w:tcPr>
            <w:tcW w:w="5243" w:type="dxa"/>
            <w:tcBorders>
              <w:bottom w:val="nil"/>
            </w:tcBorders>
          </w:tcPr>
          <w:p w:rsidR="002148B3" w:rsidRPr="00A60452" w:rsidRDefault="002148B3" w:rsidP="000E6EA7">
            <w:pPr>
              <w:autoSpaceDE w:val="0"/>
              <w:autoSpaceDN w:val="0"/>
              <w:adjustRightInd w:val="0"/>
              <w:spacing w:line="240" w:lineRule="atLeast"/>
              <w:jc w:val="left"/>
              <w:rPr>
                <w:rFonts w:asciiTheme="majorBidi" w:hAnsiTheme="majorBidi" w:cstheme="majorBidi"/>
                <w:noProof/>
                <w:szCs w:val="22"/>
                <w:lang w:eastAsia="zh-TW"/>
              </w:rPr>
            </w:pPr>
            <w:r>
              <w:rPr>
                <w:rFonts w:asciiTheme="majorBidi" w:hAnsiTheme="majorBidi" w:cstheme="majorBidi"/>
                <w:noProof/>
                <w:szCs w:val="22"/>
                <w:lang w:eastAsia="zh-TW"/>
              </w:rPr>
              <w:t>Sum of Cost</w:t>
            </w:r>
          </w:p>
        </w:tc>
      </w:tr>
      <w:tr w:rsidR="002148B3" w:rsidRPr="00A60452" w:rsidTr="00BB478A">
        <w:tblPrEx>
          <w:tblLook w:val="01E0" w:firstRow="1" w:lastRow="1" w:firstColumn="1" w:lastColumn="1" w:noHBand="0" w:noVBand="0"/>
        </w:tblPrEx>
        <w:trPr>
          <w:trHeight w:val="255"/>
        </w:trPr>
        <w:tc>
          <w:tcPr>
            <w:tcW w:w="2317" w:type="dxa"/>
            <w:vMerge/>
          </w:tcPr>
          <w:p w:rsidR="002148B3" w:rsidRDefault="002148B3" w:rsidP="000E6EA7">
            <w:pPr>
              <w:jc w:val="left"/>
              <w:rPr>
                <w:rFonts w:asciiTheme="majorBidi" w:hAnsiTheme="majorBidi" w:cstheme="majorBidi"/>
                <w:bCs/>
                <w:szCs w:val="22"/>
              </w:rPr>
            </w:pPr>
          </w:p>
        </w:tc>
        <w:tc>
          <w:tcPr>
            <w:tcW w:w="2610" w:type="dxa"/>
            <w:vMerge/>
          </w:tcPr>
          <w:p w:rsidR="002148B3" w:rsidRPr="001E7F93" w:rsidRDefault="002148B3" w:rsidP="003D3AF8">
            <w:pPr>
              <w:autoSpaceDE w:val="0"/>
              <w:autoSpaceDN w:val="0"/>
              <w:adjustRightInd w:val="0"/>
              <w:spacing w:line="240" w:lineRule="atLeast"/>
              <w:jc w:val="left"/>
              <w:rPr>
                <w:rFonts w:asciiTheme="majorBidi" w:hAnsiTheme="majorBidi" w:cstheme="majorBidi"/>
                <w:noProof/>
                <w:szCs w:val="22"/>
                <w:lang w:eastAsia="zh-TW"/>
              </w:rPr>
            </w:pPr>
          </w:p>
        </w:tc>
        <w:tc>
          <w:tcPr>
            <w:tcW w:w="2790" w:type="dxa"/>
            <w:tcBorders>
              <w:top w:val="nil"/>
              <w:bottom w:val="nil"/>
            </w:tcBorders>
          </w:tcPr>
          <w:p w:rsidR="002148B3" w:rsidRPr="00A60452" w:rsidRDefault="002148B3" w:rsidP="00B2522E">
            <w:pPr>
              <w:autoSpaceDE w:val="0"/>
              <w:autoSpaceDN w:val="0"/>
              <w:adjustRightInd w:val="0"/>
              <w:spacing w:line="240" w:lineRule="atLeast"/>
              <w:jc w:val="left"/>
              <w:rPr>
                <w:rFonts w:asciiTheme="majorBidi" w:hAnsiTheme="majorBidi" w:cstheme="majorBidi"/>
                <w:noProof/>
                <w:szCs w:val="22"/>
                <w:lang w:eastAsia="zh-TW"/>
              </w:rPr>
            </w:pPr>
            <w:r>
              <w:rPr>
                <w:rFonts w:asciiTheme="majorBidi" w:hAnsiTheme="majorBidi" w:cstheme="majorBidi"/>
                <w:noProof/>
                <w:szCs w:val="22"/>
                <w:lang w:eastAsia="zh-TW"/>
              </w:rPr>
              <w:t>Financial intermediation services</w:t>
            </w:r>
          </w:p>
        </w:tc>
        <w:tc>
          <w:tcPr>
            <w:tcW w:w="5243" w:type="dxa"/>
            <w:tcBorders>
              <w:top w:val="nil"/>
              <w:bottom w:val="nil"/>
            </w:tcBorders>
          </w:tcPr>
          <w:p w:rsidR="002148B3" w:rsidRPr="00A60452" w:rsidRDefault="002148B3" w:rsidP="000E6EA7">
            <w:pPr>
              <w:autoSpaceDE w:val="0"/>
              <w:autoSpaceDN w:val="0"/>
              <w:adjustRightInd w:val="0"/>
              <w:spacing w:line="240" w:lineRule="atLeast"/>
              <w:jc w:val="left"/>
              <w:rPr>
                <w:rFonts w:asciiTheme="majorBidi" w:hAnsiTheme="majorBidi" w:cstheme="majorBidi"/>
                <w:noProof/>
                <w:szCs w:val="22"/>
                <w:lang w:eastAsia="zh-TW"/>
              </w:rPr>
            </w:pPr>
            <w:r>
              <w:rPr>
                <w:rFonts w:asciiTheme="majorBidi" w:hAnsiTheme="majorBidi" w:cstheme="majorBidi"/>
                <w:noProof/>
                <w:szCs w:val="22"/>
                <w:lang w:eastAsia="zh-TW"/>
              </w:rPr>
              <w:t>FISIM formula</w:t>
            </w:r>
          </w:p>
        </w:tc>
      </w:tr>
      <w:tr w:rsidR="002148B3" w:rsidRPr="00A60452" w:rsidTr="00BB478A">
        <w:tblPrEx>
          <w:tblLook w:val="01E0" w:firstRow="1" w:lastRow="1" w:firstColumn="1" w:lastColumn="1" w:noHBand="0" w:noVBand="0"/>
        </w:tblPrEx>
        <w:trPr>
          <w:trHeight w:val="255"/>
        </w:trPr>
        <w:tc>
          <w:tcPr>
            <w:tcW w:w="2317" w:type="dxa"/>
            <w:vMerge/>
          </w:tcPr>
          <w:p w:rsidR="002148B3" w:rsidRDefault="002148B3" w:rsidP="000E6EA7">
            <w:pPr>
              <w:jc w:val="left"/>
              <w:rPr>
                <w:rFonts w:asciiTheme="majorBidi" w:hAnsiTheme="majorBidi" w:cstheme="majorBidi"/>
                <w:bCs/>
                <w:szCs w:val="22"/>
              </w:rPr>
            </w:pPr>
          </w:p>
        </w:tc>
        <w:tc>
          <w:tcPr>
            <w:tcW w:w="2610" w:type="dxa"/>
            <w:vMerge/>
          </w:tcPr>
          <w:p w:rsidR="002148B3" w:rsidRPr="001E7F93" w:rsidRDefault="002148B3" w:rsidP="003D3AF8">
            <w:pPr>
              <w:autoSpaceDE w:val="0"/>
              <w:autoSpaceDN w:val="0"/>
              <w:adjustRightInd w:val="0"/>
              <w:spacing w:line="240" w:lineRule="atLeast"/>
              <w:jc w:val="left"/>
              <w:rPr>
                <w:rFonts w:asciiTheme="majorBidi" w:hAnsiTheme="majorBidi" w:cstheme="majorBidi"/>
                <w:noProof/>
                <w:szCs w:val="22"/>
                <w:lang w:eastAsia="zh-TW"/>
              </w:rPr>
            </w:pPr>
          </w:p>
        </w:tc>
        <w:tc>
          <w:tcPr>
            <w:tcW w:w="2790" w:type="dxa"/>
            <w:tcBorders>
              <w:top w:val="nil"/>
            </w:tcBorders>
          </w:tcPr>
          <w:p w:rsidR="002148B3" w:rsidRPr="00A60452" w:rsidRDefault="002148B3" w:rsidP="00B2522E">
            <w:pPr>
              <w:autoSpaceDE w:val="0"/>
              <w:autoSpaceDN w:val="0"/>
              <w:adjustRightInd w:val="0"/>
              <w:spacing w:line="240" w:lineRule="atLeast"/>
              <w:jc w:val="left"/>
              <w:rPr>
                <w:rFonts w:asciiTheme="majorBidi" w:hAnsiTheme="majorBidi" w:cstheme="majorBidi"/>
                <w:noProof/>
                <w:szCs w:val="22"/>
                <w:lang w:eastAsia="zh-TW"/>
              </w:rPr>
            </w:pPr>
            <w:r>
              <w:rPr>
                <w:rFonts w:asciiTheme="majorBidi" w:hAnsiTheme="majorBidi" w:cstheme="majorBidi"/>
                <w:noProof/>
                <w:szCs w:val="22"/>
                <w:lang w:eastAsia="zh-TW"/>
              </w:rPr>
              <w:t>Borderline cases, such as supervisory services</w:t>
            </w:r>
          </w:p>
        </w:tc>
        <w:tc>
          <w:tcPr>
            <w:tcW w:w="5243" w:type="dxa"/>
            <w:tcBorders>
              <w:top w:val="nil"/>
            </w:tcBorders>
          </w:tcPr>
          <w:p w:rsidR="002148B3" w:rsidRDefault="002148B3" w:rsidP="000E6EA7">
            <w:pPr>
              <w:autoSpaceDE w:val="0"/>
              <w:autoSpaceDN w:val="0"/>
              <w:adjustRightInd w:val="0"/>
              <w:spacing w:line="240" w:lineRule="atLeast"/>
              <w:jc w:val="left"/>
              <w:rPr>
                <w:rFonts w:asciiTheme="majorBidi" w:hAnsiTheme="majorBidi" w:cstheme="majorBidi"/>
                <w:noProof/>
                <w:szCs w:val="22"/>
                <w:lang w:eastAsia="zh-TW"/>
              </w:rPr>
            </w:pPr>
            <w:r>
              <w:rPr>
                <w:rFonts w:asciiTheme="majorBidi" w:hAnsiTheme="majorBidi" w:cstheme="majorBidi"/>
                <w:noProof/>
                <w:szCs w:val="22"/>
                <w:lang w:eastAsia="zh-TW"/>
              </w:rPr>
              <w:t>Market output – explicit fees</w:t>
            </w:r>
          </w:p>
          <w:p w:rsidR="002148B3" w:rsidRPr="00A60452" w:rsidRDefault="002148B3" w:rsidP="000E6EA7">
            <w:pPr>
              <w:autoSpaceDE w:val="0"/>
              <w:autoSpaceDN w:val="0"/>
              <w:adjustRightInd w:val="0"/>
              <w:spacing w:line="240" w:lineRule="atLeast"/>
              <w:jc w:val="left"/>
              <w:rPr>
                <w:rFonts w:asciiTheme="majorBidi" w:hAnsiTheme="majorBidi" w:cstheme="majorBidi"/>
                <w:noProof/>
                <w:szCs w:val="22"/>
                <w:lang w:eastAsia="zh-TW"/>
              </w:rPr>
            </w:pPr>
            <w:r>
              <w:rPr>
                <w:rFonts w:asciiTheme="majorBidi" w:hAnsiTheme="majorBidi" w:cstheme="majorBidi"/>
                <w:noProof/>
                <w:szCs w:val="22"/>
                <w:lang w:eastAsia="zh-TW"/>
              </w:rPr>
              <w:t>Non-market output – Sum of cost</w:t>
            </w:r>
          </w:p>
        </w:tc>
      </w:tr>
      <w:tr w:rsidR="00295C6A" w:rsidRPr="003F0219" w:rsidTr="00BB478A">
        <w:tblPrEx>
          <w:tblLook w:val="01E0" w:firstRow="1" w:lastRow="1" w:firstColumn="1" w:lastColumn="1" w:noHBand="0" w:noVBand="0"/>
        </w:tblPrEx>
        <w:tc>
          <w:tcPr>
            <w:tcW w:w="2317" w:type="dxa"/>
          </w:tcPr>
          <w:p w:rsidR="00295C6A" w:rsidRPr="00A60452" w:rsidRDefault="00295C6A" w:rsidP="000E6EA7">
            <w:pPr>
              <w:jc w:val="left"/>
              <w:rPr>
                <w:rFonts w:asciiTheme="majorBidi" w:hAnsiTheme="majorBidi" w:cstheme="majorBidi"/>
                <w:bCs/>
                <w:szCs w:val="22"/>
              </w:rPr>
            </w:pPr>
            <w:r>
              <w:rPr>
                <w:rFonts w:asciiTheme="majorBidi" w:hAnsiTheme="majorBidi" w:cstheme="majorBidi"/>
                <w:bCs/>
                <w:szCs w:val="22"/>
              </w:rPr>
              <w:t>Deposit-taking corporations except the central bank (S122)</w:t>
            </w:r>
          </w:p>
        </w:tc>
        <w:tc>
          <w:tcPr>
            <w:tcW w:w="2610" w:type="dxa"/>
          </w:tcPr>
          <w:p w:rsidR="00295C6A" w:rsidRPr="001E7F93" w:rsidRDefault="00295C6A" w:rsidP="00C91B6C">
            <w:pPr>
              <w:jc w:val="left"/>
              <w:rPr>
                <w:rFonts w:asciiTheme="majorBidi" w:hAnsiTheme="majorBidi" w:cstheme="majorBidi"/>
                <w:color w:val="000000"/>
                <w:szCs w:val="22"/>
                <w:lang w:eastAsia="zh-CN"/>
              </w:rPr>
            </w:pPr>
            <w:r w:rsidRPr="001E7F93">
              <w:rPr>
                <w:rFonts w:asciiTheme="majorBidi" w:hAnsiTheme="majorBidi" w:cstheme="majorBidi"/>
                <w:color w:val="000000"/>
                <w:szCs w:val="22"/>
              </w:rPr>
              <w:t>Islamic Bank</w:t>
            </w:r>
            <w:r>
              <w:rPr>
                <w:rFonts w:asciiTheme="majorBidi" w:hAnsiTheme="majorBidi" w:cstheme="majorBidi"/>
                <w:color w:val="000000"/>
                <w:szCs w:val="22"/>
              </w:rPr>
              <w:t>s</w:t>
            </w:r>
          </w:p>
          <w:p w:rsidR="00295C6A" w:rsidRPr="001E7F93" w:rsidRDefault="00295C6A" w:rsidP="00C91B6C">
            <w:pPr>
              <w:jc w:val="left"/>
              <w:rPr>
                <w:rFonts w:asciiTheme="majorBidi" w:hAnsiTheme="majorBidi" w:cstheme="majorBidi"/>
                <w:color w:val="000000"/>
                <w:szCs w:val="22"/>
              </w:rPr>
            </w:pPr>
            <w:r w:rsidRPr="001E7F93">
              <w:rPr>
                <w:rFonts w:asciiTheme="majorBidi" w:hAnsiTheme="majorBidi" w:cstheme="majorBidi"/>
                <w:color w:val="000000"/>
                <w:szCs w:val="22"/>
              </w:rPr>
              <w:t>Commerce and Development Bank</w:t>
            </w:r>
            <w:r>
              <w:rPr>
                <w:rFonts w:asciiTheme="majorBidi" w:hAnsiTheme="majorBidi" w:cstheme="majorBidi"/>
                <w:color w:val="000000"/>
                <w:szCs w:val="22"/>
              </w:rPr>
              <w:t>s</w:t>
            </w:r>
          </w:p>
          <w:p w:rsidR="00295C6A" w:rsidRPr="001E7F93" w:rsidRDefault="00295C6A" w:rsidP="00C91B6C">
            <w:pPr>
              <w:jc w:val="left"/>
              <w:rPr>
                <w:rFonts w:asciiTheme="majorBidi" w:hAnsiTheme="majorBidi" w:cstheme="majorBidi"/>
                <w:color w:val="000000"/>
                <w:szCs w:val="22"/>
              </w:rPr>
            </w:pPr>
            <w:r w:rsidRPr="001E7F93">
              <w:rPr>
                <w:rFonts w:asciiTheme="majorBidi" w:hAnsiTheme="majorBidi" w:cstheme="majorBidi"/>
                <w:color w:val="000000"/>
                <w:szCs w:val="22"/>
              </w:rPr>
              <w:t>Online Bank</w:t>
            </w:r>
            <w:r>
              <w:rPr>
                <w:rFonts w:asciiTheme="majorBidi" w:hAnsiTheme="majorBidi" w:cstheme="majorBidi"/>
                <w:color w:val="000000"/>
                <w:szCs w:val="22"/>
              </w:rPr>
              <w:t>s</w:t>
            </w:r>
          </w:p>
          <w:p w:rsidR="00295C6A" w:rsidRPr="001E7F93" w:rsidRDefault="00295C6A" w:rsidP="00E8083A">
            <w:pPr>
              <w:jc w:val="left"/>
              <w:rPr>
                <w:rFonts w:asciiTheme="majorBidi" w:hAnsiTheme="majorBidi" w:cstheme="majorBidi"/>
                <w:color w:val="000000"/>
                <w:szCs w:val="22"/>
              </w:rPr>
            </w:pPr>
            <w:r w:rsidRPr="001E7F93">
              <w:rPr>
                <w:rFonts w:asciiTheme="majorBidi" w:hAnsiTheme="majorBidi" w:cstheme="majorBidi"/>
                <w:color w:val="000000"/>
                <w:szCs w:val="22"/>
              </w:rPr>
              <w:t>Commercial Bank</w:t>
            </w:r>
            <w:r>
              <w:rPr>
                <w:rFonts w:asciiTheme="majorBidi" w:hAnsiTheme="majorBidi" w:cstheme="majorBidi"/>
                <w:color w:val="000000"/>
                <w:szCs w:val="22"/>
              </w:rPr>
              <w:t>s</w:t>
            </w:r>
          </w:p>
          <w:p w:rsidR="00295C6A" w:rsidRPr="001E7F93" w:rsidRDefault="003F0219" w:rsidP="00C91B6C">
            <w:pPr>
              <w:jc w:val="left"/>
              <w:rPr>
                <w:rFonts w:asciiTheme="majorBidi" w:hAnsiTheme="majorBidi" w:cstheme="majorBidi"/>
                <w:color w:val="000000"/>
                <w:szCs w:val="22"/>
                <w:lang w:eastAsia="zh-CN"/>
              </w:rPr>
            </w:pPr>
            <w:r>
              <w:rPr>
                <w:rFonts w:asciiTheme="majorBidi" w:hAnsiTheme="majorBidi" w:cstheme="majorBidi"/>
                <w:color w:val="000000"/>
                <w:szCs w:val="22"/>
                <w:lang w:eastAsia="zh-CN"/>
              </w:rPr>
              <w:t>Islamic microfinance banks</w:t>
            </w:r>
          </w:p>
          <w:p w:rsidR="00295C6A" w:rsidRPr="001E7F93" w:rsidRDefault="00295C6A" w:rsidP="00FF4746">
            <w:pPr>
              <w:autoSpaceDE w:val="0"/>
              <w:autoSpaceDN w:val="0"/>
              <w:adjustRightInd w:val="0"/>
              <w:spacing w:line="240" w:lineRule="atLeast"/>
              <w:jc w:val="left"/>
              <w:rPr>
                <w:rFonts w:asciiTheme="majorBidi" w:hAnsiTheme="majorBidi" w:cstheme="majorBidi"/>
                <w:szCs w:val="22"/>
                <w:lang w:eastAsia="zh-TW"/>
              </w:rPr>
            </w:pPr>
          </w:p>
        </w:tc>
        <w:tc>
          <w:tcPr>
            <w:tcW w:w="2790" w:type="dxa"/>
          </w:tcPr>
          <w:p w:rsidR="00B2522E" w:rsidRPr="007508E1" w:rsidRDefault="00B2522E" w:rsidP="00B2522E">
            <w:pPr>
              <w:autoSpaceDE w:val="0"/>
              <w:autoSpaceDN w:val="0"/>
              <w:adjustRightInd w:val="0"/>
              <w:spacing w:line="240" w:lineRule="atLeast"/>
              <w:jc w:val="left"/>
              <w:rPr>
                <w:rFonts w:asciiTheme="majorBidi" w:hAnsiTheme="majorBidi" w:cstheme="majorBidi"/>
                <w:noProof/>
                <w:szCs w:val="22"/>
                <w:lang w:val="es-ES" w:eastAsia="zh-TW"/>
              </w:rPr>
            </w:pPr>
            <w:r w:rsidRPr="007508E1">
              <w:rPr>
                <w:rFonts w:asciiTheme="majorBidi" w:hAnsiTheme="majorBidi" w:cstheme="majorBidi"/>
                <w:noProof/>
                <w:szCs w:val="22"/>
                <w:lang w:val="es-ES" w:eastAsia="zh-TW"/>
              </w:rPr>
              <w:t>Mudaraba</w:t>
            </w:r>
          </w:p>
          <w:p w:rsidR="00295C6A" w:rsidRPr="007508E1" w:rsidRDefault="00B2522E" w:rsidP="000E6EA7">
            <w:pPr>
              <w:autoSpaceDE w:val="0"/>
              <w:autoSpaceDN w:val="0"/>
              <w:adjustRightInd w:val="0"/>
              <w:spacing w:line="240" w:lineRule="atLeast"/>
              <w:jc w:val="left"/>
              <w:rPr>
                <w:rFonts w:asciiTheme="majorBidi" w:hAnsiTheme="majorBidi" w:cstheme="majorBidi"/>
                <w:szCs w:val="22"/>
                <w:lang w:val="es-ES" w:eastAsia="zh-TW"/>
              </w:rPr>
            </w:pPr>
            <w:proofErr w:type="spellStart"/>
            <w:r w:rsidRPr="007508E1">
              <w:rPr>
                <w:rFonts w:asciiTheme="majorBidi" w:hAnsiTheme="majorBidi" w:cstheme="majorBidi"/>
                <w:szCs w:val="22"/>
                <w:lang w:val="es-ES" w:eastAsia="zh-TW"/>
              </w:rPr>
              <w:t>Quard</w:t>
            </w:r>
            <w:proofErr w:type="spellEnd"/>
          </w:p>
          <w:p w:rsidR="00B2522E" w:rsidRPr="007508E1" w:rsidRDefault="00DA30A5" w:rsidP="000E6EA7">
            <w:pPr>
              <w:autoSpaceDE w:val="0"/>
              <w:autoSpaceDN w:val="0"/>
              <w:adjustRightInd w:val="0"/>
              <w:spacing w:line="240" w:lineRule="atLeast"/>
              <w:jc w:val="left"/>
              <w:rPr>
                <w:rFonts w:asciiTheme="majorBidi" w:hAnsiTheme="majorBidi" w:cstheme="majorBidi"/>
                <w:szCs w:val="22"/>
                <w:lang w:val="es-ES" w:eastAsia="zh-TW"/>
              </w:rPr>
            </w:pPr>
            <w:proofErr w:type="spellStart"/>
            <w:r w:rsidRPr="007508E1">
              <w:rPr>
                <w:rFonts w:asciiTheme="majorBidi" w:hAnsiTheme="majorBidi" w:cstheme="majorBidi"/>
                <w:szCs w:val="22"/>
                <w:lang w:val="es-ES" w:eastAsia="zh-TW"/>
              </w:rPr>
              <w:t>Tawarruq</w:t>
            </w:r>
            <w:proofErr w:type="spellEnd"/>
          </w:p>
          <w:p w:rsidR="00DA30A5" w:rsidRPr="007508E1" w:rsidRDefault="00DA30A5" w:rsidP="000E6EA7">
            <w:pPr>
              <w:autoSpaceDE w:val="0"/>
              <w:autoSpaceDN w:val="0"/>
              <w:adjustRightInd w:val="0"/>
              <w:spacing w:line="240" w:lineRule="atLeast"/>
              <w:jc w:val="left"/>
              <w:rPr>
                <w:rFonts w:asciiTheme="majorBidi" w:hAnsiTheme="majorBidi" w:cstheme="majorBidi"/>
                <w:szCs w:val="22"/>
                <w:lang w:val="es-ES" w:eastAsia="zh-TW"/>
              </w:rPr>
            </w:pPr>
            <w:proofErr w:type="spellStart"/>
            <w:r w:rsidRPr="007508E1">
              <w:rPr>
                <w:rFonts w:asciiTheme="majorBidi" w:hAnsiTheme="majorBidi" w:cstheme="majorBidi"/>
                <w:szCs w:val="22"/>
                <w:lang w:val="es-ES" w:eastAsia="zh-TW"/>
              </w:rPr>
              <w:t>Murabaha</w:t>
            </w:r>
            <w:proofErr w:type="spellEnd"/>
          </w:p>
          <w:p w:rsidR="00D7715B" w:rsidRPr="007508E1" w:rsidRDefault="00D559B9" w:rsidP="00D7715B">
            <w:pPr>
              <w:autoSpaceDE w:val="0"/>
              <w:autoSpaceDN w:val="0"/>
              <w:adjustRightInd w:val="0"/>
              <w:spacing w:line="240" w:lineRule="atLeast"/>
              <w:jc w:val="left"/>
              <w:rPr>
                <w:rFonts w:asciiTheme="majorBidi" w:hAnsiTheme="majorBidi" w:cstheme="majorBidi"/>
                <w:szCs w:val="22"/>
                <w:lang w:val="es-ES" w:eastAsia="zh-TW"/>
              </w:rPr>
            </w:pPr>
            <w:proofErr w:type="spellStart"/>
            <w:r w:rsidRPr="007508E1">
              <w:rPr>
                <w:rFonts w:asciiTheme="majorBidi" w:hAnsiTheme="majorBidi" w:cstheme="majorBidi"/>
                <w:szCs w:val="22"/>
                <w:lang w:val="es-ES" w:eastAsia="zh-TW"/>
              </w:rPr>
              <w:t>Musharaka</w:t>
            </w:r>
            <w:proofErr w:type="spellEnd"/>
          </w:p>
          <w:p w:rsidR="00D7715B" w:rsidRDefault="00D7715B" w:rsidP="00D7715B">
            <w:pPr>
              <w:autoSpaceDE w:val="0"/>
              <w:autoSpaceDN w:val="0"/>
              <w:adjustRightInd w:val="0"/>
              <w:spacing w:line="240" w:lineRule="atLeast"/>
              <w:jc w:val="left"/>
              <w:rPr>
                <w:rFonts w:asciiTheme="majorBidi" w:hAnsiTheme="majorBidi" w:cstheme="majorBidi"/>
                <w:szCs w:val="22"/>
                <w:lang w:val="es-ES" w:eastAsia="zh-TW"/>
              </w:rPr>
            </w:pPr>
            <w:proofErr w:type="spellStart"/>
            <w:r w:rsidRPr="007508E1">
              <w:rPr>
                <w:rFonts w:asciiTheme="majorBidi" w:hAnsiTheme="majorBidi" w:cstheme="majorBidi"/>
                <w:szCs w:val="22"/>
                <w:lang w:val="es-ES" w:eastAsia="zh-TW"/>
              </w:rPr>
              <w:t>Ijarah</w:t>
            </w:r>
            <w:proofErr w:type="spellEnd"/>
          </w:p>
          <w:p w:rsidR="003F0219" w:rsidRPr="003F0219" w:rsidRDefault="003F0219" w:rsidP="00D7715B">
            <w:pPr>
              <w:autoSpaceDE w:val="0"/>
              <w:autoSpaceDN w:val="0"/>
              <w:adjustRightInd w:val="0"/>
              <w:spacing w:line="240" w:lineRule="atLeast"/>
              <w:jc w:val="left"/>
              <w:rPr>
                <w:rFonts w:asciiTheme="majorBidi" w:hAnsiTheme="majorBidi" w:cstheme="majorBidi"/>
                <w:szCs w:val="22"/>
                <w:lang w:eastAsia="zh-TW"/>
              </w:rPr>
            </w:pPr>
            <w:proofErr w:type="spellStart"/>
            <w:r w:rsidRPr="003F0219">
              <w:rPr>
                <w:rFonts w:asciiTheme="majorBidi" w:hAnsiTheme="majorBidi" w:cstheme="majorBidi"/>
                <w:szCs w:val="22"/>
                <w:lang w:eastAsia="zh-TW"/>
              </w:rPr>
              <w:t>Sharī`ah</w:t>
            </w:r>
            <w:proofErr w:type="spellEnd"/>
            <w:r w:rsidRPr="003F0219">
              <w:rPr>
                <w:rFonts w:asciiTheme="majorBidi" w:hAnsiTheme="majorBidi" w:cstheme="majorBidi"/>
                <w:szCs w:val="22"/>
                <w:lang w:eastAsia="zh-TW"/>
              </w:rPr>
              <w:t>-compliant savings and current accounts</w:t>
            </w:r>
          </w:p>
        </w:tc>
        <w:tc>
          <w:tcPr>
            <w:tcW w:w="5243" w:type="dxa"/>
          </w:tcPr>
          <w:p w:rsidR="00611653" w:rsidRDefault="00CD4F18" w:rsidP="00E63AA3">
            <w:pPr>
              <w:autoSpaceDE w:val="0"/>
              <w:autoSpaceDN w:val="0"/>
              <w:adjustRightInd w:val="0"/>
              <w:spacing w:line="240" w:lineRule="atLeast"/>
              <w:rPr>
                <w:rFonts w:asciiTheme="majorBidi" w:hAnsiTheme="majorBidi" w:cstheme="majorBidi"/>
                <w:szCs w:val="22"/>
                <w:lang w:eastAsia="zh-TW"/>
              </w:rPr>
            </w:pPr>
            <w:r>
              <w:rPr>
                <w:rFonts w:asciiTheme="majorBidi" w:hAnsiTheme="majorBidi" w:cstheme="majorBidi"/>
                <w:szCs w:val="22"/>
                <w:lang w:eastAsia="zh-TW"/>
              </w:rPr>
              <w:t>Output</w:t>
            </w:r>
            <w:r w:rsidR="00611653">
              <w:rPr>
                <w:rFonts w:asciiTheme="majorBidi" w:hAnsiTheme="majorBidi" w:cstheme="majorBidi"/>
                <w:szCs w:val="22"/>
                <w:lang w:eastAsia="zh-TW"/>
              </w:rPr>
              <w:t xml:space="preserve"> is a combination of the following:</w:t>
            </w:r>
          </w:p>
          <w:p w:rsidR="00611653" w:rsidRDefault="00611653" w:rsidP="00E63AA3">
            <w:pPr>
              <w:autoSpaceDE w:val="0"/>
              <w:autoSpaceDN w:val="0"/>
              <w:adjustRightInd w:val="0"/>
              <w:spacing w:line="240" w:lineRule="atLeast"/>
              <w:rPr>
                <w:rFonts w:asciiTheme="majorBidi" w:hAnsiTheme="majorBidi" w:cstheme="majorBidi"/>
                <w:szCs w:val="22"/>
                <w:lang w:eastAsia="zh-TW"/>
              </w:rPr>
            </w:pPr>
          </w:p>
          <w:p w:rsidR="00295C6A" w:rsidRDefault="00492C7E" w:rsidP="00E63AA3">
            <w:pPr>
              <w:autoSpaceDE w:val="0"/>
              <w:autoSpaceDN w:val="0"/>
              <w:adjustRightInd w:val="0"/>
              <w:spacing w:line="240" w:lineRule="atLeast"/>
              <w:rPr>
                <w:rFonts w:asciiTheme="majorBidi" w:hAnsiTheme="majorBidi" w:cstheme="majorBidi"/>
                <w:szCs w:val="22"/>
                <w:lang w:eastAsia="zh-TW"/>
              </w:rPr>
            </w:pPr>
            <w:r>
              <w:rPr>
                <w:rFonts w:asciiTheme="majorBidi" w:hAnsiTheme="majorBidi" w:cstheme="majorBidi"/>
                <w:szCs w:val="22"/>
                <w:lang w:eastAsia="zh-TW"/>
              </w:rPr>
              <w:t>(</w:t>
            </w:r>
            <w:r w:rsidR="00611653">
              <w:rPr>
                <w:rFonts w:asciiTheme="majorBidi" w:hAnsiTheme="majorBidi" w:cstheme="majorBidi"/>
                <w:szCs w:val="22"/>
                <w:lang w:eastAsia="zh-TW"/>
              </w:rPr>
              <w:t>a</w:t>
            </w:r>
            <w:r>
              <w:rPr>
                <w:rFonts w:asciiTheme="majorBidi" w:hAnsiTheme="majorBidi" w:cstheme="majorBidi"/>
                <w:szCs w:val="22"/>
                <w:lang w:eastAsia="zh-TW"/>
              </w:rPr>
              <w:t>)</w:t>
            </w:r>
            <w:r w:rsidR="00611653">
              <w:rPr>
                <w:rFonts w:asciiTheme="majorBidi" w:hAnsiTheme="majorBidi" w:cstheme="majorBidi"/>
                <w:szCs w:val="22"/>
                <w:lang w:eastAsia="zh-TW"/>
              </w:rPr>
              <w:t xml:space="preserve"> For</w:t>
            </w:r>
            <w:r w:rsidR="00CD4F18">
              <w:rPr>
                <w:rFonts w:asciiTheme="majorBidi" w:hAnsiTheme="majorBidi" w:cstheme="majorBidi"/>
                <w:szCs w:val="22"/>
                <w:lang w:eastAsia="zh-TW"/>
              </w:rPr>
              <w:t xml:space="preserve"> loans and deposits is calculated using the FISIM formula</w:t>
            </w:r>
            <w:r w:rsidR="009500D4">
              <w:rPr>
                <w:rFonts w:asciiTheme="majorBidi" w:hAnsiTheme="majorBidi" w:cstheme="majorBidi"/>
                <w:szCs w:val="22"/>
                <w:lang w:eastAsia="zh-TW"/>
              </w:rPr>
              <w:t xml:space="preserve">, </w:t>
            </w:r>
            <w:r w:rsidR="006F4E98">
              <w:rPr>
                <w:rFonts w:asciiTheme="majorBidi" w:hAnsiTheme="majorBidi" w:cstheme="majorBidi"/>
                <w:szCs w:val="22"/>
                <w:lang w:eastAsia="zh-TW"/>
              </w:rPr>
              <w:t>i.e.</w:t>
            </w:r>
            <w:r w:rsidR="009500D4">
              <w:rPr>
                <w:rFonts w:asciiTheme="majorBidi" w:hAnsiTheme="majorBidi" w:cstheme="majorBidi"/>
                <w:szCs w:val="22"/>
                <w:lang w:eastAsia="zh-TW"/>
              </w:rPr>
              <w:t xml:space="preserve">, </w:t>
            </w:r>
            <w:r w:rsidR="009500D4" w:rsidRPr="009500D4">
              <w:rPr>
                <w:rFonts w:asciiTheme="majorBidi" w:hAnsiTheme="majorBidi" w:cstheme="majorBidi"/>
                <w:szCs w:val="22"/>
                <w:lang w:eastAsia="zh-TW"/>
              </w:rPr>
              <w:t>(</w:t>
            </w:r>
            <w:proofErr w:type="spellStart"/>
            <w:r w:rsidR="009500D4" w:rsidRPr="009500D4">
              <w:rPr>
                <w:rFonts w:asciiTheme="majorBidi" w:hAnsiTheme="majorBidi" w:cstheme="majorBidi"/>
                <w:szCs w:val="22"/>
                <w:lang w:eastAsia="zh-TW"/>
              </w:rPr>
              <w:t>r</w:t>
            </w:r>
            <w:r w:rsidR="009500D4" w:rsidRPr="00E63AA3">
              <w:rPr>
                <w:rFonts w:asciiTheme="majorBidi" w:hAnsiTheme="majorBidi" w:cstheme="majorBidi"/>
                <w:szCs w:val="22"/>
                <w:vertAlign w:val="subscript"/>
                <w:lang w:eastAsia="zh-TW"/>
              </w:rPr>
              <w:t>L</w:t>
            </w:r>
            <w:proofErr w:type="spellEnd"/>
            <w:r w:rsidR="009500D4" w:rsidRPr="009500D4">
              <w:rPr>
                <w:rFonts w:asciiTheme="majorBidi" w:hAnsiTheme="majorBidi" w:cstheme="majorBidi"/>
                <w:szCs w:val="22"/>
                <w:lang w:eastAsia="zh-TW"/>
              </w:rPr>
              <w:t>–</w:t>
            </w:r>
            <w:proofErr w:type="spellStart"/>
            <w:proofErr w:type="gramStart"/>
            <w:r w:rsidR="009500D4" w:rsidRPr="009500D4">
              <w:rPr>
                <w:rFonts w:asciiTheme="majorBidi" w:hAnsiTheme="majorBidi" w:cstheme="majorBidi"/>
                <w:szCs w:val="22"/>
                <w:lang w:eastAsia="zh-TW"/>
              </w:rPr>
              <w:t>rr</w:t>
            </w:r>
            <w:proofErr w:type="spellEnd"/>
            <w:r w:rsidR="009500D4" w:rsidRPr="009500D4">
              <w:rPr>
                <w:rFonts w:asciiTheme="majorBidi" w:hAnsiTheme="majorBidi" w:cstheme="majorBidi"/>
                <w:szCs w:val="22"/>
                <w:lang w:eastAsia="zh-TW"/>
              </w:rPr>
              <w:t>)×</w:t>
            </w:r>
            <w:proofErr w:type="gramEnd"/>
            <w:r w:rsidR="009500D4" w:rsidRPr="009500D4">
              <w:rPr>
                <w:rFonts w:asciiTheme="majorBidi" w:hAnsiTheme="majorBidi" w:cstheme="majorBidi"/>
                <w:szCs w:val="22"/>
                <w:lang w:eastAsia="zh-TW"/>
              </w:rPr>
              <w:t>Y</w:t>
            </w:r>
            <w:r w:rsidR="009500D4" w:rsidRPr="00E63AA3">
              <w:rPr>
                <w:rFonts w:asciiTheme="majorBidi" w:hAnsiTheme="majorBidi" w:cstheme="majorBidi"/>
                <w:szCs w:val="22"/>
                <w:vertAlign w:val="subscript"/>
                <w:lang w:eastAsia="zh-TW"/>
              </w:rPr>
              <w:t>L</w:t>
            </w:r>
            <w:r w:rsidR="009500D4" w:rsidRPr="009500D4">
              <w:rPr>
                <w:rFonts w:asciiTheme="majorBidi" w:hAnsiTheme="majorBidi" w:cstheme="majorBidi"/>
                <w:szCs w:val="22"/>
                <w:lang w:eastAsia="zh-TW"/>
              </w:rPr>
              <w:t>+(</w:t>
            </w:r>
            <w:proofErr w:type="spellStart"/>
            <w:r w:rsidR="009500D4" w:rsidRPr="009500D4">
              <w:rPr>
                <w:rFonts w:asciiTheme="majorBidi" w:hAnsiTheme="majorBidi" w:cstheme="majorBidi"/>
                <w:szCs w:val="22"/>
                <w:lang w:eastAsia="zh-TW"/>
              </w:rPr>
              <w:t>rr</w:t>
            </w:r>
            <w:proofErr w:type="spellEnd"/>
            <w:r w:rsidR="009500D4" w:rsidRPr="009500D4">
              <w:rPr>
                <w:rFonts w:asciiTheme="majorBidi" w:hAnsiTheme="majorBidi" w:cstheme="majorBidi"/>
                <w:szCs w:val="22"/>
                <w:lang w:eastAsia="zh-TW"/>
              </w:rPr>
              <w:t>–</w:t>
            </w:r>
            <w:proofErr w:type="spellStart"/>
            <w:r w:rsidR="009500D4" w:rsidRPr="009500D4">
              <w:rPr>
                <w:rFonts w:asciiTheme="majorBidi" w:hAnsiTheme="majorBidi" w:cstheme="majorBidi"/>
                <w:szCs w:val="22"/>
                <w:lang w:eastAsia="zh-TW"/>
              </w:rPr>
              <w:t>r</w:t>
            </w:r>
            <w:r w:rsidR="009500D4" w:rsidRPr="00E63AA3">
              <w:rPr>
                <w:rFonts w:asciiTheme="majorBidi" w:hAnsiTheme="majorBidi" w:cstheme="majorBidi"/>
                <w:szCs w:val="22"/>
                <w:vertAlign w:val="subscript"/>
                <w:lang w:eastAsia="zh-TW"/>
              </w:rPr>
              <w:t>D</w:t>
            </w:r>
            <w:proofErr w:type="spellEnd"/>
            <w:r w:rsidR="009500D4" w:rsidRPr="009500D4">
              <w:rPr>
                <w:rFonts w:asciiTheme="majorBidi" w:hAnsiTheme="majorBidi" w:cstheme="majorBidi"/>
                <w:szCs w:val="22"/>
                <w:lang w:eastAsia="zh-TW"/>
              </w:rPr>
              <w:t>)×Y</w:t>
            </w:r>
            <w:r w:rsidR="009500D4" w:rsidRPr="00E63AA3">
              <w:rPr>
                <w:rFonts w:asciiTheme="majorBidi" w:hAnsiTheme="majorBidi" w:cstheme="majorBidi"/>
                <w:szCs w:val="22"/>
                <w:vertAlign w:val="subscript"/>
                <w:lang w:eastAsia="zh-TW"/>
              </w:rPr>
              <w:t>D</w:t>
            </w:r>
            <w:r w:rsidR="009500D4" w:rsidRPr="009500D4">
              <w:rPr>
                <w:rFonts w:asciiTheme="majorBidi" w:hAnsiTheme="majorBidi" w:cstheme="majorBidi"/>
                <w:szCs w:val="22"/>
                <w:lang w:eastAsia="zh-TW"/>
              </w:rPr>
              <w:t xml:space="preserve">, where </w:t>
            </w:r>
            <w:proofErr w:type="spellStart"/>
            <w:r w:rsidR="009500D4" w:rsidRPr="009500D4">
              <w:rPr>
                <w:rFonts w:asciiTheme="majorBidi" w:hAnsiTheme="majorBidi" w:cstheme="majorBidi"/>
                <w:szCs w:val="22"/>
                <w:lang w:eastAsia="zh-TW"/>
              </w:rPr>
              <w:t>r</w:t>
            </w:r>
            <w:r w:rsidR="009500D4" w:rsidRPr="00E63AA3">
              <w:rPr>
                <w:rFonts w:asciiTheme="majorBidi" w:hAnsiTheme="majorBidi" w:cstheme="majorBidi"/>
                <w:szCs w:val="22"/>
                <w:vertAlign w:val="subscript"/>
                <w:lang w:eastAsia="zh-TW"/>
              </w:rPr>
              <w:t>L</w:t>
            </w:r>
            <w:proofErr w:type="spellEnd"/>
            <w:r w:rsidR="009500D4" w:rsidRPr="009500D4">
              <w:rPr>
                <w:rFonts w:asciiTheme="majorBidi" w:hAnsiTheme="majorBidi" w:cstheme="majorBidi"/>
                <w:szCs w:val="22"/>
                <w:lang w:eastAsia="zh-TW"/>
              </w:rPr>
              <w:t xml:space="preserve">, </w:t>
            </w:r>
            <w:proofErr w:type="spellStart"/>
            <w:r w:rsidR="009500D4" w:rsidRPr="009500D4">
              <w:rPr>
                <w:rFonts w:asciiTheme="majorBidi" w:hAnsiTheme="majorBidi" w:cstheme="majorBidi"/>
                <w:szCs w:val="22"/>
                <w:lang w:eastAsia="zh-TW"/>
              </w:rPr>
              <w:t>r</w:t>
            </w:r>
            <w:r w:rsidR="009500D4" w:rsidRPr="00E63AA3">
              <w:rPr>
                <w:rFonts w:asciiTheme="majorBidi" w:hAnsiTheme="majorBidi" w:cstheme="majorBidi"/>
                <w:szCs w:val="22"/>
                <w:vertAlign w:val="subscript"/>
                <w:lang w:eastAsia="zh-TW"/>
              </w:rPr>
              <w:t>D</w:t>
            </w:r>
            <w:proofErr w:type="spellEnd"/>
            <w:r w:rsidR="009500D4" w:rsidRPr="009500D4">
              <w:rPr>
                <w:rFonts w:asciiTheme="majorBidi" w:hAnsiTheme="majorBidi" w:cstheme="majorBidi"/>
                <w:szCs w:val="22"/>
                <w:lang w:eastAsia="zh-TW"/>
              </w:rPr>
              <w:t xml:space="preserve">, </w:t>
            </w:r>
            <w:proofErr w:type="spellStart"/>
            <w:r w:rsidR="009500D4" w:rsidRPr="009500D4">
              <w:rPr>
                <w:rFonts w:asciiTheme="majorBidi" w:hAnsiTheme="majorBidi" w:cstheme="majorBidi"/>
                <w:szCs w:val="22"/>
                <w:lang w:eastAsia="zh-TW"/>
              </w:rPr>
              <w:t>rr</w:t>
            </w:r>
            <w:proofErr w:type="spellEnd"/>
            <w:r w:rsidR="009500D4" w:rsidRPr="009500D4">
              <w:rPr>
                <w:rFonts w:asciiTheme="majorBidi" w:hAnsiTheme="majorBidi" w:cstheme="majorBidi"/>
                <w:szCs w:val="22"/>
                <w:lang w:eastAsia="zh-TW"/>
              </w:rPr>
              <w:t>, Y</w:t>
            </w:r>
            <w:r w:rsidR="009500D4" w:rsidRPr="00E63AA3">
              <w:rPr>
                <w:rFonts w:asciiTheme="majorBidi" w:hAnsiTheme="majorBidi" w:cstheme="majorBidi"/>
                <w:szCs w:val="22"/>
                <w:vertAlign w:val="subscript"/>
                <w:lang w:eastAsia="zh-TW"/>
              </w:rPr>
              <w:t>L</w:t>
            </w:r>
            <w:r w:rsidR="009500D4" w:rsidRPr="009500D4">
              <w:rPr>
                <w:rFonts w:asciiTheme="majorBidi" w:hAnsiTheme="majorBidi" w:cstheme="majorBidi"/>
                <w:szCs w:val="22"/>
                <w:lang w:eastAsia="zh-TW"/>
              </w:rPr>
              <w:t xml:space="preserve"> and Y</w:t>
            </w:r>
            <w:r w:rsidR="009500D4" w:rsidRPr="00E63AA3">
              <w:rPr>
                <w:rFonts w:asciiTheme="majorBidi" w:hAnsiTheme="majorBidi" w:cstheme="majorBidi"/>
                <w:szCs w:val="22"/>
                <w:vertAlign w:val="subscript"/>
                <w:lang w:eastAsia="zh-TW"/>
              </w:rPr>
              <w:t>D</w:t>
            </w:r>
            <w:r w:rsidR="009500D4" w:rsidRPr="009500D4">
              <w:rPr>
                <w:rFonts w:asciiTheme="majorBidi" w:hAnsiTheme="majorBidi" w:cstheme="majorBidi"/>
                <w:szCs w:val="22"/>
                <w:lang w:eastAsia="zh-TW"/>
              </w:rPr>
              <w:t xml:space="preserve"> represent</w:t>
            </w:r>
            <w:r w:rsidR="00E63AA3">
              <w:rPr>
                <w:rFonts w:asciiTheme="majorBidi" w:hAnsiTheme="majorBidi" w:cstheme="majorBidi"/>
                <w:szCs w:val="22"/>
                <w:lang w:eastAsia="zh-TW"/>
              </w:rPr>
              <w:t xml:space="preserve"> </w:t>
            </w:r>
            <w:r w:rsidR="009500D4" w:rsidRPr="009500D4">
              <w:rPr>
                <w:rFonts w:asciiTheme="majorBidi" w:hAnsiTheme="majorBidi" w:cstheme="majorBidi"/>
                <w:szCs w:val="22"/>
                <w:lang w:eastAsia="zh-TW"/>
              </w:rPr>
              <w:t xml:space="preserve">the </w:t>
            </w:r>
            <w:r w:rsidR="00E63AA3">
              <w:rPr>
                <w:rFonts w:asciiTheme="majorBidi" w:hAnsiTheme="majorBidi" w:cstheme="majorBidi"/>
                <w:szCs w:val="22"/>
                <w:lang w:eastAsia="zh-TW"/>
              </w:rPr>
              <w:t>loan dividend</w:t>
            </w:r>
            <w:r w:rsidR="009500D4" w:rsidRPr="009500D4">
              <w:rPr>
                <w:rFonts w:asciiTheme="majorBidi" w:hAnsiTheme="majorBidi" w:cstheme="majorBidi"/>
                <w:szCs w:val="22"/>
                <w:lang w:eastAsia="zh-TW"/>
              </w:rPr>
              <w:t xml:space="preserve"> rate, deposit </w:t>
            </w:r>
            <w:r w:rsidR="00E63AA3">
              <w:rPr>
                <w:rFonts w:asciiTheme="majorBidi" w:hAnsiTheme="majorBidi" w:cstheme="majorBidi"/>
                <w:szCs w:val="22"/>
                <w:lang w:eastAsia="zh-TW"/>
              </w:rPr>
              <w:t xml:space="preserve">dividend </w:t>
            </w:r>
            <w:r w:rsidR="009500D4" w:rsidRPr="009500D4">
              <w:rPr>
                <w:rFonts w:asciiTheme="majorBidi" w:hAnsiTheme="majorBidi" w:cstheme="majorBidi"/>
                <w:szCs w:val="22"/>
                <w:lang w:eastAsia="zh-TW"/>
              </w:rPr>
              <w:t>rate, reference rate, average stock of loans and</w:t>
            </w:r>
            <w:r w:rsidR="00E63AA3">
              <w:rPr>
                <w:rFonts w:asciiTheme="majorBidi" w:hAnsiTheme="majorBidi" w:cstheme="majorBidi"/>
                <w:szCs w:val="22"/>
                <w:lang w:eastAsia="zh-TW"/>
              </w:rPr>
              <w:t xml:space="preserve"> </w:t>
            </w:r>
            <w:r w:rsidR="009500D4" w:rsidRPr="009500D4">
              <w:rPr>
                <w:rFonts w:asciiTheme="majorBidi" w:hAnsiTheme="majorBidi" w:cstheme="majorBidi"/>
                <w:szCs w:val="22"/>
                <w:lang w:eastAsia="zh-TW"/>
              </w:rPr>
              <w:t>average stock of deposits respectively</w:t>
            </w:r>
          </w:p>
          <w:p w:rsidR="00DE3F0D" w:rsidRDefault="00DE3F0D" w:rsidP="00E63AA3">
            <w:pPr>
              <w:autoSpaceDE w:val="0"/>
              <w:autoSpaceDN w:val="0"/>
              <w:adjustRightInd w:val="0"/>
              <w:spacing w:line="240" w:lineRule="atLeast"/>
              <w:rPr>
                <w:rFonts w:asciiTheme="majorBidi" w:hAnsiTheme="majorBidi" w:cstheme="majorBidi"/>
                <w:szCs w:val="22"/>
                <w:lang w:eastAsia="zh-TW"/>
              </w:rPr>
            </w:pPr>
          </w:p>
          <w:p w:rsidR="00DE3F0D" w:rsidRPr="003F0219" w:rsidRDefault="00492C7E" w:rsidP="00E63AA3">
            <w:pPr>
              <w:autoSpaceDE w:val="0"/>
              <w:autoSpaceDN w:val="0"/>
              <w:adjustRightInd w:val="0"/>
              <w:spacing w:line="240" w:lineRule="atLeast"/>
              <w:rPr>
                <w:rFonts w:asciiTheme="majorBidi" w:hAnsiTheme="majorBidi" w:cstheme="majorBidi"/>
                <w:szCs w:val="22"/>
                <w:lang w:eastAsia="zh-TW"/>
              </w:rPr>
            </w:pPr>
            <w:r>
              <w:rPr>
                <w:rFonts w:asciiTheme="majorBidi" w:hAnsiTheme="majorBidi" w:cstheme="majorBidi"/>
                <w:szCs w:val="22"/>
                <w:lang w:eastAsia="zh-TW"/>
              </w:rPr>
              <w:t>(</w:t>
            </w:r>
            <w:r w:rsidR="00611653">
              <w:rPr>
                <w:rFonts w:asciiTheme="majorBidi" w:hAnsiTheme="majorBidi" w:cstheme="majorBidi"/>
                <w:szCs w:val="22"/>
                <w:lang w:eastAsia="zh-TW"/>
              </w:rPr>
              <w:t>b</w:t>
            </w:r>
            <w:r>
              <w:rPr>
                <w:rFonts w:asciiTheme="majorBidi" w:hAnsiTheme="majorBidi" w:cstheme="majorBidi"/>
                <w:szCs w:val="22"/>
                <w:lang w:eastAsia="zh-TW"/>
              </w:rPr>
              <w:t>)</w:t>
            </w:r>
            <w:r w:rsidR="00611653">
              <w:rPr>
                <w:rFonts w:asciiTheme="majorBidi" w:hAnsiTheme="majorBidi" w:cstheme="majorBidi"/>
                <w:szCs w:val="22"/>
                <w:lang w:eastAsia="zh-TW"/>
              </w:rPr>
              <w:t xml:space="preserve"> </w:t>
            </w:r>
            <w:r w:rsidR="00DE3F0D">
              <w:rPr>
                <w:rFonts w:asciiTheme="majorBidi" w:hAnsiTheme="majorBidi" w:cstheme="majorBidi"/>
                <w:szCs w:val="22"/>
                <w:lang w:eastAsia="zh-TW"/>
              </w:rPr>
              <w:t>Explicit fees</w:t>
            </w:r>
          </w:p>
        </w:tc>
      </w:tr>
      <w:tr w:rsidR="00611653" w:rsidRPr="00A60452" w:rsidTr="00BB478A">
        <w:tblPrEx>
          <w:tblLook w:val="01E0" w:firstRow="1" w:lastRow="1" w:firstColumn="1" w:lastColumn="1" w:noHBand="0" w:noVBand="0"/>
        </w:tblPrEx>
        <w:tc>
          <w:tcPr>
            <w:tcW w:w="2317" w:type="dxa"/>
          </w:tcPr>
          <w:p w:rsidR="00611653" w:rsidRPr="00A60452" w:rsidRDefault="00611653" w:rsidP="00611653">
            <w:pPr>
              <w:jc w:val="left"/>
              <w:rPr>
                <w:rFonts w:asciiTheme="majorBidi" w:hAnsiTheme="majorBidi" w:cstheme="majorBidi"/>
                <w:bCs/>
                <w:szCs w:val="22"/>
                <w:lang w:eastAsia="zh-CN"/>
              </w:rPr>
            </w:pPr>
            <w:r>
              <w:rPr>
                <w:rFonts w:asciiTheme="majorBidi" w:hAnsiTheme="majorBidi" w:cstheme="majorBidi"/>
                <w:bCs/>
                <w:szCs w:val="22"/>
                <w:lang w:eastAsia="zh-CN"/>
              </w:rPr>
              <w:t>Money market funds (MMFs) (S123)</w:t>
            </w:r>
          </w:p>
        </w:tc>
        <w:tc>
          <w:tcPr>
            <w:tcW w:w="2610" w:type="dxa"/>
          </w:tcPr>
          <w:p w:rsidR="00611653" w:rsidRPr="00A60452" w:rsidRDefault="00611653" w:rsidP="00611653">
            <w:pPr>
              <w:rPr>
                <w:rFonts w:asciiTheme="majorBidi" w:hAnsiTheme="majorBidi" w:cstheme="majorBidi"/>
                <w:noProof/>
                <w:szCs w:val="22"/>
                <w:lang w:eastAsia="zh-TW"/>
              </w:rPr>
            </w:pPr>
            <w:r>
              <w:rPr>
                <w:rFonts w:asciiTheme="majorBidi" w:hAnsiTheme="majorBidi" w:cstheme="majorBidi"/>
                <w:noProof/>
                <w:szCs w:val="22"/>
                <w:lang w:eastAsia="zh-TW"/>
              </w:rPr>
              <w:t>Sharia’a compliant MMFs</w:t>
            </w:r>
          </w:p>
        </w:tc>
        <w:tc>
          <w:tcPr>
            <w:tcW w:w="2790" w:type="dxa"/>
          </w:tcPr>
          <w:p w:rsidR="00611653" w:rsidRPr="00A60452" w:rsidRDefault="00611653" w:rsidP="00611653">
            <w:pPr>
              <w:rPr>
                <w:rFonts w:asciiTheme="majorBidi" w:hAnsiTheme="majorBidi" w:cstheme="majorBidi"/>
                <w:szCs w:val="22"/>
                <w:lang w:eastAsia="zh-TW"/>
              </w:rPr>
            </w:pPr>
            <w:r>
              <w:rPr>
                <w:rFonts w:asciiTheme="majorBidi" w:hAnsiTheme="majorBidi" w:cstheme="majorBidi"/>
                <w:noProof/>
                <w:szCs w:val="22"/>
                <w:lang w:eastAsia="zh-TW"/>
              </w:rPr>
              <w:t>Sharia’a compliant investment services</w:t>
            </w:r>
          </w:p>
        </w:tc>
        <w:tc>
          <w:tcPr>
            <w:tcW w:w="5243" w:type="dxa"/>
          </w:tcPr>
          <w:p w:rsidR="00611653" w:rsidRDefault="00611653" w:rsidP="00611653">
            <w:pPr>
              <w:rPr>
                <w:rFonts w:asciiTheme="majorBidi" w:hAnsiTheme="majorBidi" w:cstheme="majorBidi"/>
                <w:noProof/>
                <w:szCs w:val="22"/>
                <w:lang w:eastAsia="zh-TW"/>
              </w:rPr>
            </w:pPr>
            <w:r w:rsidRPr="00405BD1">
              <w:rPr>
                <w:rFonts w:asciiTheme="majorBidi" w:hAnsiTheme="majorBidi" w:cstheme="majorBidi"/>
                <w:noProof/>
                <w:szCs w:val="22"/>
                <w:lang w:eastAsia="zh-TW"/>
              </w:rPr>
              <w:t xml:space="preserve">For purposes of calculating the output, and thereby the value added, of Islamic MMFs, and based on the nature of ownership of shares, they could be treated in the same way as conventional MMFs. </w:t>
            </w:r>
          </w:p>
          <w:p w:rsidR="00492C7E" w:rsidRDefault="00492C7E" w:rsidP="00611653">
            <w:pPr>
              <w:rPr>
                <w:rFonts w:asciiTheme="majorBidi" w:hAnsiTheme="majorBidi" w:cstheme="majorBidi"/>
                <w:noProof/>
                <w:szCs w:val="22"/>
                <w:lang w:eastAsia="zh-TW"/>
              </w:rPr>
            </w:pPr>
          </w:p>
          <w:p w:rsidR="00611653" w:rsidRPr="00A60452" w:rsidRDefault="00611653" w:rsidP="00611653">
            <w:pPr>
              <w:rPr>
                <w:rFonts w:asciiTheme="majorBidi" w:hAnsiTheme="majorBidi" w:cstheme="majorBidi"/>
                <w:noProof/>
                <w:szCs w:val="22"/>
                <w:lang w:eastAsia="zh-TW"/>
              </w:rPr>
            </w:pPr>
            <w:r w:rsidRPr="00405BD1">
              <w:rPr>
                <w:rFonts w:asciiTheme="majorBidi" w:hAnsiTheme="majorBidi" w:cstheme="majorBidi"/>
                <w:noProof/>
                <w:szCs w:val="22"/>
                <w:lang w:eastAsia="zh-TW"/>
              </w:rPr>
              <w:t xml:space="preserve">As such, </w:t>
            </w:r>
            <w:r>
              <w:rPr>
                <w:rFonts w:asciiTheme="majorBidi" w:hAnsiTheme="majorBidi" w:cstheme="majorBidi"/>
                <w:noProof/>
                <w:szCs w:val="22"/>
                <w:lang w:eastAsia="zh-TW"/>
              </w:rPr>
              <w:t>o</w:t>
            </w:r>
            <w:r w:rsidRPr="00405BD1">
              <w:rPr>
                <w:rFonts w:asciiTheme="majorBidi" w:hAnsiTheme="majorBidi" w:cstheme="majorBidi"/>
                <w:noProof/>
                <w:szCs w:val="22"/>
                <w:lang w:eastAsia="zh-TW"/>
              </w:rPr>
              <w:t>utput may be computed as the sum of various fees that MMFs charge investors on transactions, namely purchase and redemption fees, exchange fees, account fees, and operating fees.</w:t>
            </w:r>
          </w:p>
        </w:tc>
      </w:tr>
      <w:tr w:rsidR="00611653" w:rsidRPr="00A60452" w:rsidTr="00BB478A">
        <w:tblPrEx>
          <w:tblLook w:val="01E0" w:firstRow="1" w:lastRow="1" w:firstColumn="1" w:lastColumn="1" w:noHBand="0" w:noVBand="0"/>
        </w:tblPrEx>
        <w:tc>
          <w:tcPr>
            <w:tcW w:w="2317" w:type="dxa"/>
            <w:tcBorders>
              <w:top w:val="single" w:sz="4" w:space="0" w:color="auto"/>
              <w:left w:val="single" w:sz="4" w:space="0" w:color="auto"/>
              <w:bottom w:val="single" w:sz="4" w:space="0" w:color="auto"/>
              <w:right w:val="single" w:sz="4" w:space="0" w:color="auto"/>
            </w:tcBorders>
          </w:tcPr>
          <w:p w:rsidR="00611653" w:rsidRPr="00A54B66" w:rsidRDefault="00611653" w:rsidP="00611653">
            <w:pPr>
              <w:jc w:val="left"/>
              <w:rPr>
                <w:rFonts w:asciiTheme="majorBidi" w:hAnsiTheme="majorBidi" w:cstheme="majorBidi"/>
                <w:szCs w:val="22"/>
              </w:rPr>
            </w:pPr>
            <w:r>
              <w:rPr>
                <w:rFonts w:asciiTheme="majorBidi" w:hAnsiTheme="majorBidi" w:cstheme="majorBidi"/>
                <w:szCs w:val="22"/>
              </w:rPr>
              <w:t>Non-MMF investment funds (S124)</w:t>
            </w:r>
          </w:p>
        </w:tc>
        <w:tc>
          <w:tcPr>
            <w:tcW w:w="2610" w:type="dxa"/>
            <w:tcBorders>
              <w:top w:val="single" w:sz="4" w:space="0" w:color="auto"/>
              <w:left w:val="single" w:sz="4" w:space="0" w:color="auto"/>
              <w:bottom w:val="single" w:sz="4" w:space="0" w:color="auto"/>
              <w:right w:val="single" w:sz="4" w:space="0" w:color="auto"/>
            </w:tcBorders>
          </w:tcPr>
          <w:p w:rsidR="00611653" w:rsidRPr="00A60452" w:rsidRDefault="00611653" w:rsidP="00611653">
            <w:pPr>
              <w:rPr>
                <w:rFonts w:asciiTheme="majorBidi" w:hAnsiTheme="majorBidi" w:cstheme="majorBidi"/>
                <w:szCs w:val="22"/>
                <w:lang w:eastAsia="zh-TW"/>
              </w:rPr>
            </w:pPr>
            <w:r>
              <w:rPr>
                <w:rFonts w:asciiTheme="majorBidi" w:hAnsiTheme="majorBidi" w:cstheme="majorBidi"/>
                <w:noProof/>
                <w:szCs w:val="22"/>
                <w:lang w:eastAsia="zh-TW"/>
              </w:rPr>
              <w:t>Sharia’a compliant Non-MMF investment funds</w:t>
            </w:r>
          </w:p>
        </w:tc>
        <w:tc>
          <w:tcPr>
            <w:tcW w:w="2790" w:type="dxa"/>
            <w:tcBorders>
              <w:top w:val="single" w:sz="4" w:space="0" w:color="auto"/>
              <w:left w:val="single" w:sz="4" w:space="0" w:color="auto"/>
              <w:bottom w:val="single" w:sz="4" w:space="0" w:color="auto"/>
              <w:right w:val="single" w:sz="4" w:space="0" w:color="auto"/>
            </w:tcBorders>
          </w:tcPr>
          <w:p w:rsidR="00611653" w:rsidRPr="00A60452" w:rsidRDefault="00611653" w:rsidP="00611653">
            <w:pPr>
              <w:rPr>
                <w:rFonts w:asciiTheme="majorBidi" w:hAnsiTheme="majorBidi" w:cstheme="majorBidi"/>
                <w:szCs w:val="22"/>
                <w:lang w:eastAsia="zh-TW"/>
              </w:rPr>
            </w:pPr>
            <w:r>
              <w:rPr>
                <w:rFonts w:asciiTheme="majorBidi" w:hAnsiTheme="majorBidi" w:cstheme="majorBidi"/>
                <w:noProof/>
                <w:szCs w:val="22"/>
                <w:lang w:eastAsia="zh-TW"/>
              </w:rPr>
              <w:t>Sharia’a compliant investment services</w:t>
            </w:r>
          </w:p>
        </w:tc>
        <w:tc>
          <w:tcPr>
            <w:tcW w:w="5243" w:type="dxa"/>
            <w:tcBorders>
              <w:top w:val="single" w:sz="4" w:space="0" w:color="auto"/>
              <w:left w:val="single" w:sz="4" w:space="0" w:color="auto"/>
              <w:bottom w:val="single" w:sz="4" w:space="0" w:color="auto"/>
              <w:right w:val="single" w:sz="4" w:space="0" w:color="auto"/>
            </w:tcBorders>
          </w:tcPr>
          <w:p w:rsidR="00611653" w:rsidRDefault="00611653" w:rsidP="00611653">
            <w:pPr>
              <w:rPr>
                <w:rFonts w:asciiTheme="majorBidi" w:hAnsiTheme="majorBidi" w:cstheme="majorBidi"/>
                <w:noProof/>
                <w:szCs w:val="22"/>
                <w:lang w:eastAsia="zh-TW"/>
              </w:rPr>
            </w:pPr>
            <w:r w:rsidRPr="00405BD1">
              <w:rPr>
                <w:rFonts w:asciiTheme="majorBidi" w:hAnsiTheme="majorBidi" w:cstheme="majorBidi"/>
                <w:noProof/>
                <w:szCs w:val="22"/>
                <w:lang w:eastAsia="zh-TW"/>
              </w:rPr>
              <w:t xml:space="preserve">For purposes of calculating the output, and thereby the value added, of Islamic </w:t>
            </w:r>
            <w:r>
              <w:rPr>
                <w:rFonts w:asciiTheme="majorBidi" w:hAnsiTheme="majorBidi" w:cstheme="majorBidi"/>
                <w:noProof/>
                <w:szCs w:val="22"/>
                <w:lang w:eastAsia="zh-TW"/>
              </w:rPr>
              <w:t>non-</w:t>
            </w:r>
            <w:r w:rsidRPr="00405BD1">
              <w:rPr>
                <w:rFonts w:asciiTheme="majorBidi" w:hAnsiTheme="majorBidi" w:cstheme="majorBidi"/>
                <w:noProof/>
                <w:szCs w:val="22"/>
                <w:lang w:eastAsia="zh-TW"/>
              </w:rPr>
              <w:t xml:space="preserve">MMFs, and based on the nature of ownership of shares, they could be treated in the same way as conventional </w:t>
            </w:r>
            <w:r>
              <w:rPr>
                <w:rFonts w:asciiTheme="majorBidi" w:hAnsiTheme="majorBidi" w:cstheme="majorBidi"/>
                <w:noProof/>
                <w:szCs w:val="22"/>
                <w:lang w:eastAsia="zh-TW"/>
              </w:rPr>
              <w:t>non-</w:t>
            </w:r>
            <w:r w:rsidRPr="00405BD1">
              <w:rPr>
                <w:rFonts w:asciiTheme="majorBidi" w:hAnsiTheme="majorBidi" w:cstheme="majorBidi"/>
                <w:noProof/>
                <w:szCs w:val="22"/>
                <w:lang w:eastAsia="zh-TW"/>
              </w:rPr>
              <w:t xml:space="preserve">MMFs. </w:t>
            </w:r>
          </w:p>
          <w:p w:rsidR="00492C7E" w:rsidRDefault="00492C7E" w:rsidP="00611653">
            <w:pPr>
              <w:rPr>
                <w:rFonts w:asciiTheme="majorBidi" w:hAnsiTheme="majorBidi" w:cstheme="majorBidi"/>
                <w:noProof/>
                <w:szCs w:val="22"/>
                <w:lang w:eastAsia="zh-TW"/>
              </w:rPr>
            </w:pPr>
          </w:p>
          <w:p w:rsidR="00611653" w:rsidRPr="00A60452" w:rsidRDefault="00611653" w:rsidP="00611653">
            <w:pPr>
              <w:rPr>
                <w:rFonts w:asciiTheme="majorBidi" w:hAnsiTheme="majorBidi" w:cstheme="majorBidi"/>
                <w:noProof/>
                <w:szCs w:val="22"/>
                <w:lang w:eastAsia="zh-TW"/>
              </w:rPr>
            </w:pPr>
            <w:r w:rsidRPr="00405BD1">
              <w:rPr>
                <w:rFonts w:asciiTheme="majorBidi" w:hAnsiTheme="majorBidi" w:cstheme="majorBidi"/>
                <w:noProof/>
                <w:szCs w:val="22"/>
                <w:lang w:eastAsia="zh-TW"/>
              </w:rPr>
              <w:t xml:space="preserve">As such, </w:t>
            </w:r>
            <w:r>
              <w:rPr>
                <w:rFonts w:asciiTheme="majorBidi" w:hAnsiTheme="majorBidi" w:cstheme="majorBidi"/>
                <w:noProof/>
                <w:szCs w:val="22"/>
                <w:lang w:eastAsia="zh-TW"/>
              </w:rPr>
              <w:t>o</w:t>
            </w:r>
            <w:r w:rsidRPr="00405BD1">
              <w:rPr>
                <w:rFonts w:asciiTheme="majorBidi" w:hAnsiTheme="majorBidi" w:cstheme="majorBidi"/>
                <w:noProof/>
                <w:szCs w:val="22"/>
                <w:lang w:eastAsia="zh-TW"/>
              </w:rPr>
              <w:t xml:space="preserve">utput may be computed as the sum of various fees that </w:t>
            </w:r>
            <w:r>
              <w:rPr>
                <w:rFonts w:asciiTheme="majorBidi" w:hAnsiTheme="majorBidi" w:cstheme="majorBidi"/>
                <w:noProof/>
                <w:szCs w:val="22"/>
                <w:lang w:eastAsia="zh-TW"/>
              </w:rPr>
              <w:t>non-</w:t>
            </w:r>
            <w:r w:rsidRPr="00405BD1">
              <w:rPr>
                <w:rFonts w:asciiTheme="majorBidi" w:hAnsiTheme="majorBidi" w:cstheme="majorBidi"/>
                <w:noProof/>
                <w:szCs w:val="22"/>
                <w:lang w:eastAsia="zh-TW"/>
              </w:rPr>
              <w:t>MMFs charge investors on transactions, namely purchase and redemption fees, exchange fees, account fees, and operating fees.</w:t>
            </w:r>
          </w:p>
        </w:tc>
      </w:tr>
      <w:tr w:rsidR="00611653" w:rsidRPr="00A60452" w:rsidTr="00BB478A">
        <w:tblPrEx>
          <w:tblLook w:val="01E0" w:firstRow="1" w:lastRow="1" w:firstColumn="1" w:lastColumn="1" w:noHBand="0" w:noVBand="0"/>
        </w:tblPrEx>
        <w:tc>
          <w:tcPr>
            <w:tcW w:w="2317" w:type="dxa"/>
          </w:tcPr>
          <w:p w:rsidR="00611653" w:rsidRPr="00A60452" w:rsidRDefault="00611653" w:rsidP="00611653">
            <w:pPr>
              <w:jc w:val="left"/>
              <w:rPr>
                <w:rFonts w:asciiTheme="majorBidi" w:hAnsiTheme="majorBidi" w:cstheme="majorBidi"/>
                <w:bCs/>
                <w:szCs w:val="22"/>
              </w:rPr>
            </w:pPr>
            <w:r>
              <w:rPr>
                <w:rFonts w:asciiTheme="majorBidi" w:hAnsiTheme="majorBidi" w:cstheme="majorBidi"/>
                <w:bCs/>
                <w:szCs w:val="22"/>
              </w:rPr>
              <w:lastRenderedPageBreak/>
              <w:t>Other financial intermediaries except insurance corporations and pension funds (S125)</w:t>
            </w:r>
          </w:p>
        </w:tc>
        <w:tc>
          <w:tcPr>
            <w:tcW w:w="2610" w:type="dxa"/>
          </w:tcPr>
          <w:p w:rsidR="00611653" w:rsidRPr="001E7F93" w:rsidRDefault="00611653" w:rsidP="00611653">
            <w:pPr>
              <w:autoSpaceDE w:val="0"/>
              <w:autoSpaceDN w:val="0"/>
              <w:adjustRightInd w:val="0"/>
              <w:spacing w:line="240" w:lineRule="atLeast"/>
              <w:jc w:val="left"/>
              <w:rPr>
                <w:rFonts w:asciiTheme="majorBidi" w:hAnsiTheme="majorBidi" w:cstheme="majorBidi"/>
                <w:noProof/>
                <w:szCs w:val="22"/>
                <w:lang w:eastAsia="zh-TW"/>
              </w:rPr>
            </w:pPr>
            <w:r w:rsidRPr="001E7F93">
              <w:rPr>
                <w:rFonts w:asciiTheme="majorBidi" w:hAnsiTheme="majorBidi" w:cstheme="majorBidi"/>
                <w:noProof/>
                <w:szCs w:val="22"/>
                <w:lang w:eastAsia="zh-TW"/>
              </w:rPr>
              <w:t xml:space="preserve">Islamic </w:t>
            </w:r>
            <w:r>
              <w:rPr>
                <w:rFonts w:asciiTheme="majorBidi" w:hAnsiTheme="majorBidi" w:cstheme="majorBidi"/>
                <w:noProof/>
                <w:szCs w:val="22"/>
                <w:lang w:eastAsia="zh-TW"/>
              </w:rPr>
              <w:t>i</w:t>
            </w:r>
            <w:r w:rsidRPr="001E7F93">
              <w:rPr>
                <w:rFonts w:asciiTheme="majorBidi" w:hAnsiTheme="majorBidi" w:cstheme="majorBidi"/>
                <w:noProof/>
                <w:szCs w:val="22"/>
                <w:lang w:eastAsia="zh-TW"/>
              </w:rPr>
              <w:t xml:space="preserve">nvestment </w:t>
            </w:r>
            <w:r>
              <w:rPr>
                <w:rFonts w:asciiTheme="majorBidi" w:hAnsiTheme="majorBidi" w:cstheme="majorBidi"/>
                <w:noProof/>
                <w:szCs w:val="22"/>
                <w:lang w:eastAsia="zh-TW"/>
              </w:rPr>
              <w:t>b</w:t>
            </w:r>
            <w:r w:rsidRPr="001E7F93">
              <w:rPr>
                <w:rFonts w:asciiTheme="majorBidi" w:hAnsiTheme="majorBidi" w:cstheme="majorBidi"/>
                <w:noProof/>
                <w:szCs w:val="22"/>
                <w:lang w:eastAsia="zh-TW"/>
              </w:rPr>
              <w:t>ank</w:t>
            </w:r>
            <w:r>
              <w:rPr>
                <w:rFonts w:asciiTheme="majorBidi" w:hAnsiTheme="majorBidi" w:cstheme="majorBidi"/>
                <w:noProof/>
                <w:szCs w:val="22"/>
                <w:lang w:eastAsia="zh-TW"/>
              </w:rPr>
              <w:t>s</w:t>
            </w:r>
          </w:p>
          <w:p w:rsidR="00611653" w:rsidRPr="001E7F93" w:rsidRDefault="00611653" w:rsidP="00611653">
            <w:pPr>
              <w:autoSpaceDE w:val="0"/>
              <w:autoSpaceDN w:val="0"/>
              <w:adjustRightInd w:val="0"/>
              <w:spacing w:line="240" w:lineRule="atLeast"/>
              <w:jc w:val="left"/>
              <w:rPr>
                <w:rFonts w:asciiTheme="majorBidi" w:hAnsiTheme="majorBidi" w:cstheme="majorBidi"/>
                <w:noProof/>
                <w:szCs w:val="22"/>
                <w:lang w:eastAsia="zh-TW"/>
              </w:rPr>
            </w:pPr>
            <w:r>
              <w:rPr>
                <w:rFonts w:asciiTheme="majorBidi" w:hAnsiTheme="majorBidi" w:cstheme="majorBidi"/>
                <w:noProof/>
                <w:szCs w:val="22"/>
                <w:lang w:eastAsia="zh-TW"/>
              </w:rPr>
              <w:t>Investment companies</w:t>
            </w:r>
          </w:p>
          <w:p w:rsidR="00611653" w:rsidRPr="001E7F93" w:rsidRDefault="00611653" w:rsidP="00611653">
            <w:pPr>
              <w:autoSpaceDE w:val="0"/>
              <w:autoSpaceDN w:val="0"/>
              <w:adjustRightInd w:val="0"/>
              <w:spacing w:line="240" w:lineRule="atLeast"/>
              <w:jc w:val="left"/>
              <w:rPr>
                <w:rFonts w:asciiTheme="majorBidi" w:hAnsiTheme="majorBidi" w:cstheme="majorBidi"/>
                <w:noProof/>
                <w:szCs w:val="22"/>
                <w:lang w:eastAsia="zh-TW"/>
              </w:rPr>
            </w:pPr>
          </w:p>
        </w:tc>
        <w:tc>
          <w:tcPr>
            <w:tcW w:w="2790" w:type="dxa"/>
          </w:tcPr>
          <w:p w:rsidR="00611653" w:rsidRDefault="00611653" w:rsidP="00611653">
            <w:pPr>
              <w:autoSpaceDE w:val="0"/>
              <w:autoSpaceDN w:val="0"/>
              <w:adjustRightInd w:val="0"/>
              <w:spacing w:line="240" w:lineRule="atLeast"/>
              <w:jc w:val="left"/>
              <w:rPr>
                <w:rFonts w:asciiTheme="majorBidi" w:hAnsiTheme="majorBidi" w:cstheme="majorBidi"/>
                <w:noProof/>
                <w:szCs w:val="22"/>
                <w:lang w:eastAsia="zh-TW"/>
              </w:rPr>
            </w:pPr>
            <w:r>
              <w:rPr>
                <w:rFonts w:asciiTheme="majorBidi" w:hAnsiTheme="majorBidi" w:cstheme="majorBidi"/>
                <w:noProof/>
                <w:szCs w:val="22"/>
                <w:lang w:eastAsia="zh-TW"/>
              </w:rPr>
              <w:t>S</w:t>
            </w:r>
            <w:r w:rsidRPr="00770D68">
              <w:rPr>
                <w:rFonts w:asciiTheme="majorBidi" w:hAnsiTheme="majorBidi" w:cstheme="majorBidi"/>
                <w:noProof/>
                <w:szCs w:val="22"/>
                <w:lang w:eastAsia="zh-TW"/>
              </w:rPr>
              <w:t xml:space="preserve">haria’a compliant </w:t>
            </w:r>
            <w:r>
              <w:rPr>
                <w:rFonts w:asciiTheme="majorBidi" w:hAnsiTheme="majorBidi" w:cstheme="majorBidi"/>
                <w:noProof/>
                <w:szCs w:val="22"/>
                <w:lang w:eastAsia="zh-TW"/>
              </w:rPr>
              <w:t xml:space="preserve">(advisory) </w:t>
            </w:r>
            <w:r w:rsidRPr="00374AD5">
              <w:rPr>
                <w:rFonts w:asciiTheme="majorBidi" w:hAnsiTheme="majorBidi" w:cstheme="majorBidi"/>
                <w:noProof/>
                <w:szCs w:val="22"/>
                <w:lang w:eastAsia="zh-TW"/>
              </w:rPr>
              <w:t>investment banking services</w:t>
            </w:r>
            <w:r>
              <w:rPr>
                <w:rFonts w:asciiTheme="majorBidi" w:hAnsiTheme="majorBidi" w:cstheme="majorBidi"/>
                <w:noProof/>
                <w:szCs w:val="22"/>
                <w:lang w:eastAsia="zh-TW"/>
              </w:rPr>
              <w:t xml:space="preserve"> such as </w:t>
            </w:r>
            <w:r w:rsidRPr="00374AD5">
              <w:rPr>
                <w:rFonts w:asciiTheme="majorBidi" w:hAnsiTheme="majorBidi" w:cstheme="majorBidi"/>
                <w:noProof/>
                <w:szCs w:val="22"/>
                <w:lang w:eastAsia="zh-TW"/>
              </w:rPr>
              <w:t>structured finance</w:t>
            </w:r>
            <w:r>
              <w:rPr>
                <w:rFonts w:asciiTheme="majorBidi" w:hAnsiTheme="majorBidi" w:cstheme="majorBidi"/>
                <w:noProof/>
                <w:szCs w:val="22"/>
                <w:lang w:eastAsia="zh-TW"/>
              </w:rPr>
              <w:t xml:space="preserve"> (Istisna or Ijarah), i</w:t>
            </w:r>
            <w:r w:rsidRPr="00374AD5">
              <w:rPr>
                <w:rFonts w:asciiTheme="majorBidi" w:hAnsiTheme="majorBidi" w:cstheme="majorBidi"/>
                <w:noProof/>
                <w:szCs w:val="22"/>
                <w:lang w:eastAsia="zh-TW"/>
              </w:rPr>
              <w:t>nvestment placement</w:t>
            </w:r>
            <w:r>
              <w:rPr>
                <w:rFonts w:asciiTheme="majorBidi" w:hAnsiTheme="majorBidi" w:cstheme="majorBidi"/>
                <w:noProof/>
                <w:szCs w:val="22"/>
                <w:lang w:eastAsia="zh-TW"/>
              </w:rPr>
              <w:t>, raising funds (often on the basis of joint Mudaraba) in equity and debt markets and trade finance (Murabaha contracts being the dominant Sharia’a principle)</w:t>
            </w:r>
          </w:p>
          <w:p w:rsidR="00611653" w:rsidRDefault="00611653" w:rsidP="00611653">
            <w:pPr>
              <w:autoSpaceDE w:val="0"/>
              <w:autoSpaceDN w:val="0"/>
              <w:adjustRightInd w:val="0"/>
              <w:spacing w:line="240" w:lineRule="atLeast"/>
              <w:jc w:val="left"/>
              <w:rPr>
                <w:rFonts w:asciiTheme="majorBidi" w:hAnsiTheme="majorBidi" w:cstheme="majorBidi"/>
                <w:noProof/>
                <w:szCs w:val="22"/>
                <w:lang w:eastAsia="zh-TW"/>
              </w:rPr>
            </w:pPr>
          </w:p>
          <w:p w:rsidR="00611653" w:rsidRPr="00A60452" w:rsidRDefault="00611653" w:rsidP="00611653">
            <w:pPr>
              <w:autoSpaceDE w:val="0"/>
              <w:autoSpaceDN w:val="0"/>
              <w:adjustRightInd w:val="0"/>
              <w:spacing w:line="240" w:lineRule="atLeast"/>
              <w:jc w:val="left"/>
              <w:rPr>
                <w:rFonts w:asciiTheme="majorBidi" w:hAnsiTheme="majorBidi" w:cstheme="majorBidi"/>
                <w:noProof/>
                <w:szCs w:val="22"/>
                <w:lang w:eastAsia="zh-TW"/>
              </w:rPr>
            </w:pPr>
            <w:r>
              <w:rPr>
                <w:rFonts w:asciiTheme="majorBidi" w:hAnsiTheme="majorBidi" w:cstheme="majorBidi"/>
                <w:noProof/>
                <w:szCs w:val="22"/>
                <w:lang w:eastAsia="zh-TW"/>
              </w:rPr>
              <w:t>Murabaha or Baj Ajel installment sales</w:t>
            </w:r>
          </w:p>
        </w:tc>
        <w:tc>
          <w:tcPr>
            <w:tcW w:w="5243" w:type="dxa"/>
          </w:tcPr>
          <w:p w:rsidR="00611653" w:rsidRDefault="00611653" w:rsidP="00611653">
            <w:pPr>
              <w:autoSpaceDE w:val="0"/>
              <w:autoSpaceDN w:val="0"/>
              <w:adjustRightInd w:val="0"/>
              <w:spacing w:line="240" w:lineRule="atLeast"/>
              <w:jc w:val="left"/>
              <w:rPr>
                <w:rFonts w:asciiTheme="majorBidi" w:hAnsiTheme="majorBidi" w:cstheme="majorBidi"/>
                <w:noProof/>
                <w:szCs w:val="22"/>
                <w:lang w:eastAsia="zh-TW"/>
              </w:rPr>
            </w:pPr>
            <w:r>
              <w:rPr>
                <w:rFonts w:asciiTheme="majorBidi" w:hAnsiTheme="majorBidi" w:cstheme="majorBidi"/>
                <w:noProof/>
                <w:szCs w:val="22"/>
                <w:lang w:eastAsia="zh-TW"/>
              </w:rPr>
              <w:t>Output is a combination of the following:</w:t>
            </w:r>
          </w:p>
          <w:p w:rsidR="00611653" w:rsidRDefault="00492C7E" w:rsidP="00611653">
            <w:pPr>
              <w:autoSpaceDE w:val="0"/>
              <w:autoSpaceDN w:val="0"/>
              <w:adjustRightInd w:val="0"/>
              <w:spacing w:line="240" w:lineRule="atLeast"/>
              <w:jc w:val="left"/>
              <w:rPr>
                <w:rFonts w:asciiTheme="majorBidi" w:hAnsiTheme="majorBidi" w:cstheme="majorBidi"/>
                <w:noProof/>
                <w:szCs w:val="22"/>
                <w:lang w:eastAsia="zh-TW"/>
              </w:rPr>
            </w:pPr>
            <w:r>
              <w:rPr>
                <w:rFonts w:asciiTheme="majorBidi" w:hAnsiTheme="majorBidi" w:cstheme="majorBidi"/>
                <w:noProof/>
                <w:szCs w:val="22"/>
                <w:lang w:eastAsia="zh-TW"/>
              </w:rPr>
              <w:t>(</w:t>
            </w:r>
            <w:r w:rsidR="00611653">
              <w:rPr>
                <w:rFonts w:asciiTheme="majorBidi" w:hAnsiTheme="majorBidi" w:cstheme="majorBidi"/>
                <w:noProof/>
                <w:szCs w:val="22"/>
                <w:lang w:eastAsia="zh-TW"/>
              </w:rPr>
              <w:t>a</w:t>
            </w:r>
            <w:r>
              <w:rPr>
                <w:rFonts w:asciiTheme="majorBidi" w:hAnsiTheme="majorBidi" w:cstheme="majorBidi"/>
                <w:noProof/>
                <w:szCs w:val="22"/>
                <w:lang w:eastAsia="zh-TW"/>
              </w:rPr>
              <w:t>)</w:t>
            </w:r>
            <w:r w:rsidR="00611653">
              <w:rPr>
                <w:rFonts w:asciiTheme="majorBidi" w:hAnsiTheme="majorBidi" w:cstheme="majorBidi"/>
                <w:noProof/>
                <w:szCs w:val="22"/>
                <w:lang w:eastAsia="zh-TW"/>
              </w:rPr>
              <w:t xml:space="preserve"> Explicit fees</w:t>
            </w:r>
          </w:p>
          <w:p w:rsidR="00611653" w:rsidRPr="00952861" w:rsidRDefault="00492C7E" w:rsidP="00611653">
            <w:pPr>
              <w:autoSpaceDE w:val="0"/>
              <w:autoSpaceDN w:val="0"/>
              <w:adjustRightInd w:val="0"/>
              <w:spacing w:line="240" w:lineRule="atLeast"/>
              <w:rPr>
                <w:rFonts w:asciiTheme="majorBidi" w:hAnsiTheme="majorBidi" w:cstheme="majorBidi"/>
                <w:noProof/>
                <w:szCs w:val="22"/>
                <w:lang w:eastAsia="zh-TW"/>
              </w:rPr>
            </w:pPr>
            <w:r>
              <w:rPr>
                <w:rFonts w:asciiTheme="majorBidi" w:hAnsiTheme="majorBidi" w:cstheme="majorBidi"/>
                <w:noProof/>
                <w:szCs w:val="22"/>
                <w:lang w:eastAsia="zh-TW"/>
              </w:rPr>
              <w:t>(</w:t>
            </w:r>
            <w:r w:rsidR="00611653">
              <w:rPr>
                <w:rFonts w:asciiTheme="majorBidi" w:hAnsiTheme="majorBidi" w:cstheme="majorBidi"/>
                <w:noProof/>
                <w:szCs w:val="22"/>
                <w:lang w:eastAsia="zh-TW"/>
              </w:rPr>
              <w:t>b</w:t>
            </w:r>
            <w:r>
              <w:rPr>
                <w:rFonts w:asciiTheme="majorBidi" w:hAnsiTheme="majorBidi" w:cstheme="majorBidi"/>
                <w:noProof/>
                <w:szCs w:val="22"/>
                <w:lang w:eastAsia="zh-TW"/>
              </w:rPr>
              <w:t>)</w:t>
            </w:r>
            <w:r w:rsidR="00611653">
              <w:rPr>
                <w:rFonts w:asciiTheme="majorBidi" w:hAnsiTheme="majorBidi" w:cstheme="majorBidi"/>
                <w:noProof/>
                <w:szCs w:val="22"/>
                <w:lang w:eastAsia="zh-TW"/>
              </w:rPr>
              <w:t xml:space="preserve"> Implicit financial service charge, which is calculated as </w:t>
            </w:r>
            <w:r w:rsidR="00611653" w:rsidRPr="00952861">
              <w:rPr>
                <w:rFonts w:asciiTheme="majorBidi" w:hAnsiTheme="majorBidi" w:cstheme="majorBidi"/>
                <w:noProof/>
                <w:szCs w:val="22"/>
                <w:lang w:eastAsia="zh-TW"/>
              </w:rPr>
              <w:t>calculated as (r</w:t>
            </w:r>
            <w:r w:rsidR="00611653" w:rsidRPr="00952861">
              <w:rPr>
                <w:rFonts w:asciiTheme="majorBidi" w:hAnsiTheme="majorBidi" w:cstheme="majorBidi"/>
                <w:noProof/>
                <w:szCs w:val="22"/>
                <w:vertAlign w:val="subscript"/>
                <w:lang w:eastAsia="zh-TW"/>
              </w:rPr>
              <w:t>L</w:t>
            </w:r>
            <w:r w:rsidR="00611653" w:rsidRPr="00952861">
              <w:rPr>
                <w:rFonts w:asciiTheme="majorBidi" w:hAnsiTheme="majorBidi" w:cstheme="majorBidi"/>
                <w:noProof/>
                <w:szCs w:val="22"/>
                <w:lang w:eastAsia="zh-TW"/>
              </w:rPr>
              <w:t>–rr)×Y</w:t>
            </w:r>
            <w:r w:rsidR="00611653" w:rsidRPr="00952861">
              <w:rPr>
                <w:rFonts w:asciiTheme="majorBidi" w:hAnsiTheme="majorBidi" w:cstheme="majorBidi"/>
                <w:noProof/>
                <w:szCs w:val="22"/>
                <w:vertAlign w:val="subscript"/>
                <w:lang w:eastAsia="zh-TW"/>
              </w:rPr>
              <w:t xml:space="preserve">L </w:t>
            </w:r>
            <w:r w:rsidR="00611653" w:rsidRPr="00952861">
              <w:rPr>
                <w:rFonts w:asciiTheme="majorBidi" w:hAnsiTheme="majorBidi" w:cstheme="majorBidi"/>
                <w:noProof/>
                <w:szCs w:val="22"/>
                <w:lang w:eastAsia="zh-TW"/>
              </w:rPr>
              <w:t>,</w:t>
            </w:r>
          </w:p>
          <w:p w:rsidR="00611653" w:rsidRPr="00A60452" w:rsidRDefault="00611653" w:rsidP="00611653">
            <w:pPr>
              <w:autoSpaceDE w:val="0"/>
              <w:autoSpaceDN w:val="0"/>
              <w:adjustRightInd w:val="0"/>
              <w:spacing w:line="240" w:lineRule="atLeast"/>
              <w:rPr>
                <w:rFonts w:asciiTheme="majorBidi" w:hAnsiTheme="majorBidi" w:cstheme="majorBidi"/>
                <w:noProof/>
                <w:szCs w:val="22"/>
                <w:lang w:eastAsia="zh-TW"/>
              </w:rPr>
            </w:pPr>
            <w:r w:rsidRPr="00952861">
              <w:rPr>
                <w:rFonts w:asciiTheme="majorBidi" w:hAnsiTheme="majorBidi" w:cstheme="majorBidi"/>
                <w:noProof/>
                <w:szCs w:val="22"/>
                <w:lang w:eastAsia="zh-TW"/>
              </w:rPr>
              <w:t>where r</w:t>
            </w:r>
            <w:r w:rsidRPr="00952861">
              <w:rPr>
                <w:rFonts w:asciiTheme="majorBidi" w:hAnsiTheme="majorBidi" w:cstheme="majorBidi"/>
                <w:noProof/>
                <w:szCs w:val="22"/>
                <w:vertAlign w:val="subscript"/>
                <w:lang w:eastAsia="zh-TW"/>
              </w:rPr>
              <w:t>L</w:t>
            </w:r>
            <w:r w:rsidRPr="00952861">
              <w:rPr>
                <w:rFonts w:asciiTheme="majorBidi" w:hAnsiTheme="majorBidi" w:cstheme="majorBidi"/>
                <w:noProof/>
                <w:szCs w:val="22"/>
                <w:lang w:eastAsia="zh-TW"/>
              </w:rPr>
              <w:t xml:space="preserve"> , rr and Y</w:t>
            </w:r>
            <w:r w:rsidRPr="00952861">
              <w:rPr>
                <w:rFonts w:asciiTheme="majorBidi" w:hAnsiTheme="majorBidi" w:cstheme="majorBidi"/>
                <w:noProof/>
                <w:szCs w:val="22"/>
                <w:vertAlign w:val="subscript"/>
                <w:lang w:eastAsia="zh-TW"/>
              </w:rPr>
              <w:t>L</w:t>
            </w:r>
            <w:r w:rsidRPr="00952861">
              <w:rPr>
                <w:rFonts w:asciiTheme="majorBidi" w:hAnsiTheme="majorBidi" w:cstheme="majorBidi"/>
                <w:noProof/>
                <w:szCs w:val="22"/>
                <w:lang w:eastAsia="zh-TW"/>
              </w:rPr>
              <w:t xml:space="preserve"> represent the lending </w:t>
            </w:r>
            <w:r>
              <w:rPr>
                <w:rFonts w:asciiTheme="majorBidi" w:hAnsiTheme="majorBidi" w:cstheme="majorBidi"/>
                <w:noProof/>
                <w:szCs w:val="22"/>
                <w:lang w:eastAsia="zh-TW"/>
              </w:rPr>
              <w:t>return</w:t>
            </w:r>
            <w:r w:rsidRPr="00952861">
              <w:rPr>
                <w:rFonts w:asciiTheme="majorBidi" w:hAnsiTheme="majorBidi" w:cstheme="majorBidi"/>
                <w:noProof/>
                <w:szCs w:val="22"/>
                <w:lang w:eastAsia="zh-TW"/>
              </w:rPr>
              <w:t>, reference rate and average</w:t>
            </w:r>
            <w:r>
              <w:rPr>
                <w:rFonts w:asciiTheme="majorBidi" w:hAnsiTheme="majorBidi" w:cstheme="majorBidi"/>
                <w:noProof/>
                <w:szCs w:val="22"/>
                <w:lang w:eastAsia="zh-TW"/>
              </w:rPr>
              <w:t xml:space="preserve"> </w:t>
            </w:r>
            <w:r w:rsidRPr="00952861">
              <w:rPr>
                <w:rFonts w:asciiTheme="majorBidi" w:hAnsiTheme="majorBidi" w:cstheme="majorBidi"/>
                <w:noProof/>
                <w:szCs w:val="22"/>
                <w:lang w:eastAsia="zh-TW"/>
              </w:rPr>
              <w:t>stock of loans respectively</w:t>
            </w:r>
          </w:p>
        </w:tc>
      </w:tr>
      <w:tr w:rsidR="00611653" w:rsidRPr="00A60452" w:rsidTr="00BB478A">
        <w:tblPrEx>
          <w:tblLook w:val="01E0" w:firstRow="1" w:lastRow="1" w:firstColumn="1" w:lastColumn="1" w:noHBand="0" w:noVBand="0"/>
        </w:tblPrEx>
        <w:trPr>
          <w:trHeight w:val="278"/>
        </w:trPr>
        <w:tc>
          <w:tcPr>
            <w:tcW w:w="2317" w:type="dxa"/>
            <w:tcBorders>
              <w:top w:val="single" w:sz="4" w:space="0" w:color="auto"/>
              <w:left w:val="single" w:sz="4" w:space="0" w:color="auto"/>
              <w:bottom w:val="single" w:sz="4" w:space="0" w:color="auto"/>
              <w:right w:val="single" w:sz="4" w:space="0" w:color="auto"/>
            </w:tcBorders>
          </w:tcPr>
          <w:p w:rsidR="00611653" w:rsidRPr="00A60452" w:rsidRDefault="00611653" w:rsidP="00611653">
            <w:pPr>
              <w:jc w:val="left"/>
              <w:rPr>
                <w:rFonts w:asciiTheme="majorBidi" w:hAnsiTheme="majorBidi" w:cstheme="majorBidi"/>
                <w:bCs/>
                <w:szCs w:val="22"/>
              </w:rPr>
            </w:pPr>
            <w:r>
              <w:rPr>
                <w:rFonts w:asciiTheme="majorBidi" w:hAnsiTheme="majorBidi" w:cstheme="majorBidi"/>
                <w:bCs/>
                <w:szCs w:val="22"/>
              </w:rPr>
              <w:t>Financial auxiliaries (S126)</w:t>
            </w:r>
          </w:p>
        </w:tc>
        <w:tc>
          <w:tcPr>
            <w:tcW w:w="2610" w:type="dxa"/>
            <w:tcBorders>
              <w:top w:val="single" w:sz="4" w:space="0" w:color="auto"/>
              <w:left w:val="single" w:sz="4" w:space="0" w:color="auto"/>
              <w:bottom w:val="single" w:sz="4" w:space="0" w:color="auto"/>
              <w:right w:val="single" w:sz="4" w:space="0" w:color="auto"/>
            </w:tcBorders>
          </w:tcPr>
          <w:p w:rsidR="00611653" w:rsidRPr="005F3E32" w:rsidRDefault="00611653" w:rsidP="00611653">
            <w:pPr>
              <w:autoSpaceDE w:val="0"/>
              <w:autoSpaceDN w:val="0"/>
              <w:adjustRightInd w:val="0"/>
              <w:spacing w:line="240" w:lineRule="atLeast"/>
              <w:jc w:val="left"/>
              <w:rPr>
                <w:rFonts w:asciiTheme="majorBidi" w:hAnsiTheme="majorBidi" w:cstheme="majorBidi"/>
                <w:szCs w:val="22"/>
                <w:lang w:eastAsia="zh-TW"/>
              </w:rPr>
            </w:pPr>
            <w:r>
              <w:rPr>
                <w:rFonts w:asciiTheme="majorBidi" w:hAnsiTheme="majorBidi" w:cstheme="majorBidi"/>
                <w:szCs w:val="22"/>
                <w:lang w:eastAsia="zh-TW"/>
              </w:rPr>
              <w:t xml:space="preserve">Asset management corporations including </w:t>
            </w:r>
            <w:proofErr w:type="spellStart"/>
            <w:r>
              <w:rPr>
                <w:rFonts w:asciiTheme="majorBidi" w:hAnsiTheme="majorBidi" w:cstheme="majorBidi"/>
                <w:szCs w:val="22"/>
                <w:lang w:eastAsia="zh-TW"/>
              </w:rPr>
              <w:t>Sharia’a</w:t>
            </w:r>
            <w:proofErr w:type="spellEnd"/>
          </w:p>
          <w:p w:rsidR="00611653" w:rsidRPr="001E7F93" w:rsidRDefault="00611653" w:rsidP="00611653">
            <w:pPr>
              <w:jc w:val="left"/>
              <w:rPr>
                <w:rFonts w:asciiTheme="majorBidi" w:hAnsiTheme="majorBidi" w:cstheme="majorBidi"/>
                <w:color w:val="000000"/>
                <w:szCs w:val="22"/>
                <w:lang w:eastAsia="zh-CN"/>
              </w:rPr>
            </w:pPr>
          </w:p>
          <w:p w:rsidR="00611653" w:rsidRPr="001E7F93" w:rsidRDefault="00611653" w:rsidP="00611653">
            <w:pPr>
              <w:autoSpaceDE w:val="0"/>
              <w:autoSpaceDN w:val="0"/>
              <w:adjustRightInd w:val="0"/>
              <w:spacing w:line="240" w:lineRule="atLeast"/>
              <w:jc w:val="left"/>
              <w:rPr>
                <w:rFonts w:asciiTheme="majorBidi" w:hAnsiTheme="majorBidi" w:cstheme="majorBidi"/>
                <w:szCs w:val="22"/>
                <w:lang w:eastAsia="zh-TW"/>
              </w:rPr>
            </w:pPr>
          </w:p>
        </w:tc>
        <w:tc>
          <w:tcPr>
            <w:tcW w:w="2790" w:type="dxa"/>
            <w:tcBorders>
              <w:top w:val="single" w:sz="4" w:space="0" w:color="auto"/>
              <w:left w:val="single" w:sz="4" w:space="0" w:color="auto"/>
              <w:bottom w:val="single" w:sz="4" w:space="0" w:color="auto"/>
              <w:right w:val="single" w:sz="4" w:space="0" w:color="auto"/>
            </w:tcBorders>
          </w:tcPr>
          <w:p w:rsidR="00611653" w:rsidRDefault="00611653" w:rsidP="00611653">
            <w:pPr>
              <w:autoSpaceDE w:val="0"/>
              <w:autoSpaceDN w:val="0"/>
              <w:adjustRightInd w:val="0"/>
              <w:spacing w:line="240" w:lineRule="atLeast"/>
              <w:jc w:val="left"/>
              <w:rPr>
                <w:rFonts w:asciiTheme="majorBidi" w:hAnsiTheme="majorBidi" w:cstheme="majorBidi"/>
                <w:szCs w:val="22"/>
                <w:lang w:eastAsia="zh-CN"/>
              </w:rPr>
            </w:pPr>
            <w:r>
              <w:rPr>
                <w:rFonts w:asciiTheme="majorBidi" w:hAnsiTheme="majorBidi" w:cstheme="majorBidi"/>
                <w:szCs w:val="22"/>
                <w:lang w:eastAsia="zh-CN"/>
              </w:rPr>
              <w:t xml:space="preserve">Management of </w:t>
            </w:r>
            <w:proofErr w:type="spellStart"/>
            <w:r w:rsidRPr="008B175B">
              <w:rPr>
                <w:rFonts w:asciiTheme="majorBidi" w:hAnsiTheme="majorBidi" w:cstheme="majorBidi"/>
                <w:szCs w:val="22"/>
                <w:lang w:eastAsia="zh-CN"/>
              </w:rPr>
              <w:t>Sharia’a</w:t>
            </w:r>
            <w:proofErr w:type="spellEnd"/>
            <w:r w:rsidRPr="008B175B">
              <w:rPr>
                <w:rFonts w:asciiTheme="majorBidi" w:hAnsiTheme="majorBidi" w:cstheme="majorBidi"/>
                <w:szCs w:val="22"/>
                <w:lang w:eastAsia="zh-CN"/>
              </w:rPr>
              <w:t>-compliant investments and funds</w:t>
            </w:r>
          </w:p>
          <w:p w:rsidR="00611653" w:rsidRDefault="00611653" w:rsidP="00611653">
            <w:pPr>
              <w:autoSpaceDE w:val="0"/>
              <w:autoSpaceDN w:val="0"/>
              <w:adjustRightInd w:val="0"/>
              <w:spacing w:line="240" w:lineRule="atLeast"/>
              <w:jc w:val="left"/>
              <w:rPr>
                <w:rFonts w:asciiTheme="majorBidi" w:hAnsiTheme="majorBidi" w:cstheme="majorBidi"/>
                <w:szCs w:val="22"/>
                <w:lang w:eastAsia="zh-CN"/>
              </w:rPr>
            </w:pPr>
            <w:r>
              <w:rPr>
                <w:rFonts w:asciiTheme="majorBidi" w:hAnsiTheme="majorBidi" w:cstheme="majorBidi"/>
                <w:szCs w:val="22"/>
                <w:lang w:eastAsia="zh-CN"/>
              </w:rPr>
              <w:t>Brokerage (e.g. Takaful products)</w:t>
            </w:r>
          </w:p>
          <w:p w:rsidR="00611653" w:rsidRDefault="00611653" w:rsidP="00611653">
            <w:pPr>
              <w:autoSpaceDE w:val="0"/>
              <w:autoSpaceDN w:val="0"/>
              <w:adjustRightInd w:val="0"/>
              <w:spacing w:line="240" w:lineRule="atLeast"/>
              <w:jc w:val="left"/>
              <w:rPr>
                <w:rFonts w:asciiTheme="majorBidi" w:hAnsiTheme="majorBidi" w:cstheme="majorBidi"/>
                <w:szCs w:val="22"/>
                <w:lang w:eastAsia="zh-CN"/>
              </w:rPr>
            </w:pPr>
            <w:r>
              <w:rPr>
                <w:rFonts w:asciiTheme="majorBidi" w:hAnsiTheme="majorBidi" w:cstheme="majorBidi"/>
                <w:szCs w:val="22"/>
                <w:lang w:eastAsia="zh-CN"/>
              </w:rPr>
              <w:t>Provision of infrastructure for financial markets such as, financial software or capital market hubs</w:t>
            </w:r>
          </w:p>
          <w:p w:rsidR="00611653" w:rsidRPr="00A60452" w:rsidRDefault="00611653" w:rsidP="00611653">
            <w:pPr>
              <w:autoSpaceDE w:val="0"/>
              <w:autoSpaceDN w:val="0"/>
              <w:adjustRightInd w:val="0"/>
              <w:spacing w:line="240" w:lineRule="atLeast"/>
              <w:jc w:val="left"/>
              <w:rPr>
                <w:rFonts w:asciiTheme="majorBidi" w:hAnsiTheme="majorBidi" w:cstheme="majorBidi"/>
                <w:szCs w:val="22"/>
                <w:lang w:eastAsia="zh-CN"/>
              </w:rPr>
            </w:pPr>
          </w:p>
        </w:tc>
        <w:tc>
          <w:tcPr>
            <w:tcW w:w="5243" w:type="dxa"/>
            <w:tcBorders>
              <w:top w:val="single" w:sz="4" w:space="0" w:color="auto"/>
              <w:left w:val="single" w:sz="4" w:space="0" w:color="auto"/>
              <w:bottom w:val="single" w:sz="4" w:space="0" w:color="auto"/>
              <w:right w:val="single" w:sz="4" w:space="0" w:color="auto"/>
            </w:tcBorders>
          </w:tcPr>
          <w:p w:rsidR="00611653" w:rsidRPr="00A60452" w:rsidRDefault="00611653" w:rsidP="00611653">
            <w:pPr>
              <w:autoSpaceDE w:val="0"/>
              <w:autoSpaceDN w:val="0"/>
              <w:adjustRightInd w:val="0"/>
              <w:spacing w:line="240" w:lineRule="atLeast"/>
              <w:jc w:val="left"/>
              <w:rPr>
                <w:rFonts w:asciiTheme="majorBidi" w:hAnsiTheme="majorBidi" w:cstheme="majorBidi"/>
                <w:szCs w:val="22"/>
                <w:lang w:eastAsia="zh-CN"/>
              </w:rPr>
            </w:pPr>
            <w:r>
              <w:rPr>
                <w:rFonts w:asciiTheme="majorBidi" w:hAnsiTheme="majorBidi" w:cstheme="majorBidi"/>
                <w:szCs w:val="22"/>
                <w:lang w:eastAsia="zh-CN"/>
              </w:rPr>
              <w:t>Explicit fees</w:t>
            </w:r>
          </w:p>
        </w:tc>
      </w:tr>
      <w:tr w:rsidR="00611653" w:rsidRPr="00A60452" w:rsidTr="00BB478A">
        <w:tblPrEx>
          <w:tblLook w:val="01E0" w:firstRow="1" w:lastRow="1" w:firstColumn="1" w:lastColumn="1" w:noHBand="0" w:noVBand="0"/>
        </w:tblPrEx>
        <w:tc>
          <w:tcPr>
            <w:tcW w:w="2317" w:type="dxa"/>
            <w:tcBorders>
              <w:top w:val="single" w:sz="4" w:space="0" w:color="auto"/>
              <w:left w:val="single" w:sz="4" w:space="0" w:color="auto"/>
              <w:bottom w:val="single" w:sz="4" w:space="0" w:color="auto"/>
              <w:right w:val="single" w:sz="4" w:space="0" w:color="auto"/>
            </w:tcBorders>
          </w:tcPr>
          <w:p w:rsidR="00611653" w:rsidRPr="00A60452" w:rsidRDefault="00611653" w:rsidP="00611653">
            <w:pPr>
              <w:jc w:val="left"/>
              <w:rPr>
                <w:rFonts w:asciiTheme="majorBidi" w:hAnsiTheme="majorBidi" w:cstheme="majorBidi"/>
                <w:bCs/>
                <w:szCs w:val="22"/>
              </w:rPr>
            </w:pPr>
            <w:r>
              <w:rPr>
                <w:rFonts w:asciiTheme="majorBidi" w:hAnsiTheme="majorBidi" w:cstheme="majorBidi"/>
                <w:bCs/>
                <w:szCs w:val="22"/>
              </w:rPr>
              <w:t>Captive financial institutions and moneylenders (S127)</w:t>
            </w:r>
          </w:p>
        </w:tc>
        <w:tc>
          <w:tcPr>
            <w:tcW w:w="2610" w:type="dxa"/>
            <w:tcBorders>
              <w:top w:val="single" w:sz="4" w:space="0" w:color="auto"/>
              <w:left w:val="single" w:sz="4" w:space="0" w:color="auto"/>
              <w:bottom w:val="single" w:sz="4" w:space="0" w:color="auto"/>
              <w:right w:val="single" w:sz="4" w:space="0" w:color="auto"/>
            </w:tcBorders>
          </w:tcPr>
          <w:p w:rsidR="00611653" w:rsidRPr="001E7F93" w:rsidRDefault="00611653" w:rsidP="00611653">
            <w:pPr>
              <w:jc w:val="left"/>
              <w:rPr>
                <w:rFonts w:asciiTheme="majorBidi" w:hAnsiTheme="majorBidi" w:cstheme="majorBidi"/>
                <w:szCs w:val="22"/>
                <w:lang w:eastAsia="zh-CN"/>
              </w:rPr>
            </w:pPr>
            <w:r>
              <w:rPr>
                <w:rFonts w:asciiTheme="majorBidi" w:hAnsiTheme="majorBidi" w:cstheme="majorBidi"/>
                <w:szCs w:val="22"/>
              </w:rPr>
              <w:t>Holding companies</w:t>
            </w:r>
          </w:p>
          <w:p w:rsidR="00611653" w:rsidRPr="001E7F93" w:rsidRDefault="00611653" w:rsidP="00611653">
            <w:pPr>
              <w:jc w:val="left"/>
              <w:rPr>
                <w:rFonts w:asciiTheme="majorBidi" w:hAnsiTheme="majorBidi" w:cstheme="majorBidi"/>
                <w:szCs w:val="22"/>
                <w:lang w:eastAsia="zh-TW"/>
              </w:rPr>
            </w:pPr>
            <w:proofErr w:type="spellStart"/>
            <w:r>
              <w:rPr>
                <w:rFonts w:asciiTheme="majorBidi" w:hAnsiTheme="majorBidi" w:cstheme="majorBidi"/>
                <w:szCs w:val="22"/>
                <w:lang w:eastAsia="zh-TW"/>
              </w:rPr>
              <w:t>Sharia’a</w:t>
            </w:r>
            <w:proofErr w:type="spellEnd"/>
            <w:r>
              <w:rPr>
                <w:rFonts w:asciiTheme="majorBidi" w:hAnsiTheme="majorBidi" w:cstheme="majorBidi"/>
                <w:szCs w:val="22"/>
                <w:lang w:eastAsia="zh-TW"/>
              </w:rPr>
              <w:t>-compliant money lenders</w:t>
            </w:r>
          </w:p>
        </w:tc>
        <w:tc>
          <w:tcPr>
            <w:tcW w:w="2790" w:type="dxa"/>
            <w:tcBorders>
              <w:top w:val="single" w:sz="4" w:space="0" w:color="auto"/>
              <w:left w:val="single" w:sz="4" w:space="0" w:color="auto"/>
              <w:bottom w:val="single" w:sz="4" w:space="0" w:color="auto"/>
              <w:right w:val="single" w:sz="4" w:space="0" w:color="auto"/>
            </w:tcBorders>
          </w:tcPr>
          <w:p w:rsidR="00611653" w:rsidRDefault="00611653" w:rsidP="00611653">
            <w:pPr>
              <w:rPr>
                <w:rFonts w:asciiTheme="majorBidi" w:hAnsiTheme="majorBidi" w:cstheme="majorBidi"/>
                <w:szCs w:val="22"/>
                <w:lang w:eastAsia="zh-TW"/>
              </w:rPr>
            </w:pPr>
            <w:r w:rsidRPr="003755A9">
              <w:rPr>
                <w:rFonts w:asciiTheme="majorBidi" w:hAnsiTheme="majorBidi" w:cstheme="majorBidi"/>
                <w:szCs w:val="22"/>
                <w:lang w:eastAsia="zh-TW"/>
              </w:rPr>
              <w:t>Holding of assets (i.e., controlling-levels of equity) of subsidiary corporations which provide Islamic financial services</w:t>
            </w:r>
          </w:p>
          <w:p w:rsidR="00611653" w:rsidRDefault="00611653" w:rsidP="00611653">
            <w:pPr>
              <w:rPr>
                <w:rFonts w:asciiTheme="majorBidi" w:hAnsiTheme="majorBidi" w:cstheme="majorBidi"/>
                <w:szCs w:val="22"/>
                <w:lang w:eastAsia="zh-TW"/>
              </w:rPr>
            </w:pPr>
          </w:p>
          <w:p w:rsidR="00611653" w:rsidRDefault="00611653" w:rsidP="00611653">
            <w:pPr>
              <w:rPr>
                <w:rFonts w:asciiTheme="majorBidi" w:hAnsiTheme="majorBidi" w:cstheme="majorBidi"/>
                <w:szCs w:val="22"/>
                <w:lang w:eastAsia="zh-TW"/>
              </w:rPr>
            </w:pPr>
          </w:p>
          <w:p w:rsidR="00611653" w:rsidRPr="00E34A20" w:rsidRDefault="00611653" w:rsidP="00611653">
            <w:pPr>
              <w:jc w:val="left"/>
              <w:rPr>
                <w:rFonts w:ascii="Times New Roman" w:hAnsi="Times New Roman"/>
                <w:sz w:val="24"/>
                <w:szCs w:val="24"/>
              </w:rPr>
            </w:pPr>
            <w:proofErr w:type="spellStart"/>
            <w:r>
              <w:rPr>
                <w:rFonts w:ascii="Times New Roman" w:eastAsia="Tahoma" w:hAnsi="Times New Roman"/>
                <w:color w:val="000000" w:themeColor="text1"/>
                <w:sz w:val="24"/>
                <w:szCs w:val="24"/>
              </w:rPr>
              <w:lastRenderedPageBreak/>
              <w:t>Sharia’a</w:t>
            </w:r>
            <w:proofErr w:type="spellEnd"/>
            <w:r w:rsidRPr="00E34A20">
              <w:rPr>
                <w:rFonts w:ascii="Times New Roman" w:eastAsia="Tahoma" w:hAnsi="Times New Roman"/>
                <w:color w:val="000000" w:themeColor="text1"/>
                <w:sz w:val="24"/>
                <w:szCs w:val="24"/>
              </w:rPr>
              <w:t xml:space="preserve">-compliant </w:t>
            </w:r>
            <w:r>
              <w:rPr>
                <w:rFonts w:ascii="Times New Roman" w:eastAsia="Tahoma" w:hAnsi="Times New Roman"/>
                <w:color w:val="000000" w:themeColor="text1"/>
                <w:sz w:val="24"/>
                <w:szCs w:val="24"/>
              </w:rPr>
              <w:t>money lending services</w:t>
            </w:r>
          </w:p>
          <w:p w:rsidR="00611653" w:rsidRPr="003755A9" w:rsidRDefault="00611653" w:rsidP="00611653">
            <w:pPr>
              <w:rPr>
                <w:rFonts w:asciiTheme="majorBidi" w:hAnsiTheme="majorBidi" w:cstheme="majorBidi"/>
                <w:szCs w:val="22"/>
                <w:lang w:eastAsia="zh-TW"/>
              </w:rPr>
            </w:pPr>
          </w:p>
        </w:tc>
        <w:tc>
          <w:tcPr>
            <w:tcW w:w="5243" w:type="dxa"/>
            <w:tcBorders>
              <w:top w:val="single" w:sz="4" w:space="0" w:color="auto"/>
              <w:left w:val="single" w:sz="4" w:space="0" w:color="auto"/>
              <w:bottom w:val="single" w:sz="4" w:space="0" w:color="auto"/>
              <w:right w:val="single" w:sz="4" w:space="0" w:color="auto"/>
            </w:tcBorders>
          </w:tcPr>
          <w:p w:rsidR="00611653" w:rsidRDefault="00611653" w:rsidP="00611653">
            <w:pPr>
              <w:rPr>
                <w:rFonts w:asciiTheme="majorBidi" w:hAnsiTheme="majorBidi" w:cstheme="majorBidi"/>
                <w:szCs w:val="22"/>
                <w:lang w:eastAsia="zh-TW"/>
              </w:rPr>
            </w:pPr>
            <w:r>
              <w:rPr>
                <w:rFonts w:asciiTheme="majorBidi" w:hAnsiTheme="majorBidi" w:cstheme="majorBidi"/>
                <w:szCs w:val="22"/>
                <w:lang w:eastAsia="zh-TW"/>
              </w:rPr>
              <w:lastRenderedPageBreak/>
              <w:t>Output is calculated as the value of explicit fees or sum of costs</w:t>
            </w:r>
          </w:p>
          <w:p w:rsidR="00611653" w:rsidRDefault="00611653" w:rsidP="00611653">
            <w:pPr>
              <w:rPr>
                <w:rFonts w:asciiTheme="majorBidi" w:hAnsiTheme="majorBidi" w:cstheme="majorBidi"/>
                <w:szCs w:val="22"/>
                <w:lang w:eastAsia="zh-TW"/>
              </w:rPr>
            </w:pPr>
          </w:p>
          <w:p w:rsidR="00611653" w:rsidRDefault="00611653" w:rsidP="00611653">
            <w:pPr>
              <w:autoSpaceDE w:val="0"/>
              <w:autoSpaceDN w:val="0"/>
              <w:adjustRightInd w:val="0"/>
              <w:spacing w:line="240" w:lineRule="atLeast"/>
              <w:jc w:val="left"/>
              <w:rPr>
                <w:rFonts w:asciiTheme="majorBidi" w:hAnsiTheme="majorBidi" w:cstheme="majorBidi"/>
                <w:noProof/>
                <w:szCs w:val="22"/>
                <w:lang w:eastAsia="zh-TW"/>
              </w:rPr>
            </w:pPr>
            <w:r>
              <w:rPr>
                <w:rFonts w:asciiTheme="majorBidi" w:hAnsiTheme="majorBidi" w:cstheme="majorBidi"/>
                <w:noProof/>
                <w:szCs w:val="22"/>
                <w:lang w:eastAsia="zh-TW"/>
              </w:rPr>
              <w:t>Output is a combination of the following:</w:t>
            </w:r>
          </w:p>
          <w:p w:rsidR="00611653" w:rsidRDefault="00492C7E" w:rsidP="00611653">
            <w:pPr>
              <w:autoSpaceDE w:val="0"/>
              <w:autoSpaceDN w:val="0"/>
              <w:adjustRightInd w:val="0"/>
              <w:spacing w:line="240" w:lineRule="atLeast"/>
              <w:jc w:val="left"/>
              <w:rPr>
                <w:rFonts w:asciiTheme="majorBidi" w:hAnsiTheme="majorBidi" w:cstheme="majorBidi"/>
                <w:noProof/>
                <w:szCs w:val="22"/>
                <w:lang w:eastAsia="zh-TW"/>
              </w:rPr>
            </w:pPr>
            <w:r>
              <w:rPr>
                <w:rFonts w:asciiTheme="majorBidi" w:hAnsiTheme="majorBidi" w:cstheme="majorBidi"/>
                <w:noProof/>
                <w:szCs w:val="22"/>
                <w:lang w:eastAsia="zh-TW"/>
              </w:rPr>
              <w:t>(</w:t>
            </w:r>
            <w:r w:rsidR="00611653">
              <w:rPr>
                <w:rFonts w:asciiTheme="majorBidi" w:hAnsiTheme="majorBidi" w:cstheme="majorBidi"/>
                <w:noProof/>
                <w:szCs w:val="22"/>
                <w:lang w:eastAsia="zh-TW"/>
              </w:rPr>
              <w:t>a</w:t>
            </w:r>
            <w:r>
              <w:rPr>
                <w:rFonts w:asciiTheme="majorBidi" w:hAnsiTheme="majorBidi" w:cstheme="majorBidi"/>
                <w:noProof/>
                <w:szCs w:val="22"/>
                <w:lang w:eastAsia="zh-TW"/>
              </w:rPr>
              <w:t>)</w:t>
            </w:r>
            <w:r w:rsidR="00611653">
              <w:rPr>
                <w:rFonts w:asciiTheme="majorBidi" w:hAnsiTheme="majorBidi" w:cstheme="majorBidi"/>
                <w:noProof/>
                <w:szCs w:val="22"/>
                <w:lang w:eastAsia="zh-TW"/>
              </w:rPr>
              <w:t xml:space="preserve"> Explicit fees</w:t>
            </w:r>
          </w:p>
          <w:p w:rsidR="00611653" w:rsidRPr="00A60452" w:rsidRDefault="00492C7E" w:rsidP="00492C7E">
            <w:pPr>
              <w:autoSpaceDE w:val="0"/>
              <w:autoSpaceDN w:val="0"/>
              <w:adjustRightInd w:val="0"/>
              <w:spacing w:line="240" w:lineRule="atLeast"/>
              <w:rPr>
                <w:rFonts w:asciiTheme="majorBidi" w:hAnsiTheme="majorBidi" w:cstheme="majorBidi"/>
                <w:szCs w:val="22"/>
                <w:lang w:eastAsia="zh-TW"/>
              </w:rPr>
            </w:pPr>
            <w:r>
              <w:rPr>
                <w:rFonts w:asciiTheme="majorBidi" w:hAnsiTheme="majorBidi" w:cstheme="majorBidi"/>
                <w:noProof/>
                <w:szCs w:val="22"/>
                <w:lang w:eastAsia="zh-TW"/>
              </w:rPr>
              <w:t>(</w:t>
            </w:r>
            <w:r w:rsidR="00611653">
              <w:rPr>
                <w:rFonts w:asciiTheme="majorBidi" w:hAnsiTheme="majorBidi" w:cstheme="majorBidi"/>
                <w:noProof/>
                <w:szCs w:val="22"/>
                <w:lang w:eastAsia="zh-TW"/>
              </w:rPr>
              <w:t>b</w:t>
            </w:r>
            <w:r>
              <w:rPr>
                <w:rFonts w:asciiTheme="majorBidi" w:hAnsiTheme="majorBidi" w:cstheme="majorBidi"/>
                <w:noProof/>
                <w:szCs w:val="22"/>
                <w:lang w:eastAsia="zh-TW"/>
              </w:rPr>
              <w:t xml:space="preserve">) </w:t>
            </w:r>
            <w:r w:rsidR="00611653">
              <w:rPr>
                <w:rFonts w:asciiTheme="majorBidi" w:hAnsiTheme="majorBidi" w:cstheme="majorBidi"/>
                <w:noProof/>
                <w:szCs w:val="22"/>
                <w:lang w:eastAsia="zh-TW"/>
              </w:rPr>
              <w:t xml:space="preserve">Implicit financial service charge, which is calculated as </w:t>
            </w:r>
            <w:r w:rsidR="00611653" w:rsidRPr="00952861">
              <w:rPr>
                <w:rFonts w:asciiTheme="majorBidi" w:hAnsiTheme="majorBidi" w:cstheme="majorBidi"/>
                <w:noProof/>
                <w:szCs w:val="22"/>
                <w:lang w:eastAsia="zh-TW"/>
              </w:rPr>
              <w:t>calculated as (r</w:t>
            </w:r>
            <w:r w:rsidR="00611653" w:rsidRPr="00952861">
              <w:rPr>
                <w:rFonts w:asciiTheme="majorBidi" w:hAnsiTheme="majorBidi" w:cstheme="majorBidi"/>
                <w:noProof/>
                <w:szCs w:val="22"/>
                <w:vertAlign w:val="subscript"/>
                <w:lang w:eastAsia="zh-TW"/>
              </w:rPr>
              <w:t>L</w:t>
            </w:r>
            <w:r w:rsidR="00611653" w:rsidRPr="00952861">
              <w:rPr>
                <w:rFonts w:asciiTheme="majorBidi" w:hAnsiTheme="majorBidi" w:cstheme="majorBidi"/>
                <w:noProof/>
                <w:szCs w:val="22"/>
                <w:lang w:eastAsia="zh-TW"/>
              </w:rPr>
              <w:t>–rr)×Y</w:t>
            </w:r>
            <w:r w:rsidR="00611653" w:rsidRPr="00952861">
              <w:rPr>
                <w:rFonts w:asciiTheme="majorBidi" w:hAnsiTheme="majorBidi" w:cstheme="majorBidi"/>
                <w:noProof/>
                <w:szCs w:val="22"/>
                <w:vertAlign w:val="subscript"/>
                <w:lang w:eastAsia="zh-TW"/>
              </w:rPr>
              <w:t xml:space="preserve">L </w:t>
            </w:r>
            <w:r w:rsidR="00611653" w:rsidRPr="00952861">
              <w:rPr>
                <w:rFonts w:asciiTheme="majorBidi" w:hAnsiTheme="majorBidi" w:cstheme="majorBidi"/>
                <w:noProof/>
                <w:szCs w:val="22"/>
                <w:lang w:eastAsia="zh-TW"/>
              </w:rPr>
              <w:t>,</w:t>
            </w:r>
            <w:r>
              <w:rPr>
                <w:rFonts w:asciiTheme="majorBidi" w:hAnsiTheme="majorBidi" w:cstheme="majorBidi"/>
                <w:noProof/>
                <w:szCs w:val="22"/>
                <w:lang w:eastAsia="zh-TW"/>
              </w:rPr>
              <w:t xml:space="preserve"> </w:t>
            </w:r>
            <w:r w:rsidR="00611653" w:rsidRPr="00952861">
              <w:rPr>
                <w:rFonts w:asciiTheme="majorBidi" w:hAnsiTheme="majorBidi" w:cstheme="majorBidi"/>
                <w:noProof/>
                <w:szCs w:val="22"/>
                <w:lang w:eastAsia="zh-TW"/>
              </w:rPr>
              <w:t>where r</w:t>
            </w:r>
            <w:r w:rsidR="00611653" w:rsidRPr="00952861">
              <w:rPr>
                <w:rFonts w:asciiTheme="majorBidi" w:hAnsiTheme="majorBidi" w:cstheme="majorBidi"/>
                <w:noProof/>
                <w:szCs w:val="22"/>
                <w:vertAlign w:val="subscript"/>
                <w:lang w:eastAsia="zh-TW"/>
              </w:rPr>
              <w:t>L</w:t>
            </w:r>
            <w:r w:rsidR="00611653" w:rsidRPr="00952861">
              <w:rPr>
                <w:rFonts w:asciiTheme="majorBidi" w:hAnsiTheme="majorBidi" w:cstheme="majorBidi"/>
                <w:noProof/>
                <w:szCs w:val="22"/>
                <w:lang w:eastAsia="zh-TW"/>
              </w:rPr>
              <w:t xml:space="preserve"> , rr and Y</w:t>
            </w:r>
            <w:r w:rsidR="00611653" w:rsidRPr="00952861">
              <w:rPr>
                <w:rFonts w:asciiTheme="majorBidi" w:hAnsiTheme="majorBidi" w:cstheme="majorBidi"/>
                <w:noProof/>
                <w:szCs w:val="22"/>
                <w:vertAlign w:val="subscript"/>
                <w:lang w:eastAsia="zh-TW"/>
              </w:rPr>
              <w:t>L</w:t>
            </w:r>
            <w:r w:rsidR="00611653" w:rsidRPr="00952861">
              <w:rPr>
                <w:rFonts w:asciiTheme="majorBidi" w:hAnsiTheme="majorBidi" w:cstheme="majorBidi"/>
                <w:noProof/>
                <w:szCs w:val="22"/>
                <w:lang w:eastAsia="zh-TW"/>
              </w:rPr>
              <w:t xml:space="preserve"> represent the lending </w:t>
            </w:r>
            <w:r w:rsidR="00611653">
              <w:rPr>
                <w:rFonts w:asciiTheme="majorBidi" w:hAnsiTheme="majorBidi" w:cstheme="majorBidi"/>
                <w:noProof/>
                <w:szCs w:val="22"/>
                <w:lang w:eastAsia="zh-TW"/>
              </w:rPr>
              <w:t>return</w:t>
            </w:r>
            <w:r w:rsidR="00611653" w:rsidRPr="00952861">
              <w:rPr>
                <w:rFonts w:asciiTheme="majorBidi" w:hAnsiTheme="majorBidi" w:cstheme="majorBidi"/>
                <w:noProof/>
                <w:szCs w:val="22"/>
                <w:lang w:eastAsia="zh-TW"/>
              </w:rPr>
              <w:t>, reference rate and average</w:t>
            </w:r>
            <w:r w:rsidR="00611653">
              <w:rPr>
                <w:rFonts w:asciiTheme="majorBidi" w:hAnsiTheme="majorBidi" w:cstheme="majorBidi"/>
                <w:noProof/>
                <w:szCs w:val="22"/>
                <w:lang w:eastAsia="zh-TW"/>
              </w:rPr>
              <w:t xml:space="preserve"> </w:t>
            </w:r>
            <w:r w:rsidR="00611653" w:rsidRPr="00952861">
              <w:rPr>
                <w:rFonts w:asciiTheme="majorBidi" w:hAnsiTheme="majorBidi" w:cstheme="majorBidi"/>
                <w:noProof/>
                <w:szCs w:val="22"/>
                <w:lang w:eastAsia="zh-TW"/>
              </w:rPr>
              <w:t>stock of loans respectively</w:t>
            </w:r>
          </w:p>
        </w:tc>
      </w:tr>
      <w:tr w:rsidR="00611653" w:rsidRPr="00A60452" w:rsidTr="00BB478A">
        <w:tblPrEx>
          <w:tblLook w:val="01E0" w:firstRow="1" w:lastRow="1" w:firstColumn="1" w:lastColumn="1" w:noHBand="0" w:noVBand="0"/>
        </w:tblPrEx>
        <w:tc>
          <w:tcPr>
            <w:tcW w:w="2317" w:type="dxa"/>
            <w:tcBorders>
              <w:top w:val="single" w:sz="4" w:space="0" w:color="auto"/>
              <w:left w:val="single" w:sz="4" w:space="0" w:color="auto"/>
              <w:bottom w:val="single" w:sz="4" w:space="0" w:color="auto"/>
              <w:right w:val="single" w:sz="4" w:space="0" w:color="auto"/>
            </w:tcBorders>
          </w:tcPr>
          <w:p w:rsidR="00611653" w:rsidRPr="00A60452" w:rsidRDefault="00611653" w:rsidP="00611653">
            <w:pPr>
              <w:jc w:val="left"/>
              <w:rPr>
                <w:rFonts w:asciiTheme="majorBidi" w:hAnsiTheme="majorBidi" w:cstheme="majorBidi"/>
                <w:bCs/>
                <w:szCs w:val="22"/>
              </w:rPr>
            </w:pPr>
            <w:r>
              <w:rPr>
                <w:rFonts w:asciiTheme="majorBidi" w:hAnsiTheme="majorBidi" w:cstheme="majorBidi"/>
                <w:bCs/>
                <w:szCs w:val="22"/>
              </w:rPr>
              <w:lastRenderedPageBreak/>
              <w:t>Insurance corporations (S128)</w:t>
            </w:r>
          </w:p>
        </w:tc>
        <w:tc>
          <w:tcPr>
            <w:tcW w:w="2610" w:type="dxa"/>
            <w:tcBorders>
              <w:top w:val="single" w:sz="4" w:space="0" w:color="auto"/>
              <w:left w:val="single" w:sz="4" w:space="0" w:color="auto"/>
              <w:bottom w:val="single" w:sz="4" w:space="0" w:color="auto"/>
              <w:right w:val="single" w:sz="4" w:space="0" w:color="auto"/>
            </w:tcBorders>
          </w:tcPr>
          <w:p w:rsidR="00611653" w:rsidRPr="001E7F93" w:rsidRDefault="00611653" w:rsidP="00611653">
            <w:pPr>
              <w:jc w:val="left"/>
              <w:rPr>
                <w:rFonts w:asciiTheme="majorBidi" w:hAnsiTheme="majorBidi" w:cstheme="majorBidi"/>
                <w:color w:val="000000"/>
                <w:szCs w:val="22"/>
                <w:lang w:eastAsia="zh-CN"/>
              </w:rPr>
            </w:pPr>
            <w:r w:rsidRPr="001E7F93">
              <w:rPr>
                <w:rFonts w:asciiTheme="majorBidi" w:hAnsiTheme="majorBidi" w:cstheme="majorBidi"/>
                <w:color w:val="000000"/>
                <w:szCs w:val="22"/>
              </w:rPr>
              <w:t>Takaful</w:t>
            </w:r>
          </w:p>
          <w:p w:rsidR="00611653" w:rsidRPr="001E7F93" w:rsidRDefault="00611653" w:rsidP="00611653">
            <w:pPr>
              <w:jc w:val="left"/>
              <w:rPr>
                <w:rFonts w:asciiTheme="majorBidi" w:hAnsiTheme="majorBidi" w:cstheme="majorBidi"/>
                <w:color w:val="000000"/>
                <w:szCs w:val="22"/>
                <w:lang w:eastAsia="zh-CN"/>
              </w:rPr>
            </w:pPr>
            <w:proofErr w:type="spellStart"/>
            <w:r w:rsidRPr="001E7F93">
              <w:rPr>
                <w:rFonts w:asciiTheme="majorBidi" w:hAnsiTheme="majorBidi" w:cstheme="majorBidi"/>
                <w:color w:val="000000"/>
                <w:szCs w:val="22"/>
                <w:lang w:eastAsia="zh-CN"/>
              </w:rPr>
              <w:t>Retakaful</w:t>
            </w:r>
            <w:proofErr w:type="spellEnd"/>
            <w:r w:rsidRPr="001E7F93">
              <w:rPr>
                <w:rFonts w:asciiTheme="majorBidi" w:hAnsiTheme="majorBidi" w:cstheme="majorBidi"/>
                <w:color w:val="000000"/>
                <w:szCs w:val="22"/>
                <w:lang w:eastAsia="zh-CN"/>
              </w:rPr>
              <w:t xml:space="preserve"> </w:t>
            </w:r>
          </w:p>
          <w:p w:rsidR="00611653" w:rsidRPr="001E7F93" w:rsidRDefault="00611653" w:rsidP="00611653">
            <w:pPr>
              <w:jc w:val="left"/>
              <w:rPr>
                <w:rFonts w:asciiTheme="majorBidi" w:hAnsiTheme="majorBidi" w:cstheme="majorBidi"/>
                <w:color w:val="000000"/>
                <w:szCs w:val="22"/>
                <w:lang w:eastAsia="zh-CN"/>
              </w:rPr>
            </w:pPr>
          </w:p>
        </w:tc>
        <w:tc>
          <w:tcPr>
            <w:tcW w:w="2790" w:type="dxa"/>
            <w:tcBorders>
              <w:top w:val="single" w:sz="4" w:space="0" w:color="auto"/>
              <w:left w:val="single" w:sz="4" w:space="0" w:color="auto"/>
              <w:bottom w:val="single" w:sz="4" w:space="0" w:color="auto"/>
              <w:right w:val="single" w:sz="4" w:space="0" w:color="auto"/>
            </w:tcBorders>
          </w:tcPr>
          <w:p w:rsidR="00611653" w:rsidRDefault="00611653" w:rsidP="00611653">
            <w:pPr>
              <w:autoSpaceDE w:val="0"/>
              <w:autoSpaceDN w:val="0"/>
              <w:adjustRightInd w:val="0"/>
              <w:spacing w:line="240" w:lineRule="atLeast"/>
              <w:jc w:val="left"/>
              <w:rPr>
                <w:rFonts w:asciiTheme="majorBidi" w:hAnsiTheme="majorBidi" w:cstheme="majorBidi"/>
                <w:noProof/>
                <w:szCs w:val="22"/>
                <w:lang w:eastAsia="zh-TW"/>
              </w:rPr>
            </w:pPr>
            <w:r>
              <w:rPr>
                <w:rFonts w:asciiTheme="majorBidi" w:hAnsiTheme="majorBidi" w:cstheme="majorBidi"/>
                <w:noProof/>
                <w:szCs w:val="22"/>
                <w:lang w:eastAsia="zh-TW"/>
              </w:rPr>
              <w:t>Life takaful</w:t>
            </w:r>
          </w:p>
          <w:p w:rsidR="00611653" w:rsidRDefault="00611653" w:rsidP="00611653">
            <w:pPr>
              <w:autoSpaceDE w:val="0"/>
              <w:autoSpaceDN w:val="0"/>
              <w:adjustRightInd w:val="0"/>
              <w:spacing w:line="240" w:lineRule="atLeast"/>
              <w:jc w:val="left"/>
              <w:rPr>
                <w:rFonts w:asciiTheme="majorBidi" w:hAnsiTheme="majorBidi" w:cstheme="majorBidi"/>
                <w:noProof/>
                <w:szCs w:val="22"/>
                <w:lang w:eastAsia="zh-TW"/>
              </w:rPr>
            </w:pPr>
            <w:r>
              <w:rPr>
                <w:rFonts w:asciiTheme="majorBidi" w:hAnsiTheme="majorBidi" w:cstheme="majorBidi"/>
                <w:noProof/>
                <w:szCs w:val="22"/>
                <w:lang w:eastAsia="zh-TW"/>
              </w:rPr>
              <w:t>Non-life takaful</w:t>
            </w:r>
          </w:p>
          <w:p w:rsidR="00611653" w:rsidRPr="00A60452" w:rsidRDefault="00611653" w:rsidP="00611653">
            <w:pPr>
              <w:autoSpaceDE w:val="0"/>
              <w:autoSpaceDN w:val="0"/>
              <w:adjustRightInd w:val="0"/>
              <w:spacing w:line="240" w:lineRule="atLeast"/>
              <w:jc w:val="left"/>
              <w:rPr>
                <w:rFonts w:asciiTheme="majorBidi" w:hAnsiTheme="majorBidi" w:cstheme="majorBidi"/>
                <w:noProof/>
                <w:szCs w:val="22"/>
                <w:lang w:eastAsia="zh-TW"/>
              </w:rPr>
            </w:pPr>
            <w:r>
              <w:rPr>
                <w:rFonts w:asciiTheme="majorBidi" w:hAnsiTheme="majorBidi" w:cstheme="majorBidi"/>
                <w:noProof/>
                <w:szCs w:val="22"/>
                <w:lang w:eastAsia="zh-TW"/>
              </w:rPr>
              <w:t>Retakaful</w:t>
            </w:r>
          </w:p>
        </w:tc>
        <w:tc>
          <w:tcPr>
            <w:tcW w:w="5243" w:type="dxa"/>
            <w:tcBorders>
              <w:top w:val="single" w:sz="4" w:space="0" w:color="auto"/>
              <w:left w:val="single" w:sz="4" w:space="0" w:color="auto"/>
              <w:bottom w:val="single" w:sz="4" w:space="0" w:color="auto"/>
              <w:right w:val="single" w:sz="4" w:space="0" w:color="auto"/>
            </w:tcBorders>
          </w:tcPr>
          <w:p w:rsidR="00611653" w:rsidRDefault="00611653" w:rsidP="00611653">
            <w:pPr>
              <w:autoSpaceDE w:val="0"/>
              <w:autoSpaceDN w:val="0"/>
              <w:adjustRightInd w:val="0"/>
              <w:spacing w:line="240" w:lineRule="atLeast"/>
              <w:rPr>
                <w:rFonts w:asciiTheme="majorBidi" w:hAnsiTheme="majorBidi" w:cstheme="majorBidi"/>
                <w:noProof/>
                <w:szCs w:val="22"/>
                <w:lang w:eastAsia="zh-TW"/>
              </w:rPr>
            </w:pPr>
            <w:r w:rsidRPr="00CD1E71">
              <w:rPr>
                <w:rFonts w:asciiTheme="majorBidi" w:hAnsiTheme="majorBidi" w:cstheme="majorBidi"/>
                <w:noProof/>
                <w:szCs w:val="22"/>
                <w:lang w:eastAsia="zh-TW"/>
              </w:rPr>
              <w:t>Nature of takaful business does not differ much than conventional except for profit/risk sharing</w:t>
            </w:r>
            <w:r w:rsidR="004C1376">
              <w:rPr>
                <w:rFonts w:asciiTheme="majorBidi" w:hAnsiTheme="majorBidi" w:cstheme="majorBidi"/>
                <w:noProof/>
                <w:szCs w:val="22"/>
                <w:lang w:eastAsia="zh-TW"/>
              </w:rPr>
              <w:t>.</w:t>
            </w:r>
            <w:r w:rsidRPr="00CD1E71">
              <w:rPr>
                <w:rFonts w:asciiTheme="majorBidi" w:hAnsiTheme="majorBidi" w:cstheme="majorBidi"/>
                <w:noProof/>
                <w:szCs w:val="22"/>
                <w:lang w:eastAsia="zh-TW"/>
              </w:rPr>
              <w:t xml:space="preserve"> </w:t>
            </w:r>
          </w:p>
          <w:p w:rsidR="002463A3" w:rsidRPr="00CD1E71" w:rsidRDefault="002463A3" w:rsidP="00611653">
            <w:pPr>
              <w:autoSpaceDE w:val="0"/>
              <w:autoSpaceDN w:val="0"/>
              <w:adjustRightInd w:val="0"/>
              <w:spacing w:line="240" w:lineRule="atLeast"/>
              <w:rPr>
                <w:rFonts w:asciiTheme="majorBidi" w:hAnsiTheme="majorBidi" w:cstheme="majorBidi"/>
                <w:noProof/>
                <w:szCs w:val="22"/>
                <w:lang w:eastAsia="zh-TW"/>
              </w:rPr>
            </w:pPr>
          </w:p>
          <w:p w:rsidR="00611653" w:rsidRPr="00CD1E71" w:rsidRDefault="002463A3" w:rsidP="00611653">
            <w:pPr>
              <w:autoSpaceDE w:val="0"/>
              <w:autoSpaceDN w:val="0"/>
              <w:adjustRightInd w:val="0"/>
              <w:spacing w:line="240" w:lineRule="atLeast"/>
              <w:rPr>
                <w:rFonts w:asciiTheme="majorBidi" w:hAnsiTheme="majorBidi" w:cstheme="majorBidi"/>
                <w:noProof/>
                <w:szCs w:val="22"/>
                <w:lang w:eastAsia="zh-TW"/>
              </w:rPr>
            </w:pPr>
            <w:r>
              <w:rPr>
                <w:rFonts w:asciiTheme="majorBidi" w:hAnsiTheme="majorBidi" w:cstheme="majorBidi"/>
                <w:noProof/>
                <w:szCs w:val="22"/>
                <w:lang w:eastAsia="zh-TW"/>
              </w:rPr>
              <w:t>Proposed r</w:t>
            </w:r>
            <w:r w:rsidR="00611653" w:rsidRPr="00CD1E71">
              <w:rPr>
                <w:rFonts w:asciiTheme="majorBidi" w:hAnsiTheme="majorBidi" w:cstheme="majorBidi"/>
                <w:noProof/>
                <w:szCs w:val="22"/>
                <w:lang w:eastAsia="zh-TW"/>
              </w:rPr>
              <w:t xml:space="preserve">ecommendation </w:t>
            </w:r>
            <w:r>
              <w:rPr>
                <w:rFonts w:asciiTheme="majorBidi" w:hAnsiTheme="majorBidi" w:cstheme="majorBidi"/>
                <w:noProof/>
                <w:szCs w:val="22"/>
                <w:lang w:eastAsia="zh-TW"/>
              </w:rPr>
              <w:t>for calculating output</w:t>
            </w:r>
            <w:r w:rsidR="00611653" w:rsidRPr="00CD1E71">
              <w:rPr>
                <w:rFonts w:asciiTheme="majorBidi" w:hAnsiTheme="majorBidi" w:cstheme="majorBidi"/>
                <w:noProof/>
                <w:szCs w:val="22"/>
                <w:lang w:eastAsia="zh-TW"/>
              </w:rPr>
              <w:t xml:space="preserve">: </w:t>
            </w:r>
          </w:p>
          <w:p w:rsidR="002463A3" w:rsidRDefault="002463A3" w:rsidP="00611653">
            <w:pPr>
              <w:autoSpaceDE w:val="0"/>
              <w:autoSpaceDN w:val="0"/>
              <w:adjustRightInd w:val="0"/>
              <w:spacing w:line="240" w:lineRule="atLeast"/>
              <w:rPr>
                <w:rFonts w:asciiTheme="majorBidi" w:hAnsiTheme="majorBidi" w:cstheme="majorBidi"/>
                <w:noProof/>
                <w:szCs w:val="22"/>
                <w:lang w:eastAsia="zh-TW"/>
              </w:rPr>
            </w:pPr>
          </w:p>
          <w:p w:rsidR="004C1376" w:rsidRDefault="00611653" w:rsidP="00611653">
            <w:pPr>
              <w:autoSpaceDE w:val="0"/>
              <w:autoSpaceDN w:val="0"/>
              <w:adjustRightInd w:val="0"/>
              <w:spacing w:line="240" w:lineRule="atLeast"/>
              <w:rPr>
                <w:rFonts w:asciiTheme="majorBidi" w:hAnsiTheme="majorBidi" w:cstheme="majorBidi"/>
                <w:noProof/>
                <w:szCs w:val="22"/>
                <w:lang w:eastAsia="zh-TW"/>
              </w:rPr>
            </w:pPr>
            <w:r w:rsidRPr="00CD1E71">
              <w:rPr>
                <w:rFonts w:asciiTheme="majorBidi" w:hAnsiTheme="majorBidi" w:cstheme="majorBidi"/>
                <w:noProof/>
                <w:szCs w:val="22"/>
                <w:lang w:eastAsia="zh-TW"/>
              </w:rPr>
              <w:t>Life takaful</w:t>
            </w:r>
          </w:p>
          <w:p w:rsidR="00564303" w:rsidRDefault="00564303" w:rsidP="00611653">
            <w:pPr>
              <w:autoSpaceDE w:val="0"/>
              <w:autoSpaceDN w:val="0"/>
              <w:adjustRightInd w:val="0"/>
              <w:spacing w:line="240" w:lineRule="atLeast"/>
              <w:rPr>
                <w:rFonts w:asciiTheme="majorBidi" w:hAnsiTheme="majorBidi" w:cstheme="majorBidi"/>
                <w:noProof/>
                <w:szCs w:val="22"/>
                <w:lang w:eastAsia="zh-TW"/>
              </w:rPr>
            </w:pPr>
          </w:p>
          <w:p w:rsidR="00611653" w:rsidRDefault="00492C7E" w:rsidP="00611653">
            <w:pPr>
              <w:autoSpaceDE w:val="0"/>
              <w:autoSpaceDN w:val="0"/>
              <w:adjustRightInd w:val="0"/>
              <w:spacing w:line="240" w:lineRule="atLeast"/>
              <w:rPr>
                <w:rFonts w:asciiTheme="majorBidi" w:hAnsiTheme="majorBidi" w:cstheme="majorBidi"/>
                <w:noProof/>
                <w:szCs w:val="22"/>
                <w:lang w:eastAsia="zh-TW"/>
              </w:rPr>
            </w:pPr>
            <w:r>
              <w:rPr>
                <w:rFonts w:asciiTheme="majorBidi" w:hAnsiTheme="majorBidi" w:cstheme="majorBidi"/>
                <w:noProof/>
                <w:szCs w:val="22"/>
                <w:lang w:eastAsia="zh-TW"/>
              </w:rPr>
              <w:t>Output is calculated as a</w:t>
            </w:r>
            <w:r w:rsidR="002463A3">
              <w:rPr>
                <w:rFonts w:asciiTheme="majorBidi" w:hAnsiTheme="majorBidi" w:cstheme="majorBidi"/>
                <w:noProof/>
                <w:szCs w:val="22"/>
                <w:lang w:eastAsia="zh-TW"/>
              </w:rPr>
              <w:t>ctual premiums earned  plus premium supplements</w:t>
            </w:r>
            <w:r w:rsidR="00611653" w:rsidRPr="00CD1E71">
              <w:rPr>
                <w:rFonts w:asciiTheme="majorBidi" w:hAnsiTheme="majorBidi" w:cstheme="majorBidi"/>
                <w:noProof/>
                <w:szCs w:val="22"/>
                <w:lang w:eastAsia="zh-TW"/>
              </w:rPr>
              <w:t xml:space="preserve"> minus benefits</w:t>
            </w:r>
            <w:r w:rsidR="002463A3">
              <w:rPr>
                <w:rFonts w:asciiTheme="majorBidi" w:hAnsiTheme="majorBidi" w:cstheme="majorBidi"/>
                <w:noProof/>
                <w:szCs w:val="22"/>
                <w:lang w:eastAsia="zh-TW"/>
              </w:rPr>
              <w:t xml:space="preserve"> due</w:t>
            </w:r>
            <w:r w:rsidR="00611653" w:rsidRPr="00CD1E71">
              <w:rPr>
                <w:rFonts w:asciiTheme="majorBidi" w:hAnsiTheme="majorBidi" w:cstheme="majorBidi"/>
                <w:noProof/>
                <w:szCs w:val="22"/>
                <w:lang w:eastAsia="zh-TW"/>
              </w:rPr>
              <w:t xml:space="preserve"> minus increase (plus decrease) in actuarial reserves and reserves for with-profits insurance</w:t>
            </w:r>
          </w:p>
          <w:p w:rsidR="00492C7E" w:rsidRDefault="00492C7E" w:rsidP="00611653">
            <w:pPr>
              <w:autoSpaceDE w:val="0"/>
              <w:autoSpaceDN w:val="0"/>
              <w:adjustRightInd w:val="0"/>
              <w:spacing w:line="240" w:lineRule="atLeast"/>
              <w:rPr>
                <w:rFonts w:asciiTheme="majorBidi" w:hAnsiTheme="majorBidi" w:cstheme="majorBidi"/>
                <w:noProof/>
                <w:szCs w:val="22"/>
                <w:lang w:eastAsia="zh-TW"/>
              </w:rPr>
            </w:pPr>
          </w:p>
          <w:p w:rsidR="00492C7E" w:rsidRDefault="00611653" w:rsidP="00611653">
            <w:pPr>
              <w:autoSpaceDE w:val="0"/>
              <w:autoSpaceDN w:val="0"/>
              <w:adjustRightInd w:val="0"/>
              <w:spacing w:line="240" w:lineRule="atLeast"/>
              <w:jc w:val="left"/>
              <w:rPr>
                <w:rFonts w:asciiTheme="majorBidi" w:hAnsiTheme="majorBidi" w:cstheme="majorBidi"/>
                <w:noProof/>
                <w:szCs w:val="22"/>
                <w:lang w:eastAsia="zh-TW"/>
              </w:rPr>
            </w:pPr>
            <w:r w:rsidRPr="00CD1E71">
              <w:rPr>
                <w:rFonts w:asciiTheme="majorBidi" w:hAnsiTheme="majorBidi" w:cstheme="majorBidi"/>
                <w:noProof/>
                <w:szCs w:val="22"/>
                <w:lang w:eastAsia="zh-TW"/>
              </w:rPr>
              <w:t>Non-life takaful</w:t>
            </w:r>
          </w:p>
          <w:p w:rsidR="00492C7E" w:rsidRDefault="00492C7E" w:rsidP="00611653">
            <w:pPr>
              <w:autoSpaceDE w:val="0"/>
              <w:autoSpaceDN w:val="0"/>
              <w:adjustRightInd w:val="0"/>
              <w:spacing w:line="240" w:lineRule="atLeast"/>
              <w:jc w:val="left"/>
              <w:rPr>
                <w:rFonts w:asciiTheme="majorBidi" w:hAnsiTheme="majorBidi" w:cstheme="majorBidi"/>
                <w:noProof/>
                <w:szCs w:val="22"/>
                <w:lang w:eastAsia="zh-TW"/>
              </w:rPr>
            </w:pPr>
          </w:p>
          <w:p w:rsidR="00492C7E" w:rsidRDefault="00492C7E" w:rsidP="00611653">
            <w:pPr>
              <w:autoSpaceDE w:val="0"/>
              <w:autoSpaceDN w:val="0"/>
              <w:adjustRightInd w:val="0"/>
              <w:spacing w:line="240" w:lineRule="atLeast"/>
              <w:jc w:val="left"/>
              <w:rPr>
                <w:rFonts w:asciiTheme="majorBidi" w:hAnsiTheme="majorBidi" w:cstheme="majorBidi"/>
                <w:noProof/>
                <w:szCs w:val="22"/>
                <w:lang w:eastAsia="zh-TW"/>
              </w:rPr>
            </w:pPr>
            <w:r>
              <w:rPr>
                <w:rFonts w:asciiTheme="majorBidi" w:hAnsiTheme="majorBidi" w:cstheme="majorBidi"/>
                <w:noProof/>
                <w:szCs w:val="22"/>
                <w:lang w:eastAsia="zh-TW"/>
              </w:rPr>
              <w:t>Output can be calculated using either one of the three following methods:</w:t>
            </w:r>
          </w:p>
          <w:p w:rsidR="002463A3" w:rsidRDefault="002463A3" w:rsidP="00611653">
            <w:pPr>
              <w:autoSpaceDE w:val="0"/>
              <w:autoSpaceDN w:val="0"/>
              <w:adjustRightInd w:val="0"/>
              <w:spacing w:line="240" w:lineRule="atLeast"/>
              <w:jc w:val="left"/>
              <w:rPr>
                <w:rFonts w:asciiTheme="majorBidi" w:hAnsiTheme="majorBidi" w:cstheme="majorBidi"/>
                <w:noProof/>
                <w:szCs w:val="22"/>
                <w:lang w:eastAsia="zh-TW"/>
              </w:rPr>
            </w:pPr>
          </w:p>
          <w:p w:rsidR="00492C7E" w:rsidRPr="00492C7E" w:rsidRDefault="00492C7E" w:rsidP="00492C7E">
            <w:pPr>
              <w:autoSpaceDE w:val="0"/>
              <w:autoSpaceDN w:val="0"/>
              <w:adjustRightInd w:val="0"/>
              <w:spacing w:line="240" w:lineRule="atLeast"/>
              <w:rPr>
                <w:rFonts w:asciiTheme="majorBidi" w:hAnsiTheme="majorBidi" w:cstheme="majorBidi"/>
                <w:noProof/>
                <w:szCs w:val="22"/>
                <w:lang w:eastAsia="zh-TW"/>
              </w:rPr>
            </w:pPr>
            <w:r w:rsidRPr="00492C7E">
              <w:rPr>
                <w:rFonts w:asciiTheme="majorBidi" w:hAnsiTheme="majorBidi" w:cstheme="majorBidi"/>
                <w:noProof/>
                <w:szCs w:val="22"/>
                <w:lang w:eastAsia="zh-TW"/>
              </w:rPr>
              <w:t>(a) Output is calculated as actual premiums earned plus expected premium</w:t>
            </w:r>
            <w:r>
              <w:rPr>
                <w:rFonts w:asciiTheme="majorBidi" w:hAnsiTheme="majorBidi" w:cstheme="majorBidi"/>
                <w:noProof/>
                <w:szCs w:val="22"/>
                <w:lang w:eastAsia="zh-TW"/>
              </w:rPr>
              <w:t xml:space="preserve"> </w:t>
            </w:r>
            <w:r w:rsidRPr="00492C7E">
              <w:rPr>
                <w:rFonts w:asciiTheme="majorBidi" w:hAnsiTheme="majorBidi" w:cstheme="majorBidi"/>
                <w:noProof/>
                <w:szCs w:val="22"/>
                <w:lang w:eastAsia="zh-TW"/>
              </w:rPr>
              <w:t>supplements minus expected claims incurred, where expected claims and</w:t>
            </w:r>
            <w:r>
              <w:rPr>
                <w:rFonts w:asciiTheme="majorBidi" w:hAnsiTheme="majorBidi" w:cstheme="majorBidi"/>
                <w:noProof/>
                <w:szCs w:val="22"/>
                <w:lang w:eastAsia="zh-TW"/>
              </w:rPr>
              <w:t xml:space="preserve"> </w:t>
            </w:r>
            <w:r w:rsidRPr="00492C7E">
              <w:rPr>
                <w:rFonts w:asciiTheme="majorBidi" w:hAnsiTheme="majorBidi" w:cstheme="majorBidi"/>
                <w:noProof/>
                <w:szCs w:val="22"/>
                <w:lang w:eastAsia="zh-TW"/>
              </w:rPr>
              <w:t>premium supplements are estimated from past experience (expectations</w:t>
            </w:r>
          </w:p>
          <w:p w:rsidR="00492C7E" w:rsidRPr="00492C7E" w:rsidRDefault="00492C7E" w:rsidP="00492C7E">
            <w:pPr>
              <w:autoSpaceDE w:val="0"/>
              <w:autoSpaceDN w:val="0"/>
              <w:adjustRightInd w:val="0"/>
              <w:spacing w:line="240" w:lineRule="atLeast"/>
              <w:rPr>
                <w:rFonts w:asciiTheme="majorBidi" w:hAnsiTheme="majorBidi" w:cstheme="majorBidi"/>
                <w:noProof/>
                <w:szCs w:val="22"/>
                <w:lang w:eastAsia="zh-TW"/>
              </w:rPr>
            </w:pPr>
            <w:r w:rsidRPr="00492C7E">
              <w:rPr>
                <w:rFonts w:asciiTheme="majorBidi" w:hAnsiTheme="majorBidi" w:cstheme="majorBidi"/>
                <w:noProof/>
                <w:szCs w:val="22"/>
                <w:lang w:eastAsia="zh-TW"/>
              </w:rPr>
              <w:t>approach);</w:t>
            </w:r>
          </w:p>
          <w:p w:rsidR="00492C7E" w:rsidRPr="00492C7E" w:rsidRDefault="00492C7E" w:rsidP="00492C7E">
            <w:pPr>
              <w:autoSpaceDE w:val="0"/>
              <w:autoSpaceDN w:val="0"/>
              <w:adjustRightInd w:val="0"/>
              <w:spacing w:line="240" w:lineRule="atLeast"/>
              <w:rPr>
                <w:rFonts w:asciiTheme="majorBidi" w:hAnsiTheme="majorBidi" w:cstheme="majorBidi"/>
                <w:noProof/>
                <w:szCs w:val="22"/>
                <w:lang w:eastAsia="zh-TW"/>
              </w:rPr>
            </w:pPr>
            <w:r w:rsidRPr="00492C7E">
              <w:rPr>
                <w:rFonts w:asciiTheme="majorBidi" w:hAnsiTheme="majorBidi" w:cstheme="majorBidi"/>
                <w:noProof/>
                <w:szCs w:val="22"/>
                <w:lang w:eastAsia="zh-TW"/>
              </w:rPr>
              <w:t>(b) Output is calculated as actual premiums earned plus premium supplements</w:t>
            </w:r>
            <w:r>
              <w:rPr>
                <w:rFonts w:asciiTheme="majorBidi" w:hAnsiTheme="majorBidi" w:cstheme="majorBidi"/>
                <w:noProof/>
                <w:szCs w:val="22"/>
                <w:lang w:eastAsia="zh-TW"/>
              </w:rPr>
              <w:t xml:space="preserve"> </w:t>
            </w:r>
            <w:r w:rsidRPr="00492C7E">
              <w:rPr>
                <w:rFonts w:asciiTheme="majorBidi" w:hAnsiTheme="majorBidi" w:cstheme="majorBidi"/>
                <w:noProof/>
                <w:szCs w:val="22"/>
                <w:lang w:eastAsia="zh-TW"/>
              </w:rPr>
              <w:t>minus adjusted claims incurred, where adjusted claims are determined</w:t>
            </w:r>
            <w:r>
              <w:rPr>
                <w:rFonts w:asciiTheme="majorBidi" w:hAnsiTheme="majorBidi" w:cstheme="majorBidi"/>
                <w:noProof/>
                <w:szCs w:val="22"/>
                <w:lang w:eastAsia="zh-TW"/>
              </w:rPr>
              <w:t xml:space="preserve"> </w:t>
            </w:r>
            <w:r w:rsidRPr="00492C7E">
              <w:rPr>
                <w:rFonts w:asciiTheme="majorBidi" w:hAnsiTheme="majorBidi" w:cstheme="majorBidi"/>
                <w:noProof/>
                <w:szCs w:val="22"/>
                <w:lang w:eastAsia="zh-TW"/>
              </w:rPr>
              <w:t>by using claims due plus the changes in equalization provisions</w:t>
            </w:r>
            <w:r>
              <w:rPr>
                <w:rFonts w:asciiTheme="majorBidi" w:hAnsiTheme="majorBidi" w:cstheme="majorBidi"/>
                <w:noProof/>
                <w:szCs w:val="22"/>
                <w:lang w:eastAsia="zh-TW"/>
              </w:rPr>
              <w:t xml:space="preserve"> </w:t>
            </w:r>
            <w:r w:rsidRPr="00492C7E">
              <w:rPr>
                <w:rFonts w:asciiTheme="majorBidi" w:hAnsiTheme="majorBidi" w:cstheme="majorBidi"/>
                <w:noProof/>
                <w:szCs w:val="22"/>
                <w:lang w:eastAsia="zh-TW"/>
              </w:rPr>
              <w:t>and, if necessary, changes to own funds (accounting approach);</w:t>
            </w:r>
          </w:p>
          <w:p w:rsidR="00492C7E" w:rsidRDefault="00492C7E" w:rsidP="00492C7E">
            <w:pPr>
              <w:autoSpaceDE w:val="0"/>
              <w:autoSpaceDN w:val="0"/>
              <w:adjustRightInd w:val="0"/>
              <w:spacing w:line="240" w:lineRule="atLeast"/>
              <w:rPr>
                <w:rFonts w:asciiTheme="majorBidi" w:hAnsiTheme="majorBidi" w:cstheme="majorBidi"/>
                <w:noProof/>
                <w:szCs w:val="22"/>
                <w:lang w:eastAsia="zh-TW"/>
              </w:rPr>
            </w:pPr>
            <w:r w:rsidRPr="00492C7E">
              <w:rPr>
                <w:rFonts w:asciiTheme="majorBidi" w:hAnsiTheme="majorBidi" w:cstheme="majorBidi"/>
                <w:noProof/>
                <w:szCs w:val="22"/>
                <w:lang w:eastAsia="zh-TW"/>
              </w:rPr>
              <w:t>(c) Output is calculated as the sum of costs (i. e.</w:t>
            </w:r>
            <w:r>
              <w:rPr>
                <w:rFonts w:asciiTheme="majorBidi" w:hAnsiTheme="majorBidi" w:cstheme="majorBidi"/>
                <w:noProof/>
                <w:szCs w:val="22"/>
                <w:lang w:eastAsia="zh-TW"/>
              </w:rPr>
              <w:t>,</w:t>
            </w:r>
            <w:r w:rsidRPr="00492C7E">
              <w:rPr>
                <w:rFonts w:asciiTheme="majorBidi" w:hAnsiTheme="majorBidi" w:cstheme="majorBidi"/>
                <w:noProof/>
                <w:szCs w:val="22"/>
                <w:lang w:eastAsia="zh-TW"/>
              </w:rPr>
              <w:t xml:space="preserve"> intermediate consumption,</w:t>
            </w:r>
            <w:r>
              <w:rPr>
                <w:rFonts w:asciiTheme="majorBidi" w:hAnsiTheme="majorBidi" w:cstheme="majorBidi"/>
                <w:noProof/>
                <w:szCs w:val="22"/>
                <w:lang w:eastAsia="zh-TW"/>
              </w:rPr>
              <w:t xml:space="preserve"> </w:t>
            </w:r>
            <w:r w:rsidRPr="00492C7E">
              <w:rPr>
                <w:rFonts w:asciiTheme="majorBidi" w:hAnsiTheme="majorBidi" w:cstheme="majorBidi"/>
                <w:noProof/>
                <w:szCs w:val="22"/>
                <w:lang w:eastAsia="zh-TW"/>
              </w:rPr>
              <w:t xml:space="preserve">compensation of employees, </w:t>
            </w:r>
            <w:r w:rsidRPr="00492C7E">
              <w:rPr>
                <w:rFonts w:asciiTheme="majorBidi" w:hAnsiTheme="majorBidi" w:cstheme="majorBidi"/>
                <w:noProof/>
                <w:szCs w:val="22"/>
                <w:lang w:eastAsia="zh-TW"/>
              </w:rPr>
              <w:lastRenderedPageBreak/>
              <w:t>capital costs and other taxes (less subsidies)</w:t>
            </w:r>
            <w:r>
              <w:rPr>
                <w:rFonts w:asciiTheme="majorBidi" w:hAnsiTheme="majorBidi" w:cstheme="majorBidi"/>
                <w:noProof/>
                <w:szCs w:val="22"/>
                <w:lang w:eastAsia="zh-TW"/>
              </w:rPr>
              <w:t xml:space="preserve"> </w:t>
            </w:r>
            <w:r w:rsidRPr="00492C7E">
              <w:rPr>
                <w:rFonts w:asciiTheme="majorBidi" w:hAnsiTheme="majorBidi" w:cstheme="majorBidi"/>
                <w:noProof/>
                <w:szCs w:val="22"/>
                <w:lang w:eastAsia="zh-TW"/>
              </w:rPr>
              <w:t>on production) plus an allowance for “normal profit”</w:t>
            </w:r>
            <w:r>
              <w:rPr>
                <w:rFonts w:asciiTheme="majorBidi" w:hAnsiTheme="majorBidi" w:cstheme="majorBidi"/>
                <w:noProof/>
                <w:szCs w:val="22"/>
                <w:lang w:eastAsia="zh-TW"/>
              </w:rPr>
              <w:t>.</w:t>
            </w:r>
          </w:p>
          <w:p w:rsidR="00492C7E" w:rsidRDefault="00492C7E" w:rsidP="00611653">
            <w:pPr>
              <w:autoSpaceDE w:val="0"/>
              <w:autoSpaceDN w:val="0"/>
              <w:adjustRightInd w:val="0"/>
              <w:spacing w:line="240" w:lineRule="atLeast"/>
              <w:jc w:val="left"/>
              <w:rPr>
                <w:rFonts w:asciiTheme="majorBidi" w:hAnsiTheme="majorBidi" w:cstheme="majorBidi"/>
                <w:noProof/>
                <w:szCs w:val="22"/>
                <w:lang w:eastAsia="zh-TW"/>
              </w:rPr>
            </w:pPr>
            <w:bookmarkStart w:id="0" w:name="_GoBack"/>
            <w:bookmarkEnd w:id="0"/>
          </w:p>
          <w:p w:rsidR="00611653" w:rsidRDefault="00492C7E" w:rsidP="00611653">
            <w:pPr>
              <w:autoSpaceDE w:val="0"/>
              <w:autoSpaceDN w:val="0"/>
              <w:adjustRightInd w:val="0"/>
              <w:spacing w:line="240" w:lineRule="atLeast"/>
              <w:jc w:val="left"/>
              <w:rPr>
                <w:rFonts w:asciiTheme="majorBidi" w:hAnsiTheme="majorBidi" w:cstheme="majorBidi"/>
                <w:noProof/>
                <w:szCs w:val="22"/>
                <w:lang w:eastAsia="zh-TW"/>
              </w:rPr>
            </w:pPr>
            <w:r>
              <w:rPr>
                <w:rFonts w:asciiTheme="majorBidi" w:hAnsiTheme="majorBidi" w:cstheme="majorBidi"/>
                <w:noProof/>
                <w:szCs w:val="22"/>
                <w:lang w:eastAsia="zh-TW"/>
              </w:rPr>
              <w:t>Retakful</w:t>
            </w:r>
          </w:p>
          <w:p w:rsidR="00611653" w:rsidRPr="00A60452" w:rsidRDefault="00492C7E" w:rsidP="00492C7E">
            <w:pPr>
              <w:autoSpaceDE w:val="0"/>
              <w:autoSpaceDN w:val="0"/>
              <w:adjustRightInd w:val="0"/>
              <w:spacing w:line="240" w:lineRule="atLeast"/>
              <w:rPr>
                <w:rFonts w:asciiTheme="majorBidi" w:hAnsiTheme="majorBidi" w:cstheme="majorBidi"/>
                <w:noProof/>
                <w:szCs w:val="22"/>
                <w:lang w:eastAsia="zh-TW"/>
              </w:rPr>
            </w:pPr>
            <w:r>
              <w:rPr>
                <w:rFonts w:asciiTheme="majorBidi" w:hAnsiTheme="majorBidi" w:cstheme="majorBidi"/>
                <w:noProof/>
                <w:szCs w:val="22"/>
                <w:lang w:eastAsia="zh-TW"/>
              </w:rPr>
              <w:t xml:space="preserve">Output is </w:t>
            </w:r>
            <w:r w:rsidRPr="00492C7E">
              <w:rPr>
                <w:rFonts w:asciiTheme="majorBidi" w:hAnsiTheme="majorBidi" w:cstheme="majorBidi"/>
                <w:noProof/>
                <w:szCs w:val="22"/>
                <w:lang w:eastAsia="zh-TW"/>
              </w:rPr>
              <w:t>calculated as actual premiums earned less commissions payable</w:t>
            </w:r>
            <w:r>
              <w:rPr>
                <w:rFonts w:asciiTheme="majorBidi" w:hAnsiTheme="majorBidi" w:cstheme="majorBidi"/>
                <w:noProof/>
                <w:szCs w:val="22"/>
                <w:lang w:eastAsia="zh-TW"/>
              </w:rPr>
              <w:t xml:space="preserve"> </w:t>
            </w:r>
            <w:r w:rsidRPr="00492C7E">
              <w:rPr>
                <w:rFonts w:asciiTheme="majorBidi" w:hAnsiTheme="majorBidi" w:cstheme="majorBidi"/>
                <w:noProof/>
                <w:szCs w:val="22"/>
                <w:lang w:eastAsia="zh-TW"/>
              </w:rPr>
              <w:t>plus premium supplements minus both adjusted claims incurred and</w:t>
            </w:r>
            <w:r>
              <w:rPr>
                <w:rFonts w:asciiTheme="majorBidi" w:hAnsiTheme="majorBidi" w:cstheme="majorBidi"/>
                <w:noProof/>
                <w:szCs w:val="22"/>
                <w:lang w:eastAsia="zh-TW"/>
              </w:rPr>
              <w:t xml:space="preserve"> </w:t>
            </w:r>
            <w:r w:rsidRPr="00492C7E">
              <w:rPr>
                <w:rFonts w:asciiTheme="majorBidi" w:hAnsiTheme="majorBidi" w:cstheme="majorBidi"/>
                <w:noProof/>
                <w:szCs w:val="22"/>
                <w:lang w:eastAsia="zh-TW"/>
              </w:rPr>
              <w:t>profit sharing</w:t>
            </w:r>
          </w:p>
        </w:tc>
      </w:tr>
      <w:tr w:rsidR="00611653" w:rsidRPr="00A60452" w:rsidTr="00BB478A">
        <w:tblPrEx>
          <w:tblLook w:val="01E0" w:firstRow="1" w:lastRow="1" w:firstColumn="1" w:lastColumn="1" w:noHBand="0" w:noVBand="0"/>
        </w:tblPrEx>
        <w:tc>
          <w:tcPr>
            <w:tcW w:w="2317" w:type="dxa"/>
            <w:tcBorders>
              <w:top w:val="single" w:sz="4" w:space="0" w:color="auto"/>
              <w:left w:val="single" w:sz="4" w:space="0" w:color="auto"/>
              <w:bottom w:val="single" w:sz="4" w:space="0" w:color="auto"/>
              <w:right w:val="single" w:sz="4" w:space="0" w:color="auto"/>
            </w:tcBorders>
          </w:tcPr>
          <w:p w:rsidR="00611653" w:rsidRDefault="00611653" w:rsidP="00611653">
            <w:pPr>
              <w:jc w:val="left"/>
              <w:rPr>
                <w:rFonts w:asciiTheme="majorBidi" w:hAnsiTheme="majorBidi" w:cstheme="majorBidi"/>
                <w:bCs/>
                <w:szCs w:val="22"/>
              </w:rPr>
            </w:pPr>
            <w:r>
              <w:rPr>
                <w:rFonts w:asciiTheme="majorBidi" w:hAnsiTheme="majorBidi" w:cstheme="majorBidi"/>
                <w:szCs w:val="22"/>
                <w:lang w:eastAsia="zh-CN"/>
              </w:rPr>
              <w:lastRenderedPageBreak/>
              <w:t>Pension funds (S129)</w:t>
            </w:r>
          </w:p>
        </w:tc>
        <w:tc>
          <w:tcPr>
            <w:tcW w:w="2610" w:type="dxa"/>
            <w:tcBorders>
              <w:top w:val="single" w:sz="4" w:space="0" w:color="auto"/>
              <w:left w:val="single" w:sz="4" w:space="0" w:color="auto"/>
              <w:bottom w:val="single" w:sz="4" w:space="0" w:color="auto"/>
              <w:right w:val="single" w:sz="4" w:space="0" w:color="auto"/>
            </w:tcBorders>
          </w:tcPr>
          <w:p w:rsidR="00611653" w:rsidRDefault="00611653" w:rsidP="00611653">
            <w:pPr>
              <w:jc w:val="left"/>
              <w:rPr>
                <w:rFonts w:asciiTheme="majorBidi" w:hAnsiTheme="majorBidi" w:cstheme="majorBidi"/>
                <w:noProof/>
                <w:szCs w:val="22"/>
                <w:lang w:eastAsia="zh-TW"/>
              </w:rPr>
            </w:pPr>
            <w:r>
              <w:rPr>
                <w:rFonts w:asciiTheme="majorBidi" w:hAnsiTheme="majorBidi" w:cstheme="majorBidi"/>
                <w:noProof/>
                <w:szCs w:val="22"/>
                <w:lang w:eastAsia="zh-TW"/>
              </w:rPr>
              <w:t>Defined contribution pension funds</w:t>
            </w:r>
          </w:p>
          <w:p w:rsidR="00611653" w:rsidRPr="00A60452" w:rsidRDefault="00611653" w:rsidP="00611653">
            <w:pPr>
              <w:jc w:val="left"/>
              <w:rPr>
                <w:rFonts w:asciiTheme="majorBidi" w:hAnsiTheme="majorBidi" w:cstheme="majorBidi"/>
                <w:noProof/>
                <w:szCs w:val="22"/>
                <w:lang w:eastAsia="zh-TW"/>
              </w:rPr>
            </w:pPr>
            <w:r>
              <w:rPr>
                <w:rFonts w:asciiTheme="majorBidi" w:hAnsiTheme="majorBidi" w:cstheme="majorBidi"/>
                <w:noProof/>
                <w:szCs w:val="22"/>
                <w:lang w:eastAsia="zh-TW"/>
              </w:rPr>
              <w:t>Defined benefit pension funds</w:t>
            </w:r>
          </w:p>
        </w:tc>
        <w:tc>
          <w:tcPr>
            <w:tcW w:w="2790" w:type="dxa"/>
            <w:tcBorders>
              <w:top w:val="single" w:sz="4" w:space="0" w:color="auto"/>
              <w:left w:val="single" w:sz="4" w:space="0" w:color="auto"/>
              <w:bottom w:val="single" w:sz="4" w:space="0" w:color="auto"/>
              <w:right w:val="single" w:sz="4" w:space="0" w:color="auto"/>
            </w:tcBorders>
          </w:tcPr>
          <w:p w:rsidR="00611653" w:rsidRPr="00A60452" w:rsidRDefault="00611653" w:rsidP="00611653">
            <w:pPr>
              <w:autoSpaceDE w:val="0"/>
              <w:autoSpaceDN w:val="0"/>
              <w:adjustRightInd w:val="0"/>
              <w:spacing w:line="240" w:lineRule="atLeast"/>
              <w:jc w:val="left"/>
              <w:rPr>
                <w:rFonts w:asciiTheme="majorBidi" w:hAnsiTheme="majorBidi" w:cstheme="majorBidi"/>
                <w:noProof/>
                <w:szCs w:val="22"/>
                <w:lang w:eastAsia="zh-TW"/>
              </w:rPr>
            </w:pPr>
            <w:r>
              <w:rPr>
                <w:rFonts w:asciiTheme="majorBidi" w:hAnsiTheme="majorBidi" w:cstheme="majorBidi"/>
                <w:noProof/>
                <w:szCs w:val="22"/>
                <w:lang w:eastAsia="zh-TW"/>
              </w:rPr>
              <w:t>Pension fund services</w:t>
            </w:r>
          </w:p>
        </w:tc>
        <w:tc>
          <w:tcPr>
            <w:tcW w:w="5243" w:type="dxa"/>
            <w:tcBorders>
              <w:top w:val="single" w:sz="4" w:space="0" w:color="auto"/>
              <w:left w:val="single" w:sz="4" w:space="0" w:color="auto"/>
              <w:bottom w:val="single" w:sz="4" w:space="0" w:color="auto"/>
              <w:right w:val="single" w:sz="4" w:space="0" w:color="auto"/>
            </w:tcBorders>
          </w:tcPr>
          <w:p w:rsidR="00611653" w:rsidRPr="00A60452" w:rsidRDefault="00611653" w:rsidP="00611653">
            <w:pPr>
              <w:autoSpaceDE w:val="0"/>
              <w:autoSpaceDN w:val="0"/>
              <w:adjustRightInd w:val="0"/>
              <w:spacing w:line="240" w:lineRule="atLeast"/>
              <w:jc w:val="left"/>
              <w:rPr>
                <w:rFonts w:asciiTheme="majorBidi" w:hAnsiTheme="majorBidi" w:cstheme="majorBidi"/>
                <w:noProof/>
                <w:szCs w:val="22"/>
                <w:lang w:eastAsia="zh-TW"/>
              </w:rPr>
            </w:pPr>
            <w:r>
              <w:rPr>
                <w:rFonts w:asciiTheme="majorBidi" w:hAnsiTheme="majorBidi" w:cstheme="majorBidi"/>
                <w:noProof/>
                <w:szCs w:val="22"/>
                <w:lang w:eastAsia="zh-TW"/>
              </w:rPr>
              <w:t>Sum of costs</w:t>
            </w:r>
          </w:p>
        </w:tc>
      </w:tr>
    </w:tbl>
    <w:p w:rsidR="00015726" w:rsidRPr="00A60452" w:rsidRDefault="00015726" w:rsidP="00D8793C">
      <w:pPr>
        <w:pStyle w:val="BodyText"/>
        <w:jc w:val="left"/>
        <w:rPr>
          <w:rFonts w:asciiTheme="majorBidi" w:hAnsiTheme="majorBidi" w:cstheme="majorBidi"/>
          <w:b w:val="0"/>
          <w:szCs w:val="22"/>
        </w:rPr>
      </w:pPr>
    </w:p>
    <w:p w:rsidR="002409A0" w:rsidRPr="00A60452" w:rsidRDefault="002409A0" w:rsidP="00D8793C">
      <w:pPr>
        <w:pStyle w:val="BodyText"/>
        <w:jc w:val="left"/>
        <w:rPr>
          <w:rFonts w:asciiTheme="majorBidi" w:hAnsiTheme="majorBidi" w:cstheme="majorBidi"/>
          <w:b w:val="0"/>
          <w:szCs w:val="22"/>
        </w:rPr>
      </w:pPr>
    </w:p>
    <w:sectPr w:rsidR="002409A0" w:rsidRPr="00A60452" w:rsidSect="00171275">
      <w:headerReference w:type="default" r:id="rId8"/>
      <w:footerReference w:type="even" r:id="rId9"/>
      <w:footerReference w:type="default" r:id="rId10"/>
      <w:endnotePr>
        <w:numRestart w:val="eachSect"/>
      </w:endnotePr>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6D79" w:rsidRDefault="00426D79">
      <w:r>
        <w:separator/>
      </w:r>
    </w:p>
  </w:endnote>
  <w:endnote w:type="continuationSeparator" w:id="0">
    <w:p w:rsidR="00426D79" w:rsidRDefault="00426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pitch w:val="variable"/>
    <w:sig w:usb0="00000003" w:usb1="00000000" w:usb2="00000000" w:usb3="00000000" w:csb0="00000001" w:csb1="00000000"/>
  </w:font>
  <w:font w:name="Swiss 721 Roman">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0BB" w:rsidRDefault="006760BB" w:rsidP="000A6B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760BB" w:rsidRDefault="006760BB" w:rsidP="007D34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0BB" w:rsidRPr="00E4607A" w:rsidRDefault="006760BB" w:rsidP="000A6B4C">
    <w:pPr>
      <w:pStyle w:val="Footer"/>
      <w:framePr w:wrap="around" w:vAnchor="text" w:hAnchor="margin" w:xAlign="right" w:y="1"/>
      <w:rPr>
        <w:rStyle w:val="PageNumber"/>
        <w:rFonts w:ascii="Times New Roman" w:hAnsi="Times New Roman"/>
      </w:rPr>
    </w:pPr>
    <w:r w:rsidRPr="00E4607A">
      <w:rPr>
        <w:rStyle w:val="PageNumber"/>
        <w:rFonts w:ascii="Times New Roman" w:hAnsi="Times New Roman"/>
      </w:rPr>
      <w:fldChar w:fldCharType="begin"/>
    </w:r>
    <w:r w:rsidRPr="00E4607A">
      <w:rPr>
        <w:rStyle w:val="PageNumber"/>
        <w:rFonts w:ascii="Times New Roman" w:hAnsi="Times New Roman"/>
      </w:rPr>
      <w:instrText xml:space="preserve">PAGE  </w:instrText>
    </w:r>
    <w:r w:rsidRPr="00E4607A">
      <w:rPr>
        <w:rStyle w:val="PageNumber"/>
        <w:rFonts w:ascii="Times New Roman" w:hAnsi="Times New Roman"/>
      </w:rPr>
      <w:fldChar w:fldCharType="separate"/>
    </w:r>
    <w:r w:rsidR="00DF784F">
      <w:rPr>
        <w:rStyle w:val="PageNumber"/>
        <w:rFonts w:ascii="Times New Roman" w:hAnsi="Times New Roman"/>
        <w:noProof/>
      </w:rPr>
      <w:t>2</w:t>
    </w:r>
    <w:r w:rsidRPr="00E4607A">
      <w:rPr>
        <w:rStyle w:val="PageNumber"/>
        <w:rFonts w:ascii="Times New Roman" w:hAnsi="Times New Roman"/>
      </w:rPr>
      <w:fldChar w:fldCharType="end"/>
    </w:r>
  </w:p>
  <w:p w:rsidR="006760BB" w:rsidRPr="00600753" w:rsidRDefault="006760BB" w:rsidP="00054882">
    <w:pPr>
      <w:pStyle w:val="Footer"/>
      <w:ind w:right="360"/>
      <w:rPr>
        <w:rFonts w:ascii="Times New Roman" w:hAnsi="Times New Roman"/>
        <w:sz w:val="18"/>
        <w:szCs w:val="18"/>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6D79" w:rsidRDefault="00426D79">
      <w:r>
        <w:separator/>
      </w:r>
    </w:p>
  </w:footnote>
  <w:footnote w:type="continuationSeparator" w:id="0">
    <w:p w:rsidR="00426D79" w:rsidRDefault="00426D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0BB" w:rsidRPr="00476D8C" w:rsidRDefault="00476D8C" w:rsidP="00476D8C">
    <w:pPr>
      <w:pStyle w:val="Header"/>
      <w:tabs>
        <w:tab w:val="clear" w:pos="8640"/>
      </w:tabs>
      <w:rPr>
        <w:rFonts w:ascii="Times New Roman" w:hAnsi="Times New Roman"/>
        <w:b/>
        <w:bCs/>
        <w:sz w:val="24"/>
        <w:szCs w:val="24"/>
      </w:rPr>
    </w:pPr>
    <w:r>
      <w:rPr>
        <w:rFonts w:ascii="Times New Roman" w:hAnsi="Times New Roman"/>
        <w:b/>
        <w:bCs/>
        <w:sz w:val="24"/>
        <w:szCs w:val="24"/>
      </w:rPr>
      <w:t>Methods to calculate</w:t>
    </w:r>
    <w:r w:rsidR="00A54B66" w:rsidRPr="00476D8C">
      <w:rPr>
        <w:rFonts w:ascii="Times New Roman" w:hAnsi="Times New Roman"/>
        <w:b/>
        <w:bCs/>
        <w:sz w:val="24"/>
        <w:szCs w:val="24"/>
      </w:rPr>
      <w:t xml:space="preserve"> </w:t>
    </w:r>
    <w:r>
      <w:rPr>
        <w:rFonts w:ascii="Times New Roman" w:hAnsi="Times New Roman"/>
        <w:b/>
        <w:bCs/>
        <w:sz w:val="24"/>
        <w:szCs w:val="24"/>
      </w:rPr>
      <w:t>o</w:t>
    </w:r>
    <w:r w:rsidR="00A54B66" w:rsidRPr="00476D8C">
      <w:rPr>
        <w:rFonts w:ascii="Times New Roman" w:hAnsi="Times New Roman"/>
        <w:b/>
        <w:bCs/>
        <w:sz w:val="24"/>
        <w:szCs w:val="24"/>
      </w:rPr>
      <w:t xml:space="preserve">utput </w:t>
    </w:r>
    <w:r>
      <w:rPr>
        <w:rFonts w:ascii="Times New Roman" w:hAnsi="Times New Roman"/>
        <w:b/>
        <w:bCs/>
        <w:sz w:val="24"/>
        <w:szCs w:val="24"/>
      </w:rPr>
      <w:t>of Islamic</w:t>
    </w:r>
    <w:r w:rsidR="00A54B66" w:rsidRPr="00476D8C">
      <w:rPr>
        <w:rFonts w:ascii="Times New Roman" w:hAnsi="Times New Roman"/>
        <w:b/>
        <w:bCs/>
        <w:sz w:val="24"/>
        <w:szCs w:val="24"/>
      </w:rPr>
      <w:t xml:space="preserve"> </w:t>
    </w:r>
    <w:r>
      <w:rPr>
        <w:rFonts w:ascii="Times New Roman" w:hAnsi="Times New Roman"/>
        <w:b/>
        <w:bCs/>
        <w:sz w:val="24"/>
        <w:szCs w:val="24"/>
      </w:rPr>
      <w:t>f</w:t>
    </w:r>
    <w:r w:rsidR="00A54B66" w:rsidRPr="00476D8C">
      <w:rPr>
        <w:rFonts w:ascii="Times New Roman" w:hAnsi="Times New Roman"/>
        <w:b/>
        <w:bCs/>
        <w:sz w:val="24"/>
        <w:szCs w:val="24"/>
      </w:rPr>
      <w:t xml:space="preserve">inancial </w:t>
    </w:r>
    <w:r>
      <w:rPr>
        <w:rFonts w:ascii="Times New Roman" w:hAnsi="Times New Roman"/>
        <w:b/>
        <w:bCs/>
        <w:sz w:val="24"/>
        <w:szCs w:val="24"/>
      </w:rPr>
      <w:t>c</w:t>
    </w:r>
    <w:r w:rsidR="00A54B66" w:rsidRPr="00476D8C">
      <w:rPr>
        <w:rFonts w:ascii="Times New Roman" w:hAnsi="Times New Roman"/>
        <w:b/>
        <w:bCs/>
        <w:sz w:val="24"/>
        <w:szCs w:val="24"/>
      </w:rPr>
      <w:t>orporations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EFB8078C"/>
    <w:lvl w:ilvl="0">
      <w:start w:val="1"/>
      <w:numFmt w:val="upperRoman"/>
      <w:pStyle w:val="Heading1"/>
      <w:lvlText w:val="%1."/>
      <w:lvlJc w:val="left"/>
      <w:pPr>
        <w:tabs>
          <w:tab w:val="num" w:pos="0"/>
        </w:tabs>
        <w:ind w:left="720" w:hanging="720"/>
      </w:pPr>
      <w:rPr>
        <w:rFonts w:hint="default"/>
      </w:rPr>
    </w:lvl>
    <w:lvl w:ilvl="1">
      <w:start w:val="1"/>
      <w:numFmt w:val="upperLetter"/>
      <w:pStyle w:val="Heading2"/>
      <w:lvlText w:val="%2."/>
      <w:lvlJc w:val="left"/>
      <w:pPr>
        <w:tabs>
          <w:tab w:val="num" w:pos="0"/>
        </w:tabs>
        <w:ind w:left="720" w:hanging="720"/>
      </w:pPr>
      <w:rPr>
        <w:rFonts w:hint="default"/>
      </w:rPr>
    </w:lvl>
    <w:lvl w:ilvl="2">
      <w:start w:val="1"/>
      <w:numFmt w:val="decimal"/>
      <w:pStyle w:val="Heading3"/>
      <w:lvlText w:val="%3."/>
      <w:lvlJc w:val="left"/>
      <w:pPr>
        <w:tabs>
          <w:tab w:val="num" w:pos="0"/>
        </w:tabs>
        <w:ind w:left="1440" w:hanging="720"/>
      </w:pPr>
      <w:rPr>
        <w:rFonts w:hint="default"/>
      </w:rPr>
    </w:lvl>
    <w:lvl w:ilvl="3">
      <w:start w:val="1"/>
      <w:numFmt w:val="lowerLetter"/>
      <w:pStyle w:val="Heading4"/>
      <w:lvlText w:val="%4."/>
      <w:lvlJc w:val="left"/>
      <w:pPr>
        <w:tabs>
          <w:tab w:val="num" w:pos="0"/>
        </w:tabs>
        <w:ind w:left="2160" w:hanging="720"/>
      </w:pPr>
      <w:rPr>
        <w:rFonts w:hint="default"/>
      </w:rPr>
    </w:lvl>
    <w:lvl w:ilvl="4">
      <w:start w:val="1"/>
      <w:numFmt w:val="lowerRoman"/>
      <w:pStyle w:val="Heading5"/>
      <w:lvlText w:val="%5."/>
      <w:lvlJc w:val="left"/>
      <w:pPr>
        <w:tabs>
          <w:tab w:val="num" w:pos="0"/>
        </w:tabs>
        <w:ind w:left="2880" w:hanging="720"/>
      </w:pPr>
      <w:rPr>
        <w:rFonts w:hint="default"/>
      </w:rPr>
    </w:lvl>
    <w:lvl w:ilvl="5">
      <w:start w:val="1"/>
      <w:numFmt w:val="none"/>
      <w:pStyle w:val="Heading6"/>
      <w:suff w:val="nothing"/>
      <w:lvlText w:val=""/>
      <w:lvlJc w:val="left"/>
      <w:pPr>
        <w:ind w:left="4320" w:hanging="720"/>
      </w:pPr>
      <w:rPr>
        <w:rFonts w:hint="default"/>
      </w:rPr>
    </w:lvl>
    <w:lvl w:ilvl="6">
      <w:start w:val="1"/>
      <w:numFmt w:val="none"/>
      <w:pStyle w:val="Heading7"/>
      <w:suff w:val="nothing"/>
      <w:lvlText w:val=""/>
      <w:lvlJc w:val="left"/>
      <w:pPr>
        <w:ind w:left="5040" w:hanging="720"/>
      </w:pPr>
      <w:rPr>
        <w:rFonts w:hint="default"/>
      </w:rPr>
    </w:lvl>
    <w:lvl w:ilvl="7">
      <w:start w:val="1"/>
      <w:numFmt w:val="none"/>
      <w:pStyle w:val="Heading8"/>
      <w:suff w:val="nothing"/>
      <w:lvlText w:val=""/>
      <w:lvlJc w:val="left"/>
      <w:pPr>
        <w:ind w:left="5760" w:hanging="720"/>
      </w:pPr>
      <w:rPr>
        <w:rFonts w:hint="default"/>
      </w:rPr>
    </w:lvl>
    <w:lvl w:ilvl="8">
      <w:start w:val="1"/>
      <w:numFmt w:val="none"/>
      <w:pStyle w:val="Heading9"/>
      <w:suff w:val="nothing"/>
      <w:lvlText w:val=""/>
      <w:lvlJc w:val="left"/>
      <w:pPr>
        <w:ind w:left="6480" w:hanging="720"/>
      </w:pPr>
      <w:rPr>
        <w:rFonts w:hint="default"/>
      </w:rPr>
    </w:lvl>
  </w:abstractNum>
  <w:abstractNum w:abstractNumId="1" w15:restartNumberingAfterBreak="0">
    <w:nsid w:val="015301A8"/>
    <w:multiLevelType w:val="hybridMultilevel"/>
    <w:tmpl w:val="5F12A8B8"/>
    <w:lvl w:ilvl="0" w:tplc="FCF27642">
      <w:start w:val="2"/>
      <w:numFmt w:val="bullet"/>
      <w:lvlText w:val="-"/>
      <w:lvlJc w:val="left"/>
      <w:pPr>
        <w:ind w:left="360" w:hanging="360"/>
      </w:pPr>
      <w:rPr>
        <w:rFonts w:ascii="Calibri" w:eastAsia="Calibri" w:hAnsi="Calibri" w:cs="Times New Roma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5151B15"/>
    <w:multiLevelType w:val="hybridMultilevel"/>
    <w:tmpl w:val="3DE299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3564FD"/>
    <w:multiLevelType w:val="hybridMultilevel"/>
    <w:tmpl w:val="28C6B898"/>
    <w:lvl w:ilvl="0" w:tplc="0409000F">
      <w:start w:val="1"/>
      <w:numFmt w:val="decimal"/>
      <w:lvlText w:val="%1."/>
      <w:lvlJc w:val="left"/>
      <w:pPr>
        <w:tabs>
          <w:tab w:val="num" w:pos="720"/>
        </w:tabs>
        <w:ind w:left="720" w:hanging="360"/>
      </w:pPr>
      <w:rPr>
        <w:rFonts w:hint="default"/>
      </w:rPr>
    </w:lvl>
    <w:lvl w:ilvl="1" w:tplc="ABE28600">
      <w:start w:val="2"/>
      <w:numFmt w:val="decimal"/>
      <w:lvlText w:val="%2)"/>
      <w:lvlJc w:val="left"/>
      <w:pPr>
        <w:tabs>
          <w:tab w:val="num" w:pos="1515"/>
        </w:tabs>
        <w:ind w:left="1515" w:hanging="43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9A528BE"/>
    <w:multiLevelType w:val="multilevel"/>
    <w:tmpl w:val="30ACB9F8"/>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704564"/>
    <w:multiLevelType w:val="hybridMultilevel"/>
    <w:tmpl w:val="6ECAAD48"/>
    <w:lvl w:ilvl="0" w:tplc="0409000F">
      <w:start w:val="1"/>
      <w:numFmt w:val="decimal"/>
      <w:lvlText w:val="%1."/>
      <w:lvlJc w:val="left"/>
      <w:pPr>
        <w:tabs>
          <w:tab w:val="num" w:pos="720"/>
        </w:tabs>
        <w:ind w:left="720" w:hanging="360"/>
      </w:pPr>
      <w:rPr>
        <w:rFonts w:hint="default"/>
      </w:rPr>
    </w:lvl>
    <w:lvl w:ilvl="1" w:tplc="2AFC8C46">
      <w:start w:val="4"/>
      <w:numFmt w:val="bullet"/>
      <w:lvlText w:val=""/>
      <w:lvlJc w:val="left"/>
      <w:pPr>
        <w:tabs>
          <w:tab w:val="num" w:pos="1440"/>
        </w:tabs>
        <w:ind w:left="1440" w:hanging="360"/>
      </w:pPr>
      <w:rPr>
        <w:rFonts w:ascii="Wingdings" w:eastAsia="Times New Roman" w:hAnsi="Wingdings" w:cs="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1B57BDD"/>
    <w:multiLevelType w:val="hybridMultilevel"/>
    <w:tmpl w:val="3D0078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6DA5AB7"/>
    <w:multiLevelType w:val="hybridMultilevel"/>
    <w:tmpl w:val="FBDA9E1A"/>
    <w:lvl w:ilvl="0" w:tplc="8D906C9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99D53B9"/>
    <w:multiLevelType w:val="hybridMultilevel"/>
    <w:tmpl w:val="32961DA2"/>
    <w:lvl w:ilvl="0" w:tplc="ABE28600">
      <w:start w:val="2"/>
      <w:numFmt w:val="decimal"/>
      <w:lvlText w:val="%1)"/>
      <w:lvlJc w:val="left"/>
      <w:pPr>
        <w:tabs>
          <w:tab w:val="num" w:pos="435"/>
        </w:tabs>
        <w:ind w:left="435" w:hanging="43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9FF795C"/>
    <w:multiLevelType w:val="hybridMultilevel"/>
    <w:tmpl w:val="138C69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CE107CC"/>
    <w:multiLevelType w:val="hybridMultilevel"/>
    <w:tmpl w:val="9F0C3F2A"/>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BB514C"/>
    <w:multiLevelType w:val="hybridMultilevel"/>
    <w:tmpl w:val="E21E4208"/>
    <w:lvl w:ilvl="0" w:tplc="6C7EAFD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1A85973"/>
    <w:multiLevelType w:val="hybridMultilevel"/>
    <w:tmpl w:val="956014C8"/>
    <w:lvl w:ilvl="0" w:tplc="5DE80198">
      <w:numFmt w:val="bullet"/>
      <w:lvlText w:val="-"/>
      <w:lvlJc w:val="left"/>
      <w:pPr>
        <w:ind w:left="720" w:hanging="360"/>
      </w:pPr>
      <w:rPr>
        <w:rFonts w:ascii="Times New Roman" w:eastAsia="SimSu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7704B7"/>
    <w:multiLevelType w:val="hybridMultilevel"/>
    <w:tmpl w:val="EB8CFD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16C2B8C"/>
    <w:multiLevelType w:val="hybridMultilevel"/>
    <w:tmpl w:val="AC8CF998"/>
    <w:lvl w:ilvl="0" w:tplc="ABE28600">
      <w:start w:val="2"/>
      <w:numFmt w:val="decimal"/>
      <w:lvlText w:val="%1)"/>
      <w:lvlJc w:val="left"/>
      <w:pPr>
        <w:tabs>
          <w:tab w:val="num" w:pos="435"/>
        </w:tabs>
        <w:ind w:left="43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42E106E"/>
    <w:multiLevelType w:val="hybridMultilevel"/>
    <w:tmpl w:val="02CE1B70"/>
    <w:lvl w:ilvl="0" w:tplc="0746427C">
      <w:start w:val="1"/>
      <w:numFmt w:val="decimal"/>
      <w:lvlText w:val="%1"/>
      <w:lvlJc w:val="left"/>
      <w:pPr>
        <w:tabs>
          <w:tab w:val="num" w:pos="252"/>
        </w:tabs>
        <w:ind w:left="252" w:hanging="360"/>
      </w:pPr>
      <w:rPr>
        <w:rFonts w:hint="default"/>
      </w:rPr>
    </w:lvl>
    <w:lvl w:ilvl="1" w:tplc="04090019" w:tentative="1">
      <w:start w:val="1"/>
      <w:numFmt w:val="lowerLetter"/>
      <w:lvlText w:val="%2."/>
      <w:lvlJc w:val="left"/>
      <w:pPr>
        <w:tabs>
          <w:tab w:val="num" w:pos="972"/>
        </w:tabs>
        <w:ind w:left="972" w:hanging="360"/>
      </w:pPr>
    </w:lvl>
    <w:lvl w:ilvl="2" w:tplc="0409001B" w:tentative="1">
      <w:start w:val="1"/>
      <w:numFmt w:val="lowerRoman"/>
      <w:lvlText w:val="%3."/>
      <w:lvlJc w:val="right"/>
      <w:pPr>
        <w:tabs>
          <w:tab w:val="num" w:pos="1692"/>
        </w:tabs>
        <w:ind w:left="1692" w:hanging="180"/>
      </w:pPr>
    </w:lvl>
    <w:lvl w:ilvl="3" w:tplc="0409000F" w:tentative="1">
      <w:start w:val="1"/>
      <w:numFmt w:val="decimal"/>
      <w:lvlText w:val="%4."/>
      <w:lvlJc w:val="left"/>
      <w:pPr>
        <w:tabs>
          <w:tab w:val="num" w:pos="2412"/>
        </w:tabs>
        <w:ind w:left="2412" w:hanging="360"/>
      </w:pPr>
    </w:lvl>
    <w:lvl w:ilvl="4" w:tplc="04090019" w:tentative="1">
      <w:start w:val="1"/>
      <w:numFmt w:val="lowerLetter"/>
      <w:lvlText w:val="%5."/>
      <w:lvlJc w:val="left"/>
      <w:pPr>
        <w:tabs>
          <w:tab w:val="num" w:pos="3132"/>
        </w:tabs>
        <w:ind w:left="3132" w:hanging="360"/>
      </w:pPr>
    </w:lvl>
    <w:lvl w:ilvl="5" w:tplc="0409001B" w:tentative="1">
      <w:start w:val="1"/>
      <w:numFmt w:val="lowerRoman"/>
      <w:lvlText w:val="%6."/>
      <w:lvlJc w:val="right"/>
      <w:pPr>
        <w:tabs>
          <w:tab w:val="num" w:pos="3852"/>
        </w:tabs>
        <w:ind w:left="3852" w:hanging="180"/>
      </w:pPr>
    </w:lvl>
    <w:lvl w:ilvl="6" w:tplc="0409000F" w:tentative="1">
      <w:start w:val="1"/>
      <w:numFmt w:val="decimal"/>
      <w:lvlText w:val="%7."/>
      <w:lvlJc w:val="left"/>
      <w:pPr>
        <w:tabs>
          <w:tab w:val="num" w:pos="4572"/>
        </w:tabs>
        <w:ind w:left="4572" w:hanging="360"/>
      </w:pPr>
    </w:lvl>
    <w:lvl w:ilvl="7" w:tplc="04090019" w:tentative="1">
      <w:start w:val="1"/>
      <w:numFmt w:val="lowerLetter"/>
      <w:lvlText w:val="%8."/>
      <w:lvlJc w:val="left"/>
      <w:pPr>
        <w:tabs>
          <w:tab w:val="num" w:pos="5292"/>
        </w:tabs>
        <w:ind w:left="5292" w:hanging="360"/>
      </w:pPr>
    </w:lvl>
    <w:lvl w:ilvl="8" w:tplc="0409001B" w:tentative="1">
      <w:start w:val="1"/>
      <w:numFmt w:val="lowerRoman"/>
      <w:lvlText w:val="%9."/>
      <w:lvlJc w:val="right"/>
      <w:pPr>
        <w:tabs>
          <w:tab w:val="num" w:pos="6012"/>
        </w:tabs>
        <w:ind w:left="6012" w:hanging="180"/>
      </w:pPr>
    </w:lvl>
  </w:abstractNum>
  <w:abstractNum w:abstractNumId="16" w15:restartNumberingAfterBreak="0">
    <w:nsid w:val="34B23E9F"/>
    <w:multiLevelType w:val="hybridMultilevel"/>
    <w:tmpl w:val="08B8F378"/>
    <w:lvl w:ilvl="0" w:tplc="B9B60916">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233AC1"/>
    <w:multiLevelType w:val="hybridMultilevel"/>
    <w:tmpl w:val="574428D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337B33"/>
    <w:multiLevelType w:val="hybridMultilevel"/>
    <w:tmpl w:val="9500BDC2"/>
    <w:lvl w:ilvl="0" w:tplc="93161C22">
      <w:numFmt w:val="bullet"/>
      <w:lvlText w:val="-"/>
      <w:lvlJc w:val="left"/>
      <w:pPr>
        <w:ind w:left="720" w:hanging="360"/>
      </w:pPr>
      <w:rPr>
        <w:rFonts w:ascii="Times New Roman" w:eastAsia="SimSu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A7312A"/>
    <w:multiLevelType w:val="hybridMultilevel"/>
    <w:tmpl w:val="BD8E754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FF4434"/>
    <w:multiLevelType w:val="hybridMultilevel"/>
    <w:tmpl w:val="7674D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A37CD7"/>
    <w:multiLevelType w:val="hybridMultilevel"/>
    <w:tmpl w:val="C4D840E6"/>
    <w:lvl w:ilvl="0" w:tplc="1F2649DA">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AE0ADF"/>
    <w:multiLevelType w:val="hybridMultilevel"/>
    <w:tmpl w:val="11540914"/>
    <w:lvl w:ilvl="0" w:tplc="DB92258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29F5BB1"/>
    <w:multiLevelType w:val="hybridMultilevel"/>
    <w:tmpl w:val="D49E6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D94AE2"/>
    <w:multiLevelType w:val="hybridMultilevel"/>
    <w:tmpl w:val="C6D203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81A167E"/>
    <w:multiLevelType w:val="hybridMultilevel"/>
    <w:tmpl w:val="E020AB5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AF522DA"/>
    <w:multiLevelType w:val="hybridMultilevel"/>
    <w:tmpl w:val="B1520AFA"/>
    <w:lvl w:ilvl="0" w:tplc="8BEEA7AA">
      <w:start w:val="1"/>
      <w:numFmt w:val="upperRoman"/>
      <w:lvlText w:val="%1."/>
      <w:lvlJc w:val="left"/>
      <w:pPr>
        <w:tabs>
          <w:tab w:val="num" w:pos="1080"/>
        </w:tabs>
        <w:ind w:left="1080" w:hanging="720"/>
      </w:pPr>
      <w:rPr>
        <w:rFonts w:hint="default"/>
        <w:b/>
      </w:rPr>
    </w:lvl>
    <w:lvl w:ilvl="1" w:tplc="85CA3768">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C9B7709"/>
    <w:multiLevelType w:val="hybridMultilevel"/>
    <w:tmpl w:val="DE82B42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13159EE"/>
    <w:multiLevelType w:val="hybridMultilevel"/>
    <w:tmpl w:val="8FF655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27901F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64851A18"/>
    <w:multiLevelType w:val="hybridMultilevel"/>
    <w:tmpl w:val="3350CF9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891442D"/>
    <w:multiLevelType w:val="hybridMultilevel"/>
    <w:tmpl w:val="455078A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F090E39"/>
    <w:multiLevelType w:val="hybridMultilevel"/>
    <w:tmpl w:val="CBFC1D5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4F23002"/>
    <w:multiLevelType w:val="hybridMultilevel"/>
    <w:tmpl w:val="4B126252"/>
    <w:lvl w:ilvl="0" w:tplc="927AEA54">
      <w:start w:val="1"/>
      <w:numFmt w:val="bullet"/>
      <w:lvlText w:val="-"/>
      <w:lvlJc w:val="left"/>
      <w:pPr>
        <w:ind w:left="720" w:hanging="360"/>
      </w:pPr>
      <w:rPr>
        <w:rFonts w:ascii="Times New Roman" w:eastAsia="SimSu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1D26C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D672E1E"/>
    <w:multiLevelType w:val="hybridMultilevel"/>
    <w:tmpl w:val="7974C87C"/>
    <w:lvl w:ilvl="0" w:tplc="DAD263E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FEF51A1"/>
    <w:multiLevelType w:val="hybridMultilevel"/>
    <w:tmpl w:val="9C0AAFD6"/>
    <w:lvl w:ilvl="0" w:tplc="04090001">
      <w:start w:val="1"/>
      <w:numFmt w:val="bullet"/>
      <w:lvlText w:val=""/>
      <w:lvlJc w:val="left"/>
      <w:pPr>
        <w:tabs>
          <w:tab w:val="num" w:pos="1740"/>
        </w:tabs>
        <w:ind w:left="1740" w:hanging="360"/>
      </w:pPr>
      <w:rPr>
        <w:rFonts w:ascii="Symbol" w:hAnsi="Symbol" w:hint="default"/>
      </w:rPr>
    </w:lvl>
    <w:lvl w:ilvl="1" w:tplc="04090003" w:tentative="1">
      <w:start w:val="1"/>
      <w:numFmt w:val="bullet"/>
      <w:lvlText w:val="o"/>
      <w:lvlJc w:val="left"/>
      <w:pPr>
        <w:tabs>
          <w:tab w:val="num" w:pos="2460"/>
        </w:tabs>
        <w:ind w:left="2460" w:hanging="360"/>
      </w:pPr>
      <w:rPr>
        <w:rFonts w:ascii="Courier New" w:hAnsi="Courier New" w:cs="Courier New" w:hint="default"/>
      </w:rPr>
    </w:lvl>
    <w:lvl w:ilvl="2" w:tplc="04090005" w:tentative="1">
      <w:start w:val="1"/>
      <w:numFmt w:val="bullet"/>
      <w:lvlText w:val=""/>
      <w:lvlJc w:val="left"/>
      <w:pPr>
        <w:tabs>
          <w:tab w:val="num" w:pos="3180"/>
        </w:tabs>
        <w:ind w:left="3180" w:hanging="360"/>
      </w:pPr>
      <w:rPr>
        <w:rFonts w:ascii="Wingdings" w:hAnsi="Wingdings" w:hint="default"/>
      </w:rPr>
    </w:lvl>
    <w:lvl w:ilvl="3" w:tplc="04090001" w:tentative="1">
      <w:start w:val="1"/>
      <w:numFmt w:val="bullet"/>
      <w:lvlText w:val=""/>
      <w:lvlJc w:val="left"/>
      <w:pPr>
        <w:tabs>
          <w:tab w:val="num" w:pos="3900"/>
        </w:tabs>
        <w:ind w:left="3900" w:hanging="360"/>
      </w:pPr>
      <w:rPr>
        <w:rFonts w:ascii="Symbol" w:hAnsi="Symbol" w:hint="default"/>
      </w:rPr>
    </w:lvl>
    <w:lvl w:ilvl="4" w:tplc="04090003" w:tentative="1">
      <w:start w:val="1"/>
      <w:numFmt w:val="bullet"/>
      <w:lvlText w:val="o"/>
      <w:lvlJc w:val="left"/>
      <w:pPr>
        <w:tabs>
          <w:tab w:val="num" w:pos="4620"/>
        </w:tabs>
        <w:ind w:left="4620" w:hanging="360"/>
      </w:pPr>
      <w:rPr>
        <w:rFonts w:ascii="Courier New" w:hAnsi="Courier New" w:cs="Courier New" w:hint="default"/>
      </w:rPr>
    </w:lvl>
    <w:lvl w:ilvl="5" w:tplc="04090005" w:tentative="1">
      <w:start w:val="1"/>
      <w:numFmt w:val="bullet"/>
      <w:lvlText w:val=""/>
      <w:lvlJc w:val="left"/>
      <w:pPr>
        <w:tabs>
          <w:tab w:val="num" w:pos="5340"/>
        </w:tabs>
        <w:ind w:left="5340" w:hanging="360"/>
      </w:pPr>
      <w:rPr>
        <w:rFonts w:ascii="Wingdings" w:hAnsi="Wingdings" w:hint="default"/>
      </w:rPr>
    </w:lvl>
    <w:lvl w:ilvl="6" w:tplc="04090001" w:tentative="1">
      <w:start w:val="1"/>
      <w:numFmt w:val="bullet"/>
      <w:lvlText w:val=""/>
      <w:lvlJc w:val="left"/>
      <w:pPr>
        <w:tabs>
          <w:tab w:val="num" w:pos="6060"/>
        </w:tabs>
        <w:ind w:left="6060" w:hanging="360"/>
      </w:pPr>
      <w:rPr>
        <w:rFonts w:ascii="Symbol" w:hAnsi="Symbol" w:hint="default"/>
      </w:rPr>
    </w:lvl>
    <w:lvl w:ilvl="7" w:tplc="04090003" w:tentative="1">
      <w:start w:val="1"/>
      <w:numFmt w:val="bullet"/>
      <w:lvlText w:val="o"/>
      <w:lvlJc w:val="left"/>
      <w:pPr>
        <w:tabs>
          <w:tab w:val="num" w:pos="6780"/>
        </w:tabs>
        <w:ind w:left="6780" w:hanging="360"/>
      </w:pPr>
      <w:rPr>
        <w:rFonts w:ascii="Courier New" w:hAnsi="Courier New" w:cs="Courier New" w:hint="default"/>
      </w:rPr>
    </w:lvl>
    <w:lvl w:ilvl="8" w:tplc="04090005" w:tentative="1">
      <w:start w:val="1"/>
      <w:numFmt w:val="bullet"/>
      <w:lvlText w:val=""/>
      <w:lvlJc w:val="left"/>
      <w:pPr>
        <w:tabs>
          <w:tab w:val="num" w:pos="7500"/>
        </w:tabs>
        <w:ind w:left="750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34"/>
  </w:num>
  <w:num w:numId="11">
    <w:abstractNumId w:val="29"/>
  </w:num>
  <w:num w:numId="12">
    <w:abstractNumId w:val="32"/>
  </w:num>
  <w:num w:numId="13">
    <w:abstractNumId w:val="15"/>
  </w:num>
  <w:num w:numId="14">
    <w:abstractNumId w:val="35"/>
  </w:num>
  <w:num w:numId="15">
    <w:abstractNumId w:val="30"/>
  </w:num>
  <w:num w:numId="16">
    <w:abstractNumId w:val="22"/>
  </w:num>
  <w:num w:numId="17">
    <w:abstractNumId w:val="25"/>
  </w:num>
  <w:num w:numId="18">
    <w:abstractNumId w:val="3"/>
  </w:num>
  <w:num w:numId="19">
    <w:abstractNumId w:val="8"/>
  </w:num>
  <w:num w:numId="20">
    <w:abstractNumId w:val="14"/>
  </w:num>
  <w:num w:numId="21">
    <w:abstractNumId w:val="11"/>
  </w:num>
  <w:num w:numId="22">
    <w:abstractNumId w:val="6"/>
  </w:num>
  <w:num w:numId="23">
    <w:abstractNumId w:val="28"/>
  </w:num>
  <w:num w:numId="24">
    <w:abstractNumId w:val="24"/>
  </w:num>
  <w:num w:numId="25">
    <w:abstractNumId w:val="5"/>
  </w:num>
  <w:num w:numId="26">
    <w:abstractNumId w:val="2"/>
  </w:num>
  <w:num w:numId="27">
    <w:abstractNumId w:val="13"/>
  </w:num>
  <w:num w:numId="28">
    <w:abstractNumId w:val="27"/>
  </w:num>
  <w:num w:numId="29">
    <w:abstractNumId w:val="19"/>
  </w:num>
  <w:num w:numId="30">
    <w:abstractNumId w:val="36"/>
  </w:num>
  <w:num w:numId="31">
    <w:abstractNumId w:val="10"/>
  </w:num>
  <w:num w:numId="32">
    <w:abstractNumId w:val="17"/>
  </w:num>
  <w:num w:numId="33">
    <w:abstractNumId w:val="31"/>
  </w:num>
  <w:num w:numId="34">
    <w:abstractNumId w:val="9"/>
  </w:num>
  <w:num w:numId="35">
    <w:abstractNumId w:val="26"/>
  </w:num>
  <w:num w:numId="36">
    <w:abstractNumId w:val="7"/>
  </w:num>
  <w:num w:numId="37">
    <w:abstractNumId w:val="4"/>
  </w:num>
  <w:num w:numId="38">
    <w:abstractNumId w:val="1"/>
  </w:num>
  <w:num w:numId="39">
    <w:abstractNumId w:val="20"/>
  </w:num>
  <w:num w:numId="40">
    <w:abstractNumId w:val="23"/>
  </w:num>
  <w:num w:numId="41">
    <w:abstractNumId w:val="21"/>
  </w:num>
  <w:num w:numId="42">
    <w:abstractNumId w:val="12"/>
  </w:num>
  <w:num w:numId="43">
    <w:abstractNumId w:val="18"/>
  </w:num>
  <w:num w:numId="44">
    <w:abstractNumId w:val="33"/>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characterSpacingControl w:val="doNotCompress"/>
  <w:hdrShapeDefaults>
    <o:shapedefaults v:ext="edit" spidmax="6145"/>
  </w:hdrShapeDefaults>
  <w:footnotePr>
    <w:footnote w:id="-1"/>
    <w:footnote w:id="0"/>
  </w:footnotePr>
  <w:endnotePr>
    <w:numRestart w:val="eachSect"/>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1CE"/>
    <w:rsid w:val="00000061"/>
    <w:rsid w:val="00001783"/>
    <w:rsid w:val="00002073"/>
    <w:rsid w:val="000028C3"/>
    <w:rsid w:val="00003162"/>
    <w:rsid w:val="0000321C"/>
    <w:rsid w:val="00003C05"/>
    <w:rsid w:val="000061E4"/>
    <w:rsid w:val="00007A29"/>
    <w:rsid w:val="000114C0"/>
    <w:rsid w:val="00011B5A"/>
    <w:rsid w:val="0001340B"/>
    <w:rsid w:val="00013E60"/>
    <w:rsid w:val="00013FB5"/>
    <w:rsid w:val="00014593"/>
    <w:rsid w:val="0001475B"/>
    <w:rsid w:val="00014ACD"/>
    <w:rsid w:val="00015726"/>
    <w:rsid w:val="0001644D"/>
    <w:rsid w:val="00016647"/>
    <w:rsid w:val="000176F7"/>
    <w:rsid w:val="00017BD9"/>
    <w:rsid w:val="00017C52"/>
    <w:rsid w:val="0002018A"/>
    <w:rsid w:val="0002118C"/>
    <w:rsid w:val="000217C9"/>
    <w:rsid w:val="000220AC"/>
    <w:rsid w:val="00022EF6"/>
    <w:rsid w:val="00023AB3"/>
    <w:rsid w:val="00024CC1"/>
    <w:rsid w:val="00025002"/>
    <w:rsid w:val="00030080"/>
    <w:rsid w:val="00030276"/>
    <w:rsid w:val="0003078A"/>
    <w:rsid w:val="000319B1"/>
    <w:rsid w:val="00031BF2"/>
    <w:rsid w:val="00032097"/>
    <w:rsid w:val="00032D82"/>
    <w:rsid w:val="00032E72"/>
    <w:rsid w:val="000330B7"/>
    <w:rsid w:val="000339EF"/>
    <w:rsid w:val="00033FFE"/>
    <w:rsid w:val="0003782D"/>
    <w:rsid w:val="0004008A"/>
    <w:rsid w:val="000421F2"/>
    <w:rsid w:val="0004359F"/>
    <w:rsid w:val="000437DC"/>
    <w:rsid w:val="000468DF"/>
    <w:rsid w:val="000505A1"/>
    <w:rsid w:val="00051262"/>
    <w:rsid w:val="0005178F"/>
    <w:rsid w:val="00051A5E"/>
    <w:rsid w:val="000537F9"/>
    <w:rsid w:val="00053A34"/>
    <w:rsid w:val="0005439C"/>
    <w:rsid w:val="00054882"/>
    <w:rsid w:val="00054C2A"/>
    <w:rsid w:val="00056E04"/>
    <w:rsid w:val="00056F1A"/>
    <w:rsid w:val="00060C7E"/>
    <w:rsid w:val="00063F54"/>
    <w:rsid w:val="0006503E"/>
    <w:rsid w:val="0006525E"/>
    <w:rsid w:val="00065C4F"/>
    <w:rsid w:val="00065F38"/>
    <w:rsid w:val="000672D3"/>
    <w:rsid w:val="0006780E"/>
    <w:rsid w:val="000702D0"/>
    <w:rsid w:val="00073117"/>
    <w:rsid w:val="00074832"/>
    <w:rsid w:val="0007541C"/>
    <w:rsid w:val="00076098"/>
    <w:rsid w:val="00077D0E"/>
    <w:rsid w:val="00077F92"/>
    <w:rsid w:val="000807A4"/>
    <w:rsid w:val="00080B13"/>
    <w:rsid w:val="000827D8"/>
    <w:rsid w:val="00082FE1"/>
    <w:rsid w:val="000831A3"/>
    <w:rsid w:val="00085A3C"/>
    <w:rsid w:val="00085EC3"/>
    <w:rsid w:val="00086B84"/>
    <w:rsid w:val="0008711B"/>
    <w:rsid w:val="00087BCB"/>
    <w:rsid w:val="00087CA1"/>
    <w:rsid w:val="00090A57"/>
    <w:rsid w:val="00090ACA"/>
    <w:rsid w:val="000916B0"/>
    <w:rsid w:val="00092B5F"/>
    <w:rsid w:val="0009303C"/>
    <w:rsid w:val="00093092"/>
    <w:rsid w:val="00093326"/>
    <w:rsid w:val="0009375D"/>
    <w:rsid w:val="00094129"/>
    <w:rsid w:val="00094243"/>
    <w:rsid w:val="000943D5"/>
    <w:rsid w:val="000946E8"/>
    <w:rsid w:val="000947F4"/>
    <w:rsid w:val="0009660D"/>
    <w:rsid w:val="00096DB9"/>
    <w:rsid w:val="00097735"/>
    <w:rsid w:val="00097947"/>
    <w:rsid w:val="00097C47"/>
    <w:rsid w:val="000A27F4"/>
    <w:rsid w:val="000A32E8"/>
    <w:rsid w:val="000A3ADA"/>
    <w:rsid w:val="000A3DCA"/>
    <w:rsid w:val="000A4119"/>
    <w:rsid w:val="000A42A8"/>
    <w:rsid w:val="000A4906"/>
    <w:rsid w:val="000A525E"/>
    <w:rsid w:val="000A549F"/>
    <w:rsid w:val="000A6409"/>
    <w:rsid w:val="000A6B4C"/>
    <w:rsid w:val="000A78A4"/>
    <w:rsid w:val="000B2C91"/>
    <w:rsid w:val="000B4409"/>
    <w:rsid w:val="000B5900"/>
    <w:rsid w:val="000B5BE4"/>
    <w:rsid w:val="000B7C6D"/>
    <w:rsid w:val="000C0904"/>
    <w:rsid w:val="000C0D68"/>
    <w:rsid w:val="000C28D1"/>
    <w:rsid w:val="000C2949"/>
    <w:rsid w:val="000C2979"/>
    <w:rsid w:val="000C2E58"/>
    <w:rsid w:val="000C30A1"/>
    <w:rsid w:val="000C323D"/>
    <w:rsid w:val="000C3A2B"/>
    <w:rsid w:val="000C474E"/>
    <w:rsid w:val="000C4814"/>
    <w:rsid w:val="000C4E04"/>
    <w:rsid w:val="000C53A7"/>
    <w:rsid w:val="000C5525"/>
    <w:rsid w:val="000C5A95"/>
    <w:rsid w:val="000C5FBC"/>
    <w:rsid w:val="000C62D6"/>
    <w:rsid w:val="000C66D7"/>
    <w:rsid w:val="000C78BC"/>
    <w:rsid w:val="000C7CC0"/>
    <w:rsid w:val="000D08EF"/>
    <w:rsid w:val="000D1BD1"/>
    <w:rsid w:val="000D1F88"/>
    <w:rsid w:val="000D522A"/>
    <w:rsid w:val="000D5A49"/>
    <w:rsid w:val="000D5D64"/>
    <w:rsid w:val="000D69A3"/>
    <w:rsid w:val="000D7C6C"/>
    <w:rsid w:val="000E0E9B"/>
    <w:rsid w:val="000E248B"/>
    <w:rsid w:val="000E348B"/>
    <w:rsid w:val="000E3B5A"/>
    <w:rsid w:val="000E4CAE"/>
    <w:rsid w:val="000E4F66"/>
    <w:rsid w:val="000E5CDA"/>
    <w:rsid w:val="000E6EA7"/>
    <w:rsid w:val="000E7236"/>
    <w:rsid w:val="000E76F5"/>
    <w:rsid w:val="000F0C41"/>
    <w:rsid w:val="000F22C1"/>
    <w:rsid w:val="000F256A"/>
    <w:rsid w:val="000F278F"/>
    <w:rsid w:val="000F30EE"/>
    <w:rsid w:val="000F404C"/>
    <w:rsid w:val="000F53DA"/>
    <w:rsid w:val="000F7256"/>
    <w:rsid w:val="000F766E"/>
    <w:rsid w:val="001003D6"/>
    <w:rsid w:val="00102C36"/>
    <w:rsid w:val="00103A12"/>
    <w:rsid w:val="0010471A"/>
    <w:rsid w:val="00107020"/>
    <w:rsid w:val="001075FE"/>
    <w:rsid w:val="00107D51"/>
    <w:rsid w:val="00110D97"/>
    <w:rsid w:val="00111DC1"/>
    <w:rsid w:val="00112435"/>
    <w:rsid w:val="00112D0C"/>
    <w:rsid w:val="00117526"/>
    <w:rsid w:val="00117746"/>
    <w:rsid w:val="0011790A"/>
    <w:rsid w:val="00117B1B"/>
    <w:rsid w:val="001206CB"/>
    <w:rsid w:val="001212ED"/>
    <w:rsid w:val="00121FA2"/>
    <w:rsid w:val="00122066"/>
    <w:rsid w:val="0012361F"/>
    <w:rsid w:val="0012525E"/>
    <w:rsid w:val="00125EE6"/>
    <w:rsid w:val="00127AAD"/>
    <w:rsid w:val="00132992"/>
    <w:rsid w:val="00133943"/>
    <w:rsid w:val="00134A33"/>
    <w:rsid w:val="00135FD8"/>
    <w:rsid w:val="00140178"/>
    <w:rsid w:val="0014323D"/>
    <w:rsid w:val="00143A45"/>
    <w:rsid w:val="001443AF"/>
    <w:rsid w:val="001456EA"/>
    <w:rsid w:val="00146DE2"/>
    <w:rsid w:val="001472DF"/>
    <w:rsid w:val="00147BFF"/>
    <w:rsid w:val="0015034B"/>
    <w:rsid w:val="00151996"/>
    <w:rsid w:val="00152737"/>
    <w:rsid w:val="001537E4"/>
    <w:rsid w:val="00154EBB"/>
    <w:rsid w:val="0015511B"/>
    <w:rsid w:val="00156DA5"/>
    <w:rsid w:val="00161737"/>
    <w:rsid w:val="00161D18"/>
    <w:rsid w:val="00165131"/>
    <w:rsid w:val="0016543F"/>
    <w:rsid w:val="001657F1"/>
    <w:rsid w:val="00166DC3"/>
    <w:rsid w:val="00166E56"/>
    <w:rsid w:val="001672A7"/>
    <w:rsid w:val="001708C3"/>
    <w:rsid w:val="00171275"/>
    <w:rsid w:val="00171836"/>
    <w:rsid w:val="00172EAD"/>
    <w:rsid w:val="00174C31"/>
    <w:rsid w:val="00174D00"/>
    <w:rsid w:val="00174F42"/>
    <w:rsid w:val="001763A9"/>
    <w:rsid w:val="00180C6A"/>
    <w:rsid w:val="00181CAE"/>
    <w:rsid w:val="00182A29"/>
    <w:rsid w:val="00182AFC"/>
    <w:rsid w:val="00185A58"/>
    <w:rsid w:val="00186CCB"/>
    <w:rsid w:val="001873F4"/>
    <w:rsid w:val="00191B2B"/>
    <w:rsid w:val="00191E4E"/>
    <w:rsid w:val="001921F9"/>
    <w:rsid w:val="0019747E"/>
    <w:rsid w:val="00197E0F"/>
    <w:rsid w:val="001A05CD"/>
    <w:rsid w:val="001A620B"/>
    <w:rsid w:val="001A73F6"/>
    <w:rsid w:val="001B00AA"/>
    <w:rsid w:val="001B03B8"/>
    <w:rsid w:val="001B077C"/>
    <w:rsid w:val="001B138C"/>
    <w:rsid w:val="001B154A"/>
    <w:rsid w:val="001B3F60"/>
    <w:rsid w:val="001B4400"/>
    <w:rsid w:val="001B4F59"/>
    <w:rsid w:val="001B6FB4"/>
    <w:rsid w:val="001C006C"/>
    <w:rsid w:val="001C1556"/>
    <w:rsid w:val="001C197D"/>
    <w:rsid w:val="001C2A3C"/>
    <w:rsid w:val="001C5A32"/>
    <w:rsid w:val="001C66CF"/>
    <w:rsid w:val="001C6C51"/>
    <w:rsid w:val="001D0C13"/>
    <w:rsid w:val="001D195C"/>
    <w:rsid w:val="001D2329"/>
    <w:rsid w:val="001D2DE3"/>
    <w:rsid w:val="001D3627"/>
    <w:rsid w:val="001D3B9B"/>
    <w:rsid w:val="001D3BB3"/>
    <w:rsid w:val="001E03D7"/>
    <w:rsid w:val="001E0C5E"/>
    <w:rsid w:val="001E1479"/>
    <w:rsid w:val="001E17F5"/>
    <w:rsid w:val="001E1F19"/>
    <w:rsid w:val="001E1FB3"/>
    <w:rsid w:val="001E31DD"/>
    <w:rsid w:val="001E3251"/>
    <w:rsid w:val="001E3347"/>
    <w:rsid w:val="001E3B9E"/>
    <w:rsid w:val="001E432C"/>
    <w:rsid w:val="001E57BF"/>
    <w:rsid w:val="001E5862"/>
    <w:rsid w:val="001E73C9"/>
    <w:rsid w:val="001E7D0C"/>
    <w:rsid w:val="001E7F38"/>
    <w:rsid w:val="001E7F93"/>
    <w:rsid w:val="001F2A5E"/>
    <w:rsid w:val="001F341E"/>
    <w:rsid w:val="001F3BDE"/>
    <w:rsid w:val="001F4BC8"/>
    <w:rsid w:val="001F4CAC"/>
    <w:rsid w:val="001F5AB0"/>
    <w:rsid w:val="001F5AD6"/>
    <w:rsid w:val="001F6C9A"/>
    <w:rsid w:val="001F7B24"/>
    <w:rsid w:val="002005CB"/>
    <w:rsid w:val="00200DAA"/>
    <w:rsid w:val="00200E44"/>
    <w:rsid w:val="00201999"/>
    <w:rsid w:val="0020215E"/>
    <w:rsid w:val="00202C34"/>
    <w:rsid w:val="002036A1"/>
    <w:rsid w:val="00203B42"/>
    <w:rsid w:val="00204031"/>
    <w:rsid w:val="00204A06"/>
    <w:rsid w:val="002061F2"/>
    <w:rsid w:val="00206C8D"/>
    <w:rsid w:val="00207223"/>
    <w:rsid w:val="002104ED"/>
    <w:rsid w:val="00211604"/>
    <w:rsid w:val="0021394A"/>
    <w:rsid w:val="00213CBD"/>
    <w:rsid w:val="00214109"/>
    <w:rsid w:val="002148B3"/>
    <w:rsid w:val="002158B7"/>
    <w:rsid w:val="002161E9"/>
    <w:rsid w:val="00217A09"/>
    <w:rsid w:val="0022147C"/>
    <w:rsid w:val="00222EB1"/>
    <w:rsid w:val="00223D24"/>
    <w:rsid w:val="0022426E"/>
    <w:rsid w:val="00225DD3"/>
    <w:rsid w:val="00225F40"/>
    <w:rsid w:val="00230678"/>
    <w:rsid w:val="00230C38"/>
    <w:rsid w:val="00231362"/>
    <w:rsid w:val="00235357"/>
    <w:rsid w:val="00235AF4"/>
    <w:rsid w:val="00240889"/>
    <w:rsid w:val="002409A0"/>
    <w:rsid w:val="0024132B"/>
    <w:rsid w:val="00241541"/>
    <w:rsid w:val="00241C25"/>
    <w:rsid w:val="002432E4"/>
    <w:rsid w:val="002439BC"/>
    <w:rsid w:val="0024452E"/>
    <w:rsid w:val="002446E8"/>
    <w:rsid w:val="00244DA4"/>
    <w:rsid w:val="00245089"/>
    <w:rsid w:val="002463A3"/>
    <w:rsid w:val="00246938"/>
    <w:rsid w:val="00246C61"/>
    <w:rsid w:val="00252541"/>
    <w:rsid w:val="0025261B"/>
    <w:rsid w:val="00252866"/>
    <w:rsid w:val="0025438B"/>
    <w:rsid w:val="0025652D"/>
    <w:rsid w:val="002568D7"/>
    <w:rsid w:val="00256EBF"/>
    <w:rsid w:val="00260A3D"/>
    <w:rsid w:val="00261404"/>
    <w:rsid w:val="00261671"/>
    <w:rsid w:val="00262164"/>
    <w:rsid w:val="002632B5"/>
    <w:rsid w:val="00263E36"/>
    <w:rsid w:val="00264062"/>
    <w:rsid w:val="00265C59"/>
    <w:rsid w:val="002717AF"/>
    <w:rsid w:val="002721DD"/>
    <w:rsid w:val="002725F5"/>
    <w:rsid w:val="00273068"/>
    <w:rsid w:val="002734D7"/>
    <w:rsid w:val="00274933"/>
    <w:rsid w:val="00274D91"/>
    <w:rsid w:val="00275A15"/>
    <w:rsid w:val="0028016D"/>
    <w:rsid w:val="0028140E"/>
    <w:rsid w:val="00281ABA"/>
    <w:rsid w:val="00282529"/>
    <w:rsid w:val="00283B20"/>
    <w:rsid w:val="00283F36"/>
    <w:rsid w:val="002840C6"/>
    <w:rsid w:val="00284789"/>
    <w:rsid w:val="00284BBA"/>
    <w:rsid w:val="00285EEC"/>
    <w:rsid w:val="002860E8"/>
    <w:rsid w:val="00286988"/>
    <w:rsid w:val="00290928"/>
    <w:rsid w:val="00291782"/>
    <w:rsid w:val="002937E8"/>
    <w:rsid w:val="002943E7"/>
    <w:rsid w:val="00295957"/>
    <w:rsid w:val="00295B9C"/>
    <w:rsid w:val="00295C6A"/>
    <w:rsid w:val="00296FFA"/>
    <w:rsid w:val="002977FF"/>
    <w:rsid w:val="002A0A11"/>
    <w:rsid w:val="002A0AC3"/>
    <w:rsid w:val="002A1B28"/>
    <w:rsid w:val="002A1DA0"/>
    <w:rsid w:val="002A229E"/>
    <w:rsid w:val="002A2A88"/>
    <w:rsid w:val="002A37CA"/>
    <w:rsid w:val="002A466F"/>
    <w:rsid w:val="002A614D"/>
    <w:rsid w:val="002A6A9B"/>
    <w:rsid w:val="002A77FE"/>
    <w:rsid w:val="002B172A"/>
    <w:rsid w:val="002B21A0"/>
    <w:rsid w:val="002B4703"/>
    <w:rsid w:val="002B5976"/>
    <w:rsid w:val="002B5F55"/>
    <w:rsid w:val="002C0C0A"/>
    <w:rsid w:val="002C32EE"/>
    <w:rsid w:val="002C393E"/>
    <w:rsid w:val="002C41C7"/>
    <w:rsid w:val="002C4577"/>
    <w:rsid w:val="002C4BCE"/>
    <w:rsid w:val="002C61EE"/>
    <w:rsid w:val="002C626C"/>
    <w:rsid w:val="002D1F6D"/>
    <w:rsid w:val="002D24AE"/>
    <w:rsid w:val="002D27C7"/>
    <w:rsid w:val="002D2A46"/>
    <w:rsid w:val="002D35C2"/>
    <w:rsid w:val="002D3CD3"/>
    <w:rsid w:val="002D3DA3"/>
    <w:rsid w:val="002D5D62"/>
    <w:rsid w:val="002D6CEF"/>
    <w:rsid w:val="002D70D8"/>
    <w:rsid w:val="002E3CEC"/>
    <w:rsid w:val="002E4110"/>
    <w:rsid w:val="002E44E1"/>
    <w:rsid w:val="002E5414"/>
    <w:rsid w:val="002E5793"/>
    <w:rsid w:val="002F052B"/>
    <w:rsid w:val="002F1F7C"/>
    <w:rsid w:val="002F2381"/>
    <w:rsid w:val="002F2B17"/>
    <w:rsid w:val="002F37DC"/>
    <w:rsid w:val="002F3D3D"/>
    <w:rsid w:val="002F5242"/>
    <w:rsid w:val="002F674B"/>
    <w:rsid w:val="002F72DC"/>
    <w:rsid w:val="002F72F5"/>
    <w:rsid w:val="002F7CF5"/>
    <w:rsid w:val="00302357"/>
    <w:rsid w:val="0030267F"/>
    <w:rsid w:val="0030280E"/>
    <w:rsid w:val="00302CC7"/>
    <w:rsid w:val="0030304B"/>
    <w:rsid w:val="0030442D"/>
    <w:rsid w:val="00305AC8"/>
    <w:rsid w:val="00305F44"/>
    <w:rsid w:val="00306CAA"/>
    <w:rsid w:val="00307D11"/>
    <w:rsid w:val="00311B37"/>
    <w:rsid w:val="00313458"/>
    <w:rsid w:val="003134B6"/>
    <w:rsid w:val="00313A06"/>
    <w:rsid w:val="00313B00"/>
    <w:rsid w:val="00314E4A"/>
    <w:rsid w:val="00314ED3"/>
    <w:rsid w:val="0031554B"/>
    <w:rsid w:val="003159D3"/>
    <w:rsid w:val="0031636C"/>
    <w:rsid w:val="00316FD6"/>
    <w:rsid w:val="00317382"/>
    <w:rsid w:val="00317728"/>
    <w:rsid w:val="00317916"/>
    <w:rsid w:val="00321650"/>
    <w:rsid w:val="00321AD8"/>
    <w:rsid w:val="00327115"/>
    <w:rsid w:val="0032725E"/>
    <w:rsid w:val="00327834"/>
    <w:rsid w:val="003278A6"/>
    <w:rsid w:val="00327D12"/>
    <w:rsid w:val="003302AE"/>
    <w:rsid w:val="00331650"/>
    <w:rsid w:val="003318AA"/>
    <w:rsid w:val="00331C2A"/>
    <w:rsid w:val="00332283"/>
    <w:rsid w:val="0033285C"/>
    <w:rsid w:val="0033325D"/>
    <w:rsid w:val="003345CF"/>
    <w:rsid w:val="00335564"/>
    <w:rsid w:val="00335C51"/>
    <w:rsid w:val="003369A8"/>
    <w:rsid w:val="00337AA0"/>
    <w:rsid w:val="00337DED"/>
    <w:rsid w:val="00337E06"/>
    <w:rsid w:val="003404A7"/>
    <w:rsid w:val="00340663"/>
    <w:rsid w:val="00342D37"/>
    <w:rsid w:val="00342E54"/>
    <w:rsid w:val="00342F67"/>
    <w:rsid w:val="00343174"/>
    <w:rsid w:val="00343947"/>
    <w:rsid w:val="00344130"/>
    <w:rsid w:val="00344FDD"/>
    <w:rsid w:val="00345437"/>
    <w:rsid w:val="00345BB3"/>
    <w:rsid w:val="00345D50"/>
    <w:rsid w:val="0034668C"/>
    <w:rsid w:val="00346FC8"/>
    <w:rsid w:val="00346FFE"/>
    <w:rsid w:val="00347613"/>
    <w:rsid w:val="00350A96"/>
    <w:rsid w:val="00350BB0"/>
    <w:rsid w:val="00350E86"/>
    <w:rsid w:val="00351997"/>
    <w:rsid w:val="00351AE0"/>
    <w:rsid w:val="00352493"/>
    <w:rsid w:val="003533B1"/>
    <w:rsid w:val="00354182"/>
    <w:rsid w:val="003545F2"/>
    <w:rsid w:val="00357B46"/>
    <w:rsid w:val="0036036A"/>
    <w:rsid w:val="00360B25"/>
    <w:rsid w:val="00361133"/>
    <w:rsid w:val="00362306"/>
    <w:rsid w:val="003623C6"/>
    <w:rsid w:val="00362920"/>
    <w:rsid w:val="00362AF0"/>
    <w:rsid w:val="0036327B"/>
    <w:rsid w:val="00364A59"/>
    <w:rsid w:val="00365D5A"/>
    <w:rsid w:val="0036755A"/>
    <w:rsid w:val="0037017F"/>
    <w:rsid w:val="00370E7A"/>
    <w:rsid w:val="003710EA"/>
    <w:rsid w:val="00371E01"/>
    <w:rsid w:val="003723DE"/>
    <w:rsid w:val="00372A7A"/>
    <w:rsid w:val="0037380B"/>
    <w:rsid w:val="0037437B"/>
    <w:rsid w:val="00374AD5"/>
    <w:rsid w:val="00375422"/>
    <w:rsid w:val="0037550C"/>
    <w:rsid w:val="003755A9"/>
    <w:rsid w:val="00375CDB"/>
    <w:rsid w:val="00376BA8"/>
    <w:rsid w:val="00377723"/>
    <w:rsid w:val="00380CA5"/>
    <w:rsid w:val="00380D1F"/>
    <w:rsid w:val="00381C57"/>
    <w:rsid w:val="0038218F"/>
    <w:rsid w:val="00382D2C"/>
    <w:rsid w:val="00384861"/>
    <w:rsid w:val="003878F1"/>
    <w:rsid w:val="00387D68"/>
    <w:rsid w:val="003903F7"/>
    <w:rsid w:val="00390536"/>
    <w:rsid w:val="00390766"/>
    <w:rsid w:val="00390CC3"/>
    <w:rsid w:val="0039154B"/>
    <w:rsid w:val="0039223E"/>
    <w:rsid w:val="00392372"/>
    <w:rsid w:val="0039241B"/>
    <w:rsid w:val="003957B6"/>
    <w:rsid w:val="00396553"/>
    <w:rsid w:val="00397945"/>
    <w:rsid w:val="003A1C59"/>
    <w:rsid w:val="003A20F0"/>
    <w:rsid w:val="003A30C9"/>
    <w:rsid w:val="003A38D1"/>
    <w:rsid w:val="003A4A03"/>
    <w:rsid w:val="003A4DA8"/>
    <w:rsid w:val="003A50C1"/>
    <w:rsid w:val="003A721E"/>
    <w:rsid w:val="003A7304"/>
    <w:rsid w:val="003A73C1"/>
    <w:rsid w:val="003B014D"/>
    <w:rsid w:val="003B1C77"/>
    <w:rsid w:val="003B426C"/>
    <w:rsid w:val="003B45FB"/>
    <w:rsid w:val="003C0679"/>
    <w:rsid w:val="003C0D65"/>
    <w:rsid w:val="003C1382"/>
    <w:rsid w:val="003C1540"/>
    <w:rsid w:val="003C1AE8"/>
    <w:rsid w:val="003C1B36"/>
    <w:rsid w:val="003C206A"/>
    <w:rsid w:val="003C2E47"/>
    <w:rsid w:val="003C4954"/>
    <w:rsid w:val="003C4BF5"/>
    <w:rsid w:val="003C7425"/>
    <w:rsid w:val="003C76D4"/>
    <w:rsid w:val="003C7B81"/>
    <w:rsid w:val="003D05B7"/>
    <w:rsid w:val="003D2A36"/>
    <w:rsid w:val="003D2A4C"/>
    <w:rsid w:val="003D2C46"/>
    <w:rsid w:val="003D3AF8"/>
    <w:rsid w:val="003D3B9A"/>
    <w:rsid w:val="003D3D2B"/>
    <w:rsid w:val="003D60E5"/>
    <w:rsid w:val="003D7455"/>
    <w:rsid w:val="003D74EB"/>
    <w:rsid w:val="003D7CB8"/>
    <w:rsid w:val="003E04DF"/>
    <w:rsid w:val="003E0DE3"/>
    <w:rsid w:val="003E27B8"/>
    <w:rsid w:val="003E4E15"/>
    <w:rsid w:val="003E60A9"/>
    <w:rsid w:val="003E6C4E"/>
    <w:rsid w:val="003E7938"/>
    <w:rsid w:val="003F0219"/>
    <w:rsid w:val="003F07AB"/>
    <w:rsid w:val="003F09C0"/>
    <w:rsid w:val="003F3114"/>
    <w:rsid w:val="003F5E87"/>
    <w:rsid w:val="003F6833"/>
    <w:rsid w:val="003F6E83"/>
    <w:rsid w:val="003F6FF7"/>
    <w:rsid w:val="00400078"/>
    <w:rsid w:val="004016D7"/>
    <w:rsid w:val="00401926"/>
    <w:rsid w:val="004022C1"/>
    <w:rsid w:val="00404C72"/>
    <w:rsid w:val="00405BD1"/>
    <w:rsid w:val="00405ED5"/>
    <w:rsid w:val="00410891"/>
    <w:rsid w:val="0041103D"/>
    <w:rsid w:val="00411894"/>
    <w:rsid w:val="0041459B"/>
    <w:rsid w:val="00415574"/>
    <w:rsid w:val="004163CA"/>
    <w:rsid w:val="0041658B"/>
    <w:rsid w:val="00416896"/>
    <w:rsid w:val="00416E51"/>
    <w:rsid w:val="00417108"/>
    <w:rsid w:val="004176AC"/>
    <w:rsid w:val="00423D35"/>
    <w:rsid w:val="0042638C"/>
    <w:rsid w:val="00426C9B"/>
    <w:rsid w:val="00426D79"/>
    <w:rsid w:val="00426E6A"/>
    <w:rsid w:val="00427AE6"/>
    <w:rsid w:val="00427AFF"/>
    <w:rsid w:val="0043131D"/>
    <w:rsid w:val="004325CB"/>
    <w:rsid w:val="004333F9"/>
    <w:rsid w:val="00433466"/>
    <w:rsid w:val="00436001"/>
    <w:rsid w:val="004365D5"/>
    <w:rsid w:val="00437118"/>
    <w:rsid w:val="00441150"/>
    <w:rsid w:val="00441182"/>
    <w:rsid w:val="00441C0D"/>
    <w:rsid w:val="00441E3D"/>
    <w:rsid w:val="0044326E"/>
    <w:rsid w:val="00444022"/>
    <w:rsid w:val="00444A0C"/>
    <w:rsid w:val="00445357"/>
    <w:rsid w:val="00445F2A"/>
    <w:rsid w:val="0044673A"/>
    <w:rsid w:val="00446931"/>
    <w:rsid w:val="00447B7D"/>
    <w:rsid w:val="004504A3"/>
    <w:rsid w:val="0045085E"/>
    <w:rsid w:val="00450F1A"/>
    <w:rsid w:val="00451269"/>
    <w:rsid w:val="0045135F"/>
    <w:rsid w:val="00451D20"/>
    <w:rsid w:val="00452234"/>
    <w:rsid w:val="00453470"/>
    <w:rsid w:val="004534F5"/>
    <w:rsid w:val="0045577B"/>
    <w:rsid w:val="00456E6F"/>
    <w:rsid w:val="00460595"/>
    <w:rsid w:val="004605AE"/>
    <w:rsid w:val="00460717"/>
    <w:rsid w:val="00461362"/>
    <w:rsid w:val="00461513"/>
    <w:rsid w:val="00465DC4"/>
    <w:rsid w:val="004666A4"/>
    <w:rsid w:val="0047139E"/>
    <w:rsid w:val="00473087"/>
    <w:rsid w:val="00474130"/>
    <w:rsid w:val="004755FC"/>
    <w:rsid w:val="00476D8C"/>
    <w:rsid w:val="004805DD"/>
    <w:rsid w:val="004808C3"/>
    <w:rsid w:val="00481382"/>
    <w:rsid w:val="0048166F"/>
    <w:rsid w:val="00485190"/>
    <w:rsid w:val="00486961"/>
    <w:rsid w:val="00486C53"/>
    <w:rsid w:val="00486EB3"/>
    <w:rsid w:val="00487798"/>
    <w:rsid w:val="004923B7"/>
    <w:rsid w:val="00492422"/>
    <w:rsid w:val="0049262B"/>
    <w:rsid w:val="00492961"/>
    <w:rsid w:val="00492C7E"/>
    <w:rsid w:val="00493095"/>
    <w:rsid w:val="00493A49"/>
    <w:rsid w:val="00495643"/>
    <w:rsid w:val="00497D90"/>
    <w:rsid w:val="004A0345"/>
    <w:rsid w:val="004A316E"/>
    <w:rsid w:val="004A5DEE"/>
    <w:rsid w:val="004B0751"/>
    <w:rsid w:val="004B10F2"/>
    <w:rsid w:val="004B1262"/>
    <w:rsid w:val="004B1D80"/>
    <w:rsid w:val="004B54AA"/>
    <w:rsid w:val="004B5BEE"/>
    <w:rsid w:val="004B67D0"/>
    <w:rsid w:val="004B774A"/>
    <w:rsid w:val="004C1174"/>
    <w:rsid w:val="004C1376"/>
    <w:rsid w:val="004C22D2"/>
    <w:rsid w:val="004C3866"/>
    <w:rsid w:val="004C5001"/>
    <w:rsid w:val="004C5CDE"/>
    <w:rsid w:val="004C7100"/>
    <w:rsid w:val="004D0349"/>
    <w:rsid w:val="004D37BA"/>
    <w:rsid w:val="004D41B8"/>
    <w:rsid w:val="004D4CAA"/>
    <w:rsid w:val="004D7181"/>
    <w:rsid w:val="004E1C54"/>
    <w:rsid w:val="004E1D4B"/>
    <w:rsid w:val="004E281A"/>
    <w:rsid w:val="004E6480"/>
    <w:rsid w:val="004E6BC8"/>
    <w:rsid w:val="004E7BA6"/>
    <w:rsid w:val="004F36A6"/>
    <w:rsid w:val="004F38FB"/>
    <w:rsid w:val="004F4151"/>
    <w:rsid w:val="004F457A"/>
    <w:rsid w:val="004F60C3"/>
    <w:rsid w:val="004F77F0"/>
    <w:rsid w:val="00500030"/>
    <w:rsid w:val="00500BC8"/>
    <w:rsid w:val="0050161D"/>
    <w:rsid w:val="00501762"/>
    <w:rsid w:val="0050328E"/>
    <w:rsid w:val="005032E5"/>
    <w:rsid w:val="005041BB"/>
    <w:rsid w:val="00505FCC"/>
    <w:rsid w:val="00507D4B"/>
    <w:rsid w:val="0051114A"/>
    <w:rsid w:val="00512B95"/>
    <w:rsid w:val="00513892"/>
    <w:rsid w:val="00514564"/>
    <w:rsid w:val="00516F75"/>
    <w:rsid w:val="00523663"/>
    <w:rsid w:val="00526674"/>
    <w:rsid w:val="00527CEA"/>
    <w:rsid w:val="005331D7"/>
    <w:rsid w:val="00535015"/>
    <w:rsid w:val="00535970"/>
    <w:rsid w:val="005359C5"/>
    <w:rsid w:val="00537611"/>
    <w:rsid w:val="00537806"/>
    <w:rsid w:val="00540CB6"/>
    <w:rsid w:val="00541133"/>
    <w:rsid w:val="00541DFA"/>
    <w:rsid w:val="00543542"/>
    <w:rsid w:val="00543EA1"/>
    <w:rsid w:val="005457AC"/>
    <w:rsid w:val="00545AD6"/>
    <w:rsid w:val="00545F29"/>
    <w:rsid w:val="005473B2"/>
    <w:rsid w:val="00547BB6"/>
    <w:rsid w:val="00550E68"/>
    <w:rsid w:val="00551166"/>
    <w:rsid w:val="005513A6"/>
    <w:rsid w:val="0055233E"/>
    <w:rsid w:val="00552656"/>
    <w:rsid w:val="00553221"/>
    <w:rsid w:val="005539F8"/>
    <w:rsid w:val="0055479A"/>
    <w:rsid w:val="00555BEF"/>
    <w:rsid w:val="0055641B"/>
    <w:rsid w:val="00556B18"/>
    <w:rsid w:val="00556D7A"/>
    <w:rsid w:val="00556EB3"/>
    <w:rsid w:val="00557F7A"/>
    <w:rsid w:val="00560F52"/>
    <w:rsid w:val="00561011"/>
    <w:rsid w:val="00564303"/>
    <w:rsid w:val="00564F57"/>
    <w:rsid w:val="00571ADC"/>
    <w:rsid w:val="00571B0A"/>
    <w:rsid w:val="00574EAE"/>
    <w:rsid w:val="0057511C"/>
    <w:rsid w:val="0057578F"/>
    <w:rsid w:val="00577BAE"/>
    <w:rsid w:val="0058150F"/>
    <w:rsid w:val="00582147"/>
    <w:rsid w:val="0058322D"/>
    <w:rsid w:val="00583262"/>
    <w:rsid w:val="00583C74"/>
    <w:rsid w:val="0058549C"/>
    <w:rsid w:val="005858CC"/>
    <w:rsid w:val="00590332"/>
    <w:rsid w:val="00590DE5"/>
    <w:rsid w:val="00592135"/>
    <w:rsid w:val="0059294D"/>
    <w:rsid w:val="0059660A"/>
    <w:rsid w:val="00597B9F"/>
    <w:rsid w:val="005A1863"/>
    <w:rsid w:val="005A2459"/>
    <w:rsid w:val="005A2EEB"/>
    <w:rsid w:val="005A319A"/>
    <w:rsid w:val="005A4E8C"/>
    <w:rsid w:val="005A5793"/>
    <w:rsid w:val="005A6965"/>
    <w:rsid w:val="005A6BCA"/>
    <w:rsid w:val="005A7496"/>
    <w:rsid w:val="005B1B6C"/>
    <w:rsid w:val="005B1E19"/>
    <w:rsid w:val="005B2AD3"/>
    <w:rsid w:val="005B43DE"/>
    <w:rsid w:val="005B5EB8"/>
    <w:rsid w:val="005B6B04"/>
    <w:rsid w:val="005C1EB7"/>
    <w:rsid w:val="005C337F"/>
    <w:rsid w:val="005C5BDD"/>
    <w:rsid w:val="005C62A7"/>
    <w:rsid w:val="005D0741"/>
    <w:rsid w:val="005D0998"/>
    <w:rsid w:val="005D1712"/>
    <w:rsid w:val="005D3045"/>
    <w:rsid w:val="005D3F59"/>
    <w:rsid w:val="005D7867"/>
    <w:rsid w:val="005D7A05"/>
    <w:rsid w:val="005E12BC"/>
    <w:rsid w:val="005E1927"/>
    <w:rsid w:val="005E2D97"/>
    <w:rsid w:val="005E334B"/>
    <w:rsid w:val="005E3F42"/>
    <w:rsid w:val="005E4559"/>
    <w:rsid w:val="005E4AF2"/>
    <w:rsid w:val="005E5628"/>
    <w:rsid w:val="005E5A30"/>
    <w:rsid w:val="005E61C7"/>
    <w:rsid w:val="005E712E"/>
    <w:rsid w:val="005E7353"/>
    <w:rsid w:val="005E7E56"/>
    <w:rsid w:val="005F0359"/>
    <w:rsid w:val="005F19A5"/>
    <w:rsid w:val="005F3674"/>
    <w:rsid w:val="005F3E32"/>
    <w:rsid w:val="005F4D9A"/>
    <w:rsid w:val="005F6902"/>
    <w:rsid w:val="005F7C7C"/>
    <w:rsid w:val="00600520"/>
    <w:rsid w:val="006005D7"/>
    <w:rsid w:val="0060068A"/>
    <w:rsid w:val="00600753"/>
    <w:rsid w:val="00600AF5"/>
    <w:rsid w:val="00601158"/>
    <w:rsid w:val="00601784"/>
    <w:rsid w:val="00605328"/>
    <w:rsid w:val="00607033"/>
    <w:rsid w:val="006074DA"/>
    <w:rsid w:val="006108FD"/>
    <w:rsid w:val="00610D8B"/>
    <w:rsid w:val="00610F3A"/>
    <w:rsid w:val="00611653"/>
    <w:rsid w:val="00612CCD"/>
    <w:rsid w:val="00613A49"/>
    <w:rsid w:val="006142BA"/>
    <w:rsid w:val="00615530"/>
    <w:rsid w:val="00615EFA"/>
    <w:rsid w:val="00615F79"/>
    <w:rsid w:val="006161B4"/>
    <w:rsid w:val="006162F9"/>
    <w:rsid w:val="006168EA"/>
    <w:rsid w:val="00616CA5"/>
    <w:rsid w:val="006173DF"/>
    <w:rsid w:val="00617C6D"/>
    <w:rsid w:val="00620C3B"/>
    <w:rsid w:val="00621EB4"/>
    <w:rsid w:val="00622A87"/>
    <w:rsid w:val="00623332"/>
    <w:rsid w:val="006238B5"/>
    <w:rsid w:val="00625271"/>
    <w:rsid w:val="006262D4"/>
    <w:rsid w:val="00627B19"/>
    <w:rsid w:val="0063119A"/>
    <w:rsid w:val="00633574"/>
    <w:rsid w:val="00633975"/>
    <w:rsid w:val="0063428D"/>
    <w:rsid w:val="0063492F"/>
    <w:rsid w:val="00635562"/>
    <w:rsid w:val="006368F9"/>
    <w:rsid w:val="00640DD8"/>
    <w:rsid w:val="00641A25"/>
    <w:rsid w:val="00643A9F"/>
    <w:rsid w:val="0064565A"/>
    <w:rsid w:val="006459DE"/>
    <w:rsid w:val="00645A45"/>
    <w:rsid w:val="00645FC3"/>
    <w:rsid w:val="00646BFD"/>
    <w:rsid w:val="0065035F"/>
    <w:rsid w:val="00650D60"/>
    <w:rsid w:val="00650DE2"/>
    <w:rsid w:val="00651122"/>
    <w:rsid w:val="00651768"/>
    <w:rsid w:val="00652FC7"/>
    <w:rsid w:val="00654096"/>
    <w:rsid w:val="00654585"/>
    <w:rsid w:val="006554D0"/>
    <w:rsid w:val="00655ADA"/>
    <w:rsid w:val="0065610C"/>
    <w:rsid w:val="00656445"/>
    <w:rsid w:val="00657E32"/>
    <w:rsid w:val="00660D1C"/>
    <w:rsid w:val="00662798"/>
    <w:rsid w:val="006628CB"/>
    <w:rsid w:val="00662CF3"/>
    <w:rsid w:val="00662F86"/>
    <w:rsid w:val="00663AC6"/>
    <w:rsid w:val="00664A03"/>
    <w:rsid w:val="0066577E"/>
    <w:rsid w:val="0066587B"/>
    <w:rsid w:val="00665B6C"/>
    <w:rsid w:val="00665D90"/>
    <w:rsid w:val="00666718"/>
    <w:rsid w:val="006669AE"/>
    <w:rsid w:val="00670263"/>
    <w:rsid w:val="0067052C"/>
    <w:rsid w:val="00670717"/>
    <w:rsid w:val="00671F8D"/>
    <w:rsid w:val="00673F6E"/>
    <w:rsid w:val="006760BB"/>
    <w:rsid w:val="006778B0"/>
    <w:rsid w:val="0068079F"/>
    <w:rsid w:val="00684DCF"/>
    <w:rsid w:val="0069155F"/>
    <w:rsid w:val="006927D6"/>
    <w:rsid w:val="0069294A"/>
    <w:rsid w:val="006939DA"/>
    <w:rsid w:val="00693A4B"/>
    <w:rsid w:val="006940EC"/>
    <w:rsid w:val="00694A89"/>
    <w:rsid w:val="006954E9"/>
    <w:rsid w:val="00695BDA"/>
    <w:rsid w:val="0069712B"/>
    <w:rsid w:val="006971C6"/>
    <w:rsid w:val="006A0878"/>
    <w:rsid w:val="006A1156"/>
    <w:rsid w:val="006A1CF8"/>
    <w:rsid w:val="006A2BD1"/>
    <w:rsid w:val="006A3930"/>
    <w:rsid w:val="006A6694"/>
    <w:rsid w:val="006A6A3A"/>
    <w:rsid w:val="006B198E"/>
    <w:rsid w:val="006B19B6"/>
    <w:rsid w:val="006B2314"/>
    <w:rsid w:val="006B443A"/>
    <w:rsid w:val="006B6CB5"/>
    <w:rsid w:val="006B6FC9"/>
    <w:rsid w:val="006B7F5B"/>
    <w:rsid w:val="006C055E"/>
    <w:rsid w:val="006C0C26"/>
    <w:rsid w:val="006C143F"/>
    <w:rsid w:val="006C15FB"/>
    <w:rsid w:val="006C1EAE"/>
    <w:rsid w:val="006C43DB"/>
    <w:rsid w:val="006C5F94"/>
    <w:rsid w:val="006C6A4C"/>
    <w:rsid w:val="006C7610"/>
    <w:rsid w:val="006D0367"/>
    <w:rsid w:val="006D0D4D"/>
    <w:rsid w:val="006D21D1"/>
    <w:rsid w:val="006D4083"/>
    <w:rsid w:val="006D4ED6"/>
    <w:rsid w:val="006D6002"/>
    <w:rsid w:val="006D6D90"/>
    <w:rsid w:val="006E02F7"/>
    <w:rsid w:val="006E1029"/>
    <w:rsid w:val="006E12F5"/>
    <w:rsid w:val="006E20CD"/>
    <w:rsid w:val="006E2565"/>
    <w:rsid w:val="006E3845"/>
    <w:rsid w:val="006E411D"/>
    <w:rsid w:val="006E5230"/>
    <w:rsid w:val="006E5369"/>
    <w:rsid w:val="006E5660"/>
    <w:rsid w:val="006E5B74"/>
    <w:rsid w:val="006E6D4D"/>
    <w:rsid w:val="006F0CCB"/>
    <w:rsid w:val="006F0DFC"/>
    <w:rsid w:val="006F124A"/>
    <w:rsid w:val="006F1649"/>
    <w:rsid w:val="006F209A"/>
    <w:rsid w:val="006F2CF0"/>
    <w:rsid w:val="006F367A"/>
    <w:rsid w:val="006F3DA1"/>
    <w:rsid w:val="006F45B0"/>
    <w:rsid w:val="006F4832"/>
    <w:rsid w:val="006F4DCC"/>
    <w:rsid w:val="006F4E98"/>
    <w:rsid w:val="006F5118"/>
    <w:rsid w:val="006F56CE"/>
    <w:rsid w:val="006F700C"/>
    <w:rsid w:val="006F72D5"/>
    <w:rsid w:val="006F7E9F"/>
    <w:rsid w:val="0070103F"/>
    <w:rsid w:val="00701DAD"/>
    <w:rsid w:val="00704934"/>
    <w:rsid w:val="00705246"/>
    <w:rsid w:val="007054AF"/>
    <w:rsid w:val="00705BB5"/>
    <w:rsid w:val="0070736E"/>
    <w:rsid w:val="00714839"/>
    <w:rsid w:val="0071503D"/>
    <w:rsid w:val="007156F7"/>
    <w:rsid w:val="007160A5"/>
    <w:rsid w:val="0071627C"/>
    <w:rsid w:val="0071633C"/>
    <w:rsid w:val="00721178"/>
    <w:rsid w:val="00721844"/>
    <w:rsid w:val="0072211C"/>
    <w:rsid w:val="00722299"/>
    <w:rsid w:val="00722463"/>
    <w:rsid w:val="00724E7D"/>
    <w:rsid w:val="00725C22"/>
    <w:rsid w:val="0073180C"/>
    <w:rsid w:val="00732CA9"/>
    <w:rsid w:val="00733351"/>
    <w:rsid w:val="007339A1"/>
    <w:rsid w:val="0073474B"/>
    <w:rsid w:val="007362AF"/>
    <w:rsid w:val="007365FE"/>
    <w:rsid w:val="00736D05"/>
    <w:rsid w:val="007377DC"/>
    <w:rsid w:val="00740403"/>
    <w:rsid w:val="007406AD"/>
    <w:rsid w:val="00740A12"/>
    <w:rsid w:val="00741A83"/>
    <w:rsid w:val="00743E68"/>
    <w:rsid w:val="00745FCE"/>
    <w:rsid w:val="00746855"/>
    <w:rsid w:val="00747077"/>
    <w:rsid w:val="007508E1"/>
    <w:rsid w:val="00752E05"/>
    <w:rsid w:val="007542CE"/>
    <w:rsid w:val="0075469F"/>
    <w:rsid w:val="007558BF"/>
    <w:rsid w:val="0075653F"/>
    <w:rsid w:val="00756795"/>
    <w:rsid w:val="00757194"/>
    <w:rsid w:val="0075757B"/>
    <w:rsid w:val="007614F2"/>
    <w:rsid w:val="00761FA1"/>
    <w:rsid w:val="00762E23"/>
    <w:rsid w:val="007635AD"/>
    <w:rsid w:val="0076454D"/>
    <w:rsid w:val="00766A83"/>
    <w:rsid w:val="00767386"/>
    <w:rsid w:val="00767DD3"/>
    <w:rsid w:val="00770B24"/>
    <w:rsid w:val="00770D68"/>
    <w:rsid w:val="0077133F"/>
    <w:rsid w:val="00771D2A"/>
    <w:rsid w:val="0077355D"/>
    <w:rsid w:val="00774D68"/>
    <w:rsid w:val="00774F52"/>
    <w:rsid w:val="00777143"/>
    <w:rsid w:val="00777EF1"/>
    <w:rsid w:val="00780945"/>
    <w:rsid w:val="00781249"/>
    <w:rsid w:val="0078129F"/>
    <w:rsid w:val="00781F0B"/>
    <w:rsid w:val="00784892"/>
    <w:rsid w:val="0078595C"/>
    <w:rsid w:val="007864EC"/>
    <w:rsid w:val="00787377"/>
    <w:rsid w:val="0079057E"/>
    <w:rsid w:val="00792C32"/>
    <w:rsid w:val="00794510"/>
    <w:rsid w:val="00794732"/>
    <w:rsid w:val="00794FFF"/>
    <w:rsid w:val="00795FD5"/>
    <w:rsid w:val="00795FE2"/>
    <w:rsid w:val="00796A75"/>
    <w:rsid w:val="00797487"/>
    <w:rsid w:val="007979F3"/>
    <w:rsid w:val="007A0393"/>
    <w:rsid w:val="007A057E"/>
    <w:rsid w:val="007A0FC0"/>
    <w:rsid w:val="007A443E"/>
    <w:rsid w:val="007A4552"/>
    <w:rsid w:val="007A52A6"/>
    <w:rsid w:val="007A5365"/>
    <w:rsid w:val="007A5FBF"/>
    <w:rsid w:val="007A78AB"/>
    <w:rsid w:val="007A7FD6"/>
    <w:rsid w:val="007B01BB"/>
    <w:rsid w:val="007B10AD"/>
    <w:rsid w:val="007B1C41"/>
    <w:rsid w:val="007B20A2"/>
    <w:rsid w:val="007B36BF"/>
    <w:rsid w:val="007B46BA"/>
    <w:rsid w:val="007B53B3"/>
    <w:rsid w:val="007B7164"/>
    <w:rsid w:val="007C1B93"/>
    <w:rsid w:val="007C2054"/>
    <w:rsid w:val="007C2C4E"/>
    <w:rsid w:val="007C32D0"/>
    <w:rsid w:val="007C4AC4"/>
    <w:rsid w:val="007C4DFF"/>
    <w:rsid w:val="007C54D1"/>
    <w:rsid w:val="007D094B"/>
    <w:rsid w:val="007D11D9"/>
    <w:rsid w:val="007D189B"/>
    <w:rsid w:val="007D1D0E"/>
    <w:rsid w:val="007D277C"/>
    <w:rsid w:val="007D31D3"/>
    <w:rsid w:val="007D33B3"/>
    <w:rsid w:val="007D345D"/>
    <w:rsid w:val="007D4318"/>
    <w:rsid w:val="007D54D0"/>
    <w:rsid w:val="007D5591"/>
    <w:rsid w:val="007D5CEF"/>
    <w:rsid w:val="007D645F"/>
    <w:rsid w:val="007D6A5B"/>
    <w:rsid w:val="007E02C3"/>
    <w:rsid w:val="007E17DE"/>
    <w:rsid w:val="007E1874"/>
    <w:rsid w:val="007E23BD"/>
    <w:rsid w:val="007E4E15"/>
    <w:rsid w:val="007E4E4F"/>
    <w:rsid w:val="007E50F5"/>
    <w:rsid w:val="007E7021"/>
    <w:rsid w:val="007E706E"/>
    <w:rsid w:val="007E7E8D"/>
    <w:rsid w:val="007F030F"/>
    <w:rsid w:val="007F0561"/>
    <w:rsid w:val="007F06EC"/>
    <w:rsid w:val="007F281C"/>
    <w:rsid w:val="007F3711"/>
    <w:rsid w:val="007F3AE7"/>
    <w:rsid w:val="007F4D04"/>
    <w:rsid w:val="007F4D8C"/>
    <w:rsid w:val="007F5C74"/>
    <w:rsid w:val="007F5FE4"/>
    <w:rsid w:val="007F7719"/>
    <w:rsid w:val="007F778F"/>
    <w:rsid w:val="007F7E53"/>
    <w:rsid w:val="008018BA"/>
    <w:rsid w:val="008024BF"/>
    <w:rsid w:val="008044D9"/>
    <w:rsid w:val="00805DF1"/>
    <w:rsid w:val="00806AB5"/>
    <w:rsid w:val="008075CC"/>
    <w:rsid w:val="00810292"/>
    <w:rsid w:val="008109BD"/>
    <w:rsid w:val="00811AA8"/>
    <w:rsid w:val="00812317"/>
    <w:rsid w:val="0081443F"/>
    <w:rsid w:val="00815987"/>
    <w:rsid w:val="00816566"/>
    <w:rsid w:val="0081685C"/>
    <w:rsid w:val="008174AA"/>
    <w:rsid w:val="00817A2C"/>
    <w:rsid w:val="00821C86"/>
    <w:rsid w:val="00822279"/>
    <w:rsid w:val="00822D30"/>
    <w:rsid w:val="0082465A"/>
    <w:rsid w:val="008247DF"/>
    <w:rsid w:val="00824DEC"/>
    <w:rsid w:val="00826D5C"/>
    <w:rsid w:val="00826F9B"/>
    <w:rsid w:val="0083056E"/>
    <w:rsid w:val="00830B25"/>
    <w:rsid w:val="00832CC7"/>
    <w:rsid w:val="008331DA"/>
    <w:rsid w:val="008343F9"/>
    <w:rsid w:val="00835554"/>
    <w:rsid w:val="00835671"/>
    <w:rsid w:val="00836703"/>
    <w:rsid w:val="008367A0"/>
    <w:rsid w:val="0084387C"/>
    <w:rsid w:val="00843DA8"/>
    <w:rsid w:val="00845EC9"/>
    <w:rsid w:val="00845FC2"/>
    <w:rsid w:val="00852A75"/>
    <w:rsid w:val="00852C27"/>
    <w:rsid w:val="00854503"/>
    <w:rsid w:val="00855710"/>
    <w:rsid w:val="008568A1"/>
    <w:rsid w:val="00857FBF"/>
    <w:rsid w:val="00860608"/>
    <w:rsid w:val="008608CE"/>
    <w:rsid w:val="00860AA6"/>
    <w:rsid w:val="0086147D"/>
    <w:rsid w:val="00861A2E"/>
    <w:rsid w:val="00861B7A"/>
    <w:rsid w:val="00861C75"/>
    <w:rsid w:val="00862858"/>
    <w:rsid w:val="00862925"/>
    <w:rsid w:val="00862C82"/>
    <w:rsid w:val="0086325C"/>
    <w:rsid w:val="00863870"/>
    <w:rsid w:val="008648CC"/>
    <w:rsid w:val="008656D0"/>
    <w:rsid w:val="00866718"/>
    <w:rsid w:val="00866AC4"/>
    <w:rsid w:val="008703BD"/>
    <w:rsid w:val="00873AF6"/>
    <w:rsid w:val="0087495F"/>
    <w:rsid w:val="00876D97"/>
    <w:rsid w:val="00876E4D"/>
    <w:rsid w:val="00877DA3"/>
    <w:rsid w:val="00877DE3"/>
    <w:rsid w:val="008822F4"/>
    <w:rsid w:val="00882FE0"/>
    <w:rsid w:val="008832A3"/>
    <w:rsid w:val="008844D8"/>
    <w:rsid w:val="00884C4C"/>
    <w:rsid w:val="00885EF1"/>
    <w:rsid w:val="00886607"/>
    <w:rsid w:val="008876EB"/>
    <w:rsid w:val="00890918"/>
    <w:rsid w:val="00892FEC"/>
    <w:rsid w:val="00894573"/>
    <w:rsid w:val="00896E74"/>
    <w:rsid w:val="00897BB4"/>
    <w:rsid w:val="008A0A54"/>
    <w:rsid w:val="008A11E1"/>
    <w:rsid w:val="008A2523"/>
    <w:rsid w:val="008A2622"/>
    <w:rsid w:val="008A2FE5"/>
    <w:rsid w:val="008A3562"/>
    <w:rsid w:val="008A36BC"/>
    <w:rsid w:val="008A58BB"/>
    <w:rsid w:val="008A5DEE"/>
    <w:rsid w:val="008A602C"/>
    <w:rsid w:val="008B00D2"/>
    <w:rsid w:val="008B0AD7"/>
    <w:rsid w:val="008B0B08"/>
    <w:rsid w:val="008B0CB5"/>
    <w:rsid w:val="008B175B"/>
    <w:rsid w:val="008B2FA3"/>
    <w:rsid w:val="008B37EB"/>
    <w:rsid w:val="008B3DF6"/>
    <w:rsid w:val="008B4AB6"/>
    <w:rsid w:val="008B5A7D"/>
    <w:rsid w:val="008B7120"/>
    <w:rsid w:val="008B775A"/>
    <w:rsid w:val="008C10ED"/>
    <w:rsid w:val="008C338E"/>
    <w:rsid w:val="008C43A0"/>
    <w:rsid w:val="008D0429"/>
    <w:rsid w:val="008D261C"/>
    <w:rsid w:val="008D36D1"/>
    <w:rsid w:val="008D3CA8"/>
    <w:rsid w:val="008D4587"/>
    <w:rsid w:val="008D504E"/>
    <w:rsid w:val="008D5351"/>
    <w:rsid w:val="008D5354"/>
    <w:rsid w:val="008D6054"/>
    <w:rsid w:val="008D6244"/>
    <w:rsid w:val="008D785A"/>
    <w:rsid w:val="008E0E6E"/>
    <w:rsid w:val="008E0F70"/>
    <w:rsid w:val="008E1EC6"/>
    <w:rsid w:val="008E2417"/>
    <w:rsid w:val="008E24A9"/>
    <w:rsid w:val="008E4520"/>
    <w:rsid w:val="008E4729"/>
    <w:rsid w:val="008E5AE8"/>
    <w:rsid w:val="008E789A"/>
    <w:rsid w:val="008F0FC9"/>
    <w:rsid w:val="008F15C7"/>
    <w:rsid w:val="008F1AEC"/>
    <w:rsid w:val="008F230A"/>
    <w:rsid w:val="008F3AAD"/>
    <w:rsid w:val="008F43D1"/>
    <w:rsid w:val="008F4B43"/>
    <w:rsid w:val="008F555A"/>
    <w:rsid w:val="008F7D36"/>
    <w:rsid w:val="00900586"/>
    <w:rsid w:val="00900AA1"/>
    <w:rsid w:val="00900C48"/>
    <w:rsid w:val="00901694"/>
    <w:rsid w:val="00901F0E"/>
    <w:rsid w:val="00902A90"/>
    <w:rsid w:val="00902C6E"/>
    <w:rsid w:val="009034ED"/>
    <w:rsid w:val="00903AFB"/>
    <w:rsid w:val="0090435B"/>
    <w:rsid w:val="00905520"/>
    <w:rsid w:val="009057FC"/>
    <w:rsid w:val="0090637F"/>
    <w:rsid w:val="00910CB3"/>
    <w:rsid w:val="0091261B"/>
    <w:rsid w:val="00912842"/>
    <w:rsid w:val="009131C2"/>
    <w:rsid w:val="00913217"/>
    <w:rsid w:val="009161A6"/>
    <w:rsid w:val="00916D13"/>
    <w:rsid w:val="00920343"/>
    <w:rsid w:val="00921990"/>
    <w:rsid w:val="00921D3F"/>
    <w:rsid w:val="00922041"/>
    <w:rsid w:val="00922BBB"/>
    <w:rsid w:val="00923F5F"/>
    <w:rsid w:val="00924447"/>
    <w:rsid w:val="0092468B"/>
    <w:rsid w:val="00924D82"/>
    <w:rsid w:val="00924EBA"/>
    <w:rsid w:val="0092518D"/>
    <w:rsid w:val="00926C66"/>
    <w:rsid w:val="00927C34"/>
    <w:rsid w:val="00930632"/>
    <w:rsid w:val="00930DA7"/>
    <w:rsid w:val="009318EF"/>
    <w:rsid w:val="00934154"/>
    <w:rsid w:val="0093468E"/>
    <w:rsid w:val="00935205"/>
    <w:rsid w:val="0093540F"/>
    <w:rsid w:val="0093628A"/>
    <w:rsid w:val="00937B77"/>
    <w:rsid w:val="009400E4"/>
    <w:rsid w:val="0094071C"/>
    <w:rsid w:val="00940C01"/>
    <w:rsid w:val="00941E4E"/>
    <w:rsid w:val="00941E53"/>
    <w:rsid w:val="00942035"/>
    <w:rsid w:val="009425DA"/>
    <w:rsid w:val="00943C2A"/>
    <w:rsid w:val="00944402"/>
    <w:rsid w:val="00944437"/>
    <w:rsid w:val="00944B7D"/>
    <w:rsid w:val="00944BD3"/>
    <w:rsid w:val="00944C01"/>
    <w:rsid w:val="00946403"/>
    <w:rsid w:val="009467D6"/>
    <w:rsid w:val="00946AC7"/>
    <w:rsid w:val="00947659"/>
    <w:rsid w:val="009500D4"/>
    <w:rsid w:val="0095064E"/>
    <w:rsid w:val="009506D5"/>
    <w:rsid w:val="00951068"/>
    <w:rsid w:val="00951F32"/>
    <w:rsid w:val="0095268A"/>
    <w:rsid w:val="00952861"/>
    <w:rsid w:val="00952E59"/>
    <w:rsid w:val="009530EF"/>
    <w:rsid w:val="0095425F"/>
    <w:rsid w:val="009549BD"/>
    <w:rsid w:val="00954E04"/>
    <w:rsid w:val="009552E6"/>
    <w:rsid w:val="00955675"/>
    <w:rsid w:val="009564FF"/>
    <w:rsid w:val="00956A80"/>
    <w:rsid w:val="0095712C"/>
    <w:rsid w:val="00957FB7"/>
    <w:rsid w:val="0096001D"/>
    <w:rsid w:val="009602D9"/>
    <w:rsid w:val="00960C15"/>
    <w:rsid w:val="0096126A"/>
    <w:rsid w:val="00961478"/>
    <w:rsid w:val="009623EB"/>
    <w:rsid w:val="0096268C"/>
    <w:rsid w:val="009637B7"/>
    <w:rsid w:val="00963814"/>
    <w:rsid w:val="0096452B"/>
    <w:rsid w:val="009700B0"/>
    <w:rsid w:val="00971AFA"/>
    <w:rsid w:val="00972257"/>
    <w:rsid w:val="009728CB"/>
    <w:rsid w:val="00972A49"/>
    <w:rsid w:val="00974AE0"/>
    <w:rsid w:val="00974B1A"/>
    <w:rsid w:val="00974F4F"/>
    <w:rsid w:val="009768A9"/>
    <w:rsid w:val="00976B75"/>
    <w:rsid w:val="00981205"/>
    <w:rsid w:val="0098143A"/>
    <w:rsid w:val="00981442"/>
    <w:rsid w:val="0098168F"/>
    <w:rsid w:val="00985455"/>
    <w:rsid w:val="00985B14"/>
    <w:rsid w:val="009878C5"/>
    <w:rsid w:val="00992AF7"/>
    <w:rsid w:val="009940CC"/>
    <w:rsid w:val="0099606B"/>
    <w:rsid w:val="00996FFD"/>
    <w:rsid w:val="00997BFD"/>
    <w:rsid w:val="009A0F8A"/>
    <w:rsid w:val="009A1870"/>
    <w:rsid w:val="009A2B2E"/>
    <w:rsid w:val="009A42F9"/>
    <w:rsid w:val="009A4CCA"/>
    <w:rsid w:val="009A550D"/>
    <w:rsid w:val="009A5622"/>
    <w:rsid w:val="009A5A21"/>
    <w:rsid w:val="009A60D4"/>
    <w:rsid w:val="009A7972"/>
    <w:rsid w:val="009C0105"/>
    <w:rsid w:val="009C098B"/>
    <w:rsid w:val="009C148D"/>
    <w:rsid w:val="009C22D7"/>
    <w:rsid w:val="009C4AA3"/>
    <w:rsid w:val="009C4FD3"/>
    <w:rsid w:val="009C5C6A"/>
    <w:rsid w:val="009C7506"/>
    <w:rsid w:val="009D08AB"/>
    <w:rsid w:val="009D0EF2"/>
    <w:rsid w:val="009D1B11"/>
    <w:rsid w:val="009D22CD"/>
    <w:rsid w:val="009D2909"/>
    <w:rsid w:val="009D388B"/>
    <w:rsid w:val="009D431A"/>
    <w:rsid w:val="009D520E"/>
    <w:rsid w:val="009D53CE"/>
    <w:rsid w:val="009D5544"/>
    <w:rsid w:val="009D61BB"/>
    <w:rsid w:val="009D6EEE"/>
    <w:rsid w:val="009E2E7B"/>
    <w:rsid w:val="009E335B"/>
    <w:rsid w:val="009E3AE1"/>
    <w:rsid w:val="009E4190"/>
    <w:rsid w:val="009E4ED4"/>
    <w:rsid w:val="009E59E6"/>
    <w:rsid w:val="009E67D1"/>
    <w:rsid w:val="009E6D3D"/>
    <w:rsid w:val="009E7593"/>
    <w:rsid w:val="009E79F5"/>
    <w:rsid w:val="009F0237"/>
    <w:rsid w:val="009F0B67"/>
    <w:rsid w:val="009F34B7"/>
    <w:rsid w:val="009F3920"/>
    <w:rsid w:val="009F6470"/>
    <w:rsid w:val="009F6F5B"/>
    <w:rsid w:val="009F750A"/>
    <w:rsid w:val="00A03AC8"/>
    <w:rsid w:val="00A03FCF"/>
    <w:rsid w:val="00A06434"/>
    <w:rsid w:val="00A06496"/>
    <w:rsid w:val="00A064FD"/>
    <w:rsid w:val="00A07A32"/>
    <w:rsid w:val="00A116B2"/>
    <w:rsid w:val="00A11798"/>
    <w:rsid w:val="00A11C18"/>
    <w:rsid w:val="00A122D9"/>
    <w:rsid w:val="00A128D5"/>
    <w:rsid w:val="00A13383"/>
    <w:rsid w:val="00A135F2"/>
    <w:rsid w:val="00A13924"/>
    <w:rsid w:val="00A15474"/>
    <w:rsid w:val="00A16125"/>
    <w:rsid w:val="00A20BA1"/>
    <w:rsid w:val="00A20E38"/>
    <w:rsid w:val="00A2370B"/>
    <w:rsid w:val="00A23F1F"/>
    <w:rsid w:val="00A2430C"/>
    <w:rsid w:val="00A244DF"/>
    <w:rsid w:val="00A258E3"/>
    <w:rsid w:val="00A25E53"/>
    <w:rsid w:val="00A268FE"/>
    <w:rsid w:val="00A30B03"/>
    <w:rsid w:val="00A31D92"/>
    <w:rsid w:val="00A32102"/>
    <w:rsid w:val="00A340E1"/>
    <w:rsid w:val="00A34962"/>
    <w:rsid w:val="00A35139"/>
    <w:rsid w:val="00A3662C"/>
    <w:rsid w:val="00A373E7"/>
    <w:rsid w:val="00A37BEC"/>
    <w:rsid w:val="00A41E0D"/>
    <w:rsid w:val="00A42C4D"/>
    <w:rsid w:val="00A42E09"/>
    <w:rsid w:val="00A449BA"/>
    <w:rsid w:val="00A464A7"/>
    <w:rsid w:val="00A47757"/>
    <w:rsid w:val="00A47C2E"/>
    <w:rsid w:val="00A50B44"/>
    <w:rsid w:val="00A511CE"/>
    <w:rsid w:val="00A51D97"/>
    <w:rsid w:val="00A526F1"/>
    <w:rsid w:val="00A527F2"/>
    <w:rsid w:val="00A52A29"/>
    <w:rsid w:val="00A53CAB"/>
    <w:rsid w:val="00A54B66"/>
    <w:rsid w:val="00A555B6"/>
    <w:rsid w:val="00A568D5"/>
    <w:rsid w:val="00A57DF2"/>
    <w:rsid w:val="00A60452"/>
    <w:rsid w:val="00A608E0"/>
    <w:rsid w:val="00A62287"/>
    <w:rsid w:val="00A62786"/>
    <w:rsid w:val="00A62D88"/>
    <w:rsid w:val="00A6357D"/>
    <w:rsid w:val="00A66F39"/>
    <w:rsid w:val="00A74308"/>
    <w:rsid w:val="00A75E0B"/>
    <w:rsid w:val="00A7651F"/>
    <w:rsid w:val="00A77D1E"/>
    <w:rsid w:val="00A805B8"/>
    <w:rsid w:val="00A80EE9"/>
    <w:rsid w:val="00A81227"/>
    <w:rsid w:val="00A82118"/>
    <w:rsid w:val="00A82440"/>
    <w:rsid w:val="00A85018"/>
    <w:rsid w:val="00A85FDA"/>
    <w:rsid w:val="00A907A1"/>
    <w:rsid w:val="00A91EC5"/>
    <w:rsid w:val="00A92E58"/>
    <w:rsid w:val="00A92E6E"/>
    <w:rsid w:val="00A9359A"/>
    <w:rsid w:val="00A96AB3"/>
    <w:rsid w:val="00AA01DD"/>
    <w:rsid w:val="00AA0370"/>
    <w:rsid w:val="00AA0398"/>
    <w:rsid w:val="00AA07B2"/>
    <w:rsid w:val="00AA0A0E"/>
    <w:rsid w:val="00AA2162"/>
    <w:rsid w:val="00AA2EE1"/>
    <w:rsid w:val="00AA3A9D"/>
    <w:rsid w:val="00AA3DE9"/>
    <w:rsid w:val="00AA47BB"/>
    <w:rsid w:val="00AB147A"/>
    <w:rsid w:val="00AB2A9B"/>
    <w:rsid w:val="00AB3AFB"/>
    <w:rsid w:val="00AB3B41"/>
    <w:rsid w:val="00AB3E99"/>
    <w:rsid w:val="00AB4A1A"/>
    <w:rsid w:val="00AC0087"/>
    <w:rsid w:val="00AC2326"/>
    <w:rsid w:val="00AC4F7B"/>
    <w:rsid w:val="00AC57B3"/>
    <w:rsid w:val="00AC5FD7"/>
    <w:rsid w:val="00AD130C"/>
    <w:rsid w:val="00AD1EAF"/>
    <w:rsid w:val="00AD3720"/>
    <w:rsid w:val="00AD5623"/>
    <w:rsid w:val="00AD5653"/>
    <w:rsid w:val="00AD6027"/>
    <w:rsid w:val="00AD6C06"/>
    <w:rsid w:val="00AD6D8E"/>
    <w:rsid w:val="00AD73E1"/>
    <w:rsid w:val="00AE0F0C"/>
    <w:rsid w:val="00AE1CA0"/>
    <w:rsid w:val="00AE2D72"/>
    <w:rsid w:val="00AE31F3"/>
    <w:rsid w:val="00AE36D2"/>
    <w:rsid w:val="00AE3A7B"/>
    <w:rsid w:val="00AE49B6"/>
    <w:rsid w:val="00AE5A47"/>
    <w:rsid w:val="00AE746A"/>
    <w:rsid w:val="00AF0D70"/>
    <w:rsid w:val="00AF0F1B"/>
    <w:rsid w:val="00AF43E0"/>
    <w:rsid w:val="00AF4B3F"/>
    <w:rsid w:val="00AF64A4"/>
    <w:rsid w:val="00AF6E17"/>
    <w:rsid w:val="00B002E2"/>
    <w:rsid w:val="00B00648"/>
    <w:rsid w:val="00B03903"/>
    <w:rsid w:val="00B04B42"/>
    <w:rsid w:val="00B056D1"/>
    <w:rsid w:val="00B0740D"/>
    <w:rsid w:val="00B07D99"/>
    <w:rsid w:val="00B12561"/>
    <w:rsid w:val="00B1329C"/>
    <w:rsid w:val="00B13B4F"/>
    <w:rsid w:val="00B169A3"/>
    <w:rsid w:val="00B20D98"/>
    <w:rsid w:val="00B20E1E"/>
    <w:rsid w:val="00B2154B"/>
    <w:rsid w:val="00B22A06"/>
    <w:rsid w:val="00B22D84"/>
    <w:rsid w:val="00B23E2B"/>
    <w:rsid w:val="00B24A65"/>
    <w:rsid w:val="00B2522E"/>
    <w:rsid w:val="00B26CD8"/>
    <w:rsid w:val="00B27485"/>
    <w:rsid w:val="00B30733"/>
    <w:rsid w:val="00B31FDF"/>
    <w:rsid w:val="00B351D4"/>
    <w:rsid w:val="00B35606"/>
    <w:rsid w:val="00B379B2"/>
    <w:rsid w:val="00B37C1D"/>
    <w:rsid w:val="00B4081D"/>
    <w:rsid w:val="00B42126"/>
    <w:rsid w:val="00B43D42"/>
    <w:rsid w:val="00B446D2"/>
    <w:rsid w:val="00B44B03"/>
    <w:rsid w:val="00B4615B"/>
    <w:rsid w:val="00B5018A"/>
    <w:rsid w:val="00B527FC"/>
    <w:rsid w:val="00B52DE7"/>
    <w:rsid w:val="00B532EB"/>
    <w:rsid w:val="00B5348B"/>
    <w:rsid w:val="00B542AF"/>
    <w:rsid w:val="00B54B41"/>
    <w:rsid w:val="00B567C5"/>
    <w:rsid w:val="00B57D4F"/>
    <w:rsid w:val="00B6073F"/>
    <w:rsid w:val="00B62F2F"/>
    <w:rsid w:val="00B64E23"/>
    <w:rsid w:val="00B66085"/>
    <w:rsid w:val="00B66D9F"/>
    <w:rsid w:val="00B673FB"/>
    <w:rsid w:val="00B7173C"/>
    <w:rsid w:val="00B71832"/>
    <w:rsid w:val="00B718D5"/>
    <w:rsid w:val="00B72C04"/>
    <w:rsid w:val="00B73819"/>
    <w:rsid w:val="00B7638B"/>
    <w:rsid w:val="00B770F4"/>
    <w:rsid w:val="00B81029"/>
    <w:rsid w:val="00B83CA3"/>
    <w:rsid w:val="00B84BB6"/>
    <w:rsid w:val="00B861C8"/>
    <w:rsid w:val="00B862FE"/>
    <w:rsid w:val="00B871A7"/>
    <w:rsid w:val="00B87B30"/>
    <w:rsid w:val="00B919AC"/>
    <w:rsid w:val="00B92077"/>
    <w:rsid w:val="00B92134"/>
    <w:rsid w:val="00B92E4B"/>
    <w:rsid w:val="00B93071"/>
    <w:rsid w:val="00B93B3A"/>
    <w:rsid w:val="00B93EA6"/>
    <w:rsid w:val="00B9451A"/>
    <w:rsid w:val="00B946BB"/>
    <w:rsid w:val="00B94BC7"/>
    <w:rsid w:val="00B95993"/>
    <w:rsid w:val="00B96AEF"/>
    <w:rsid w:val="00BA272B"/>
    <w:rsid w:val="00BA36CA"/>
    <w:rsid w:val="00BA49F4"/>
    <w:rsid w:val="00BA5677"/>
    <w:rsid w:val="00BB071F"/>
    <w:rsid w:val="00BB2437"/>
    <w:rsid w:val="00BB30AF"/>
    <w:rsid w:val="00BB3486"/>
    <w:rsid w:val="00BB39E6"/>
    <w:rsid w:val="00BB478A"/>
    <w:rsid w:val="00BB7DC5"/>
    <w:rsid w:val="00BC3D10"/>
    <w:rsid w:val="00BC5201"/>
    <w:rsid w:val="00BC5A33"/>
    <w:rsid w:val="00BD0A43"/>
    <w:rsid w:val="00BD2547"/>
    <w:rsid w:val="00BD2CFF"/>
    <w:rsid w:val="00BD318B"/>
    <w:rsid w:val="00BD3FB9"/>
    <w:rsid w:val="00BD43D6"/>
    <w:rsid w:val="00BD499A"/>
    <w:rsid w:val="00BD4FDA"/>
    <w:rsid w:val="00BE0436"/>
    <w:rsid w:val="00BE06E1"/>
    <w:rsid w:val="00BE0819"/>
    <w:rsid w:val="00BE20EC"/>
    <w:rsid w:val="00BE2E1F"/>
    <w:rsid w:val="00BE3D56"/>
    <w:rsid w:val="00BE4581"/>
    <w:rsid w:val="00BE5052"/>
    <w:rsid w:val="00BE5AF9"/>
    <w:rsid w:val="00BE73F6"/>
    <w:rsid w:val="00BF1411"/>
    <w:rsid w:val="00BF155A"/>
    <w:rsid w:val="00BF4440"/>
    <w:rsid w:val="00BF4D8E"/>
    <w:rsid w:val="00BF5F91"/>
    <w:rsid w:val="00BF5FF8"/>
    <w:rsid w:val="00C00655"/>
    <w:rsid w:val="00C03F20"/>
    <w:rsid w:val="00C0414A"/>
    <w:rsid w:val="00C04B26"/>
    <w:rsid w:val="00C0525C"/>
    <w:rsid w:val="00C0639A"/>
    <w:rsid w:val="00C100C0"/>
    <w:rsid w:val="00C102B6"/>
    <w:rsid w:val="00C123D2"/>
    <w:rsid w:val="00C12E05"/>
    <w:rsid w:val="00C13283"/>
    <w:rsid w:val="00C138CF"/>
    <w:rsid w:val="00C14D63"/>
    <w:rsid w:val="00C14EBB"/>
    <w:rsid w:val="00C159E7"/>
    <w:rsid w:val="00C15BEE"/>
    <w:rsid w:val="00C217A9"/>
    <w:rsid w:val="00C22EDB"/>
    <w:rsid w:val="00C230DA"/>
    <w:rsid w:val="00C23F09"/>
    <w:rsid w:val="00C25075"/>
    <w:rsid w:val="00C2725E"/>
    <w:rsid w:val="00C304C9"/>
    <w:rsid w:val="00C31E1A"/>
    <w:rsid w:val="00C32ED7"/>
    <w:rsid w:val="00C3362B"/>
    <w:rsid w:val="00C34DCD"/>
    <w:rsid w:val="00C364EF"/>
    <w:rsid w:val="00C3699A"/>
    <w:rsid w:val="00C36F1E"/>
    <w:rsid w:val="00C37D22"/>
    <w:rsid w:val="00C37DFF"/>
    <w:rsid w:val="00C4028D"/>
    <w:rsid w:val="00C403AD"/>
    <w:rsid w:val="00C40427"/>
    <w:rsid w:val="00C40428"/>
    <w:rsid w:val="00C41C54"/>
    <w:rsid w:val="00C43E96"/>
    <w:rsid w:val="00C44818"/>
    <w:rsid w:val="00C46923"/>
    <w:rsid w:val="00C47D2F"/>
    <w:rsid w:val="00C51F67"/>
    <w:rsid w:val="00C522C5"/>
    <w:rsid w:val="00C52D71"/>
    <w:rsid w:val="00C534F5"/>
    <w:rsid w:val="00C54CE4"/>
    <w:rsid w:val="00C55790"/>
    <w:rsid w:val="00C55EA4"/>
    <w:rsid w:val="00C57148"/>
    <w:rsid w:val="00C619B8"/>
    <w:rsid w:val="00C623FA"/>
    <w:rsid w:val="00C70746"/>
    <w:rsid w:val="00C73481"/>
    <w:rsid w:val="00C73558"/>
    <w:rsid w:val="00C74C14"/>
    <w:rsid w:val="00C750A6"/>
    <w:rsid w:val="00C76BAD"/>
    <w:rsid w:val="00C76EBF"/>
    <w:rsid w:val="00C778FA"/>
    <w:rsid w:val="00C800B6"/>
    <w:rsid w:val="00C81311"/>
    <w:rsid w:val="00C822B1"/>
    <w:rsid w:val="00C832AC"/>
    <w:rsid w:val="00C8520C"/>
    <w:rsid w:val="00C8715C"/>
    <w:rsid w:val="00C87475"/>
    <w:rsid w:val="00C87979"/>
    <w:rsid w:val="00C90625"/>
    <w:rsid w:val="00C91B6C"/>
    <w:rsid w:val="00C92C4D"/>
    <w:rsid w:val="00C93EB5"/>
    <w:rsid w:val="00C9519D"/>
    <w:rsid w:val="00C96441"/>
    <w:rsid w:val="00C966A1"/>
    <w:rsid w:val="00C9674B"/>
    <w:rsid w:val="00CA089D"/>
    <w:rsid w:val="00CA10A7"/>
    <w:rsid w:val="00CA3211"/>
    <w:rsid w:val="00CA3C32"/>
    <w:rsid w:val="00CA6F1F"/>
    <w:rsid w:val="00CB33F5"/>
    <w:rsid w:val="00CB6899"/>
    <w:rsid w:val="00CB7070"/>
    <w:rsid w:val="00CB73E9"/>
    <w:rsid w:val="00CC129A"/>
    <w:rsid w:val="00CC31E4"/>
    <w:rsid w:val="00CC37CF"/>
    <w:rsid w:val="00CC38AD"/>
    <w:rsid w:val="00CC53C2"/>
    <w:rsid w:val="00CD05AA"/>
    <w:rsid w:val="00CD158D"/>
    <w:rsid w:val="00CD1DC3"/>
    <w:rsid w:val="00CD1E71"/>
    <w:rsid w:val="00CD277A"/>
    <w:rsid w:val="00CD2945"/>
    <w:rsid w:val="00CD4F18"/>
    <w:rsid w:val="00CD62E4"/>
    <w:rsid w:val="00CD6D4B"/>
    <w:rsid w:val="00CD6E21"/>
    <w:rsid w:val="00CD74E8"/>
    <w:rsid w:val="00CD77D5"/>
    <w:rsid w:val="00CD7BFA"/>
    <w:rsid w:val="00CE11B3"/>
    <w:rsid w:val="00CE1662"/>
    <w:rsid w:val="00CE34A5"/>
    <w:rsid w:val="00CE464F"/>
    <w:rsid w:val="00CE65AD"/>
    <w:rsid w:val="00CE733C"/>
    <w:rsid w:val="00CE73E0"/>
    <w:rsid w:val="00CF008C"/>
    <w:rsid w:val="00CF018A"/>
    <w:rsid w:val="00CF230D"/>
    <w:rsid w:val="00CF4074"/>
    <w:rsid w:val="00CF6384"/>
    <w:rsid w:val="00CF6407"/>
    <w:rsid w:val="00CF6606"/>
    <w:rsid w:val="00CF6AF9"/>
    <w:rsid w:val="00CF6BA9"/>
    <w:rsid w:val="00CF7330"/>
    <w:rsid w:val="00CF73EC"/>
    <w:rsid w:val="00D00CE5"/>
    <w:rsid w:val="00D0101B"/>
    <w:rsid w:val="00D02F42"/>
    <w:rsid w:val="00D0361A"/>
    <w:rsid w:val="00D0469F"/>
    <w:rsid w:val="00D0492E"/>
    <w:rsid w:val="00D06E6E"/>
    <w:rsid w:val="00D07A6B"/>
    <w:rsid w:val="00D10841"/>
    <w:rsid w:val="00D12FA1"/>
    <w:rsid w:val="00D136FE"/>
    <w:rsid w:val="00D14558"/>
    <w:rsid w:val="00D15517"/>
    <w:rsid w:val="00D15A90"/>
    <w:rsid w:val="00D160C4"/>
    <w:rsid w:val="00D162BD"/>
    <w:rsid w:val="00D1703F"/>
    <w:rsid w:val="00D20493"/>
    <w:rsid w:val="00D22333"/>
    <w:rsid w:val="00D243C0"/>
    <w:rsid w:val="00D25066"/>
    <w:rsid w:val="00D2577F"/>
    <w:rsid w:val="00D25C46"/>
    <w:rsid w:val="00D26B04"/>
    <w:rsid w:val="00D27804"/>
    <w:rsid w:val="00D3152E"/>
    <w:rsid w:val="00D3281A"/>
    <w:rsid w:val="00D344C7"/>
    <w:rsid w:val="00D34F85"/>
    <w:rsid w:val="00D35687"/>
    <w:rsid w:val="00D369A6"/>
    <w:rsid w:val="00D36DF9"/>
    <w:rsid w:val="00D40748"/>
    <w:rsid w:val="00D4076C"/>
    <w:rsid w:val="00D416B4"/>
    <w:rsid w:val="00D41B14"/>
    <w:rsid w:val="00D4247F"/>
    <w:rsid w:val="00D443DE"/>
    <w:rsid w:val="00D452E6"/>
    <w:rsid w:val="00D462BC"/>
    <w:rsid w:val="00D504E8"/>
    <w:rsid w:val="00D52638"/>
    <w:rsid w:val="00D52EE7"/>
    <w:rsid w:val="00D5413A"/>
    <w:rsid w:val="00D559B9"/>
    <w:rsid w:val="00D56971"/>
    <w:rsid w:val="00D5714F"/>
    <w:rsid w:val="00D57D36"/>
    <w:rsid w:val="00D57EF0"/>
    <w:rsid w:val="00D61875"/>
    <w:rsid w:val="00D61DD3"/>
    <w:rsid w:val="00D62803"/>
    <w:rsid w:val="00D633C3"/>
    <w:rsid w:val="00D63832"/>
    <w:rsid w:val="00D64902"/>
    <w:rsid w:val="00D65283"/>
    <w:rsid w:val="00D65C38"/>
    <w:rsid w:val="00D66930"/>
    <w:rsid w:val="00D672C0"/>
    <w:rsid w:val="00D677F9"/>
    <w:rsid w:val="00D71D01"/>
    <w:rsid w:val="00D7254F"/>
    <w:rsid w:val="00D725FA"/>
    <w:rsid w:val="00D73939"/>
    <w:rsid w:val="00D74463"/>
    <w:rsid w:val="00D75601"/>
    <w:rsid w:val="00D7715B"/>
    <w:rsid w:val="00D80773"/>
    <w:rsid w:val="00D80B1C"/>
    <w:rsid w:val="00D81123"/>
    <w:rsid w:val="00D82CDB"/>
    <w:rsid w:val="00D83AD1"/>
    <w:rsid w:val="00D86D32"/>
    <w:rsid w:val="00D8793C"/>
    <w:rsid w:val="00D87B87"/>
    <w:rsid w:val="00D9084C"/>
    <w:rsid w:val="00D90B07"/>
    <w:rsid w:val="00D91BBC"/>
    <w:rsid w:val="00D93989"/>
    <w:rsid w:val="00DA29ED"/>
    <w:rsid w:val="00DA30A5"/>
    <w:rsid w:val="00DA36CF"/>
    <w:rsid w:val="00DA4200"/>
    <w:rsid w:val="00DA4693"/>
    <w:rsid w:val="00DA4D9C"/>
    <w:rsid w:val="00DA6B5E"/>
    <w:rsid w:val="00DA6CBF"/>
    <w:rsid w:val="00DA6F2B"/>
    <w:rsid w:val="00DA7A62"/>
    <w:rsid w:val="00DB0B63"/>
    <w:rsid w:val="00DB2059"/>
    <w:rsid w:val="00DB294D"/>
    <w:rsid w:val="00DB47A6"/>
    <w:rsid w:val="00DB493C"/>
    <w:rsid w:val="00DB4D96"/>
    <w:rsid w:val="00DB518F"/>
    <w:rsid w:val="00DB5AA9"/>
    <w:rsid w:val="00DB5F7F"/>
    <w:rsid w:val="00DB63AC"/>
    <w:rsid w:val="00DB667A"/>
    <w:rsid w:val="00DB6D5B"/>
    <w:rsid w:val="00DC12D3"/>
    <w:rsid w:val="00DC1DDB"/>
    <w:rsid w:val="00DC3819"/>
    <w:rsid w:val="00DC49B4"/>
    <w:rsid w:val="00DC53A7"/>
    <w:rsid w:val="00DC557D"/>
    <w:rsid w:val="00DC5B25"/>
    <w:rsid w:val="00DC5BC2"/>
    <w:rsid w:val="00DC6999"/>
    <w:rsid w:val="00DC7DBA"/>
    <w:rsid w:val="00DD293E"/>
    <w:rsid w:val="00DD3C9B"/>
    <w:rsid w:val="00DD70A7"/>
    <w:rsid w:val="00DE00A2"/>
    <w:rsid w:val="00DE1116"/>
    <w:rsid w:val="00DE193F"/>
    <w:rsid w:val="00DE3551"/>
    <w:rsid w:val="00DE3963"/>
    <w:rsid w:val="00DE3F0D"/>
    <w:rsid w:val="00DE4F7C"/>
    <w:rsid w:val="00DE5835"/>
    <w:rsid w:val="00DF1ADC"/>
    <w:rsid w:val="00DF2AA4"/>
    <w:rsid w:val="00DF4DEC"/>
    <w:rsid w:val="00DF6043"/>
    <w:rsid w:val="00DF6E47"/>
    <w:rsid w:val="00DF784F"/>
    <w:rsid w:val="00E0132B"/>
    <w:rsid w:val="00E02B27"/>
    <w:rsid w:val="00E046C3"/>
    <w:rsid w:val="00E04A9A"/>
    <w:rsid w:val="00E04EDE"/>
    <w:rsid w:val="00E05193"/>
    <w:rsid w:val="00E05530"/>
    <w:rsid w:val="00E0615D"/>
    <w:rsid w:val="00E0674E"/>
    <w:rsid w:val="00E07195"/>
    <w:rsid w:val="00E12649"/>
    <w:rsid w:val="00E14924"/>
    <w:rsid w:val="00E14937"/>
    <w:rsid w:val="00E174F3"/>
    <w:rsid w:val="00E205B2"/>
    <w:rsid w:val="00E247E3"/>
    <w:rsid w:val="00E24964"/>
    <w:rsid w:val="00E24C42"/>
    <w:rsid w:val="00E312F7"/>
    <w:rsid w:val="00E3130A"/>
    <w:rsid w:val="00E3366B"/>
    <w:rsid w:val="00E346DE"/>
    <w:rsid w:val="00E35F63"/>
    <w:rsid w:val="00E362B6"/>
    <w:rsid w:val="00E369DC"/>
    <w:rsid w:val="00E36AA3"/>
    <w:rsid w:val="00E36BC8"/>
    <w:rsid w:val="00E37B5F"/>
    <w:rsid w:val="00E37E8F"/>
    <w:rsid w:val="00E403A0"/>
    <w:rsid w:val="00E42014"/>
    <w:rsid w:val="00E42C8C"/>
    <w:rsid w:val="00E42FF9"/>
    <w:rsid w:val="00E43B87"/>
    <w:rsid w:val="00E44087"/>
    <w:rsid w:val="00E4513F"/>
    <w:rsid w:val="00E455AE"/>
    <w:rsid w:val="00E457DD"/>
    <w:rsid w:val="00E45AF3"/>
    <w:rsid w:val="00E4607A"/>
    <w:rsid w:val="00E46AA1"/>
    <w:rsid w:val="00E47092"/>
    <w:rsid w:val="00E47241"/>
    <w:rsid w:val="00E50245"/>
    <w:rsid w:val="00E50CEC"/>
    <w:rsid w:val="00E53EB8"/>
    <w:rsid w:val="00E546C2"/>
    <w:rsid w:val="00E559AD"/>
    <w:rsid w:val="00E55A9D"/>
    <w:rsid w:val="00E56766"/>
    <w:rsid w:val="00E57403"/>
    <w:rsid w:val="00E6111F"/>
    <w:rsid w:val="00E6117B"/>
    <w:rsid w:val="00E6185D"/>
    <w:rsid w:val="00E62C99"/>
    <w:rsid w:val="00E632CB"/>
    <w:rsid w:val="00E63664"/>
    <w:rsid w:val="00E63AA3"/>
    <w:rsid w:val="00E63DA6"/>
    <w:rsid w:val="00E65E38"/>
    <w:rsid w:val="00E6649B"/>
    <w:rsid w:val="00E66672"/>
    <w:rsid w:val="00E6683B"/>
    <w:rsid w:val="00E67558"/>
    <w:rsid w:val="00E70817"/>
    <w:rsid w:val="00E71182"/>
    <w:rsid w:val="00E720B6"/>
    <w:rsid w:val="00E734D7"/>
    <w:rsid w:val="00E73578"/>
    <w:rsid w:val="00E73933"/>
    <w:rsid w:val="00E74CE9"/>
    <w:rsid w:val="00E75005"/>
    <w:rsid w:val="00E759B4"/>
    <w:rsid w:val="00E8083A"/>
    <w:rsid w:val="00E80BC4"/>
    <w:rsid w:val="00E83D12"/>
    <w:rsid w:val="00E861F0"/>
    <w:rsid w:val="00E86468"/>
    <w:rsid w:val="00E86568"/>
    <w:rsid w:val="00E87CFF"/>
    <w:rsid w:val="00E901B4"/>
    <w:rsid w:val="00E9068D"/>
    <w:rsid w:val="00E90CF3"/>
    <w:rsid w:val="00E9105A"/>
    <w:rsid w:val="00E910BA"/>
    <w:rsid w:val="00E912DE"/>
    <w:rsid w:val="00E91CA5"/>
    <w:rsid w:val="00E93CFF"/>
    <w:rsid w:val="00EA06C4"/>
    <w:rsid w:val="00EA249C"/>
    <w:rsid w:val="00EA5388"/>
    <w:rsid w:val="00EB0B69"/>
    <w:rsid w:val="00EB2560"/>
    <w:rsid w:val="00EB2BB4"/>
    <w:rsid w:val="00EB44A8"/>
    <w:rsid w:val="00EB4B36"/>
    <w:rsid w:val="00EB5317"/>
    <w:rsid w:val="00EB66D6"/>
    <w:rsid w:val="00EB6A73"/>
    <w:rsid w:val="00EB7225"/>
    <w:rsid w:val="00EB796C"/>
    <w:rsid w:val="00EB7F4F"/>
    <w:rsid w:val="00EC22F9"/>
    <w:rsid w:val="00EC4902"/>
    <w:rsid w:val="00EC4A1B"/>
    <w:rsid w:val="00EC68E7"/>
    <w:rsid w:val="00EC6C91"/>
    <w:rsid w:val="00EC765F"/>
    <w:rsid w:val="00ED1B2E"/>
    <w:rsid w:val="00ED35E6"/>
    <w:rsid w:val="00ED3DC0"/>
    <w:rsid w:val="00ED5F4B"/>
    <w:rsid w:val="00ED7F16"/>
    <w:rsid w:val="00EE0002"/>
    <w:rsid w:val="00EE0450"/>
    <w:rsid w:val="00EE13FA"/>
    <w:rsid w:val="00EE332E"/>
    <w:rsid w:val="00EE34FF"/>
    <w:rsid w:val="00EE521D"/>
    <w:rsid w:val="00EE5F0E"/>
    <w:rsid w:val="00EF064D"/>
    <w:rsid w:val="00EF07F6"/>
    <w:rsid w:val="00EF0975"/>
    <w:rsid w:val="00EF11F3"/>
    <w:rsid w:val="00EF2AF8"/>
    <w:rsid w:val="00EF2E2A"/>
    <w:rsid w:val="00EF3999"/>
    <w:rsid w:val="00EF3E8D"/>
    <w:rsid w:val="00EF4413"/>
    <w:rsid w:val="00EF48FC"/>
    <w:rsid w:val="00EF5147"/>
    <w:rsid w:val="00EF542E"/>
    <w:rsid w:val="00EF5CBF"/>
    <w:rsid w:val="00EF6FA9"/>
    <w:rsid w:val="00EF7D6D"/>
    <w:rsid w:val="00F0138B"/>
    <w:rsid w:val="00F01865"/>
    <w:rsid w:val="00F02975"/>
    <w:rsid w:val="00F03535"/>
    <w:rsid w:val="00F04218"/>
    <w:rsid w:val="00F0531E"/>
    <w:rsid w:val="00F066F9"/>
    <w:rsid w:val="00F0707F"/>
    <w:rsid w:val="00F1188C"/>
    <w:rsid w:val="00F1202C"/>
    <w:rsid w:val="00F1279A"/>
    <w:rsid w:val="00F12EE1"/>
    <w:rsid w:val="00F134B3"/>
    <w:rsid w:val="00F13BE7"/>
    <w:rsid w:val="00F144C8"/>
    <w:rsid w:val="00F15443"/>
    <w:rsid w:val="00F15866"/>
    <w:rsid w:val="00F159B0"/>
    <w:rsid w:val="00F16DF3"/>
    <w:rsid w:val="00F208F9"/>
    <w:rsid w:val="00F20958"/>
    <w:rsid w:val="00F22218"/>
    <w:rsid w:val="00F23E3D"/>
    <w:rsid w:val="00F246B1"/>
    <w:rsid w:val="00F2756C"/>
    <w:rsid w:val="00F304A0"/>
    <w:rsid w:val="00F3219F"/>
    <w:rsid w:val="00F32A54"/>
    <w:rsid w:val="00F36270"/>
    <w:rsid w:val="00F40C7C"/>
    <w:rsid w:val="00F429A8"/>
    <w:rsid w:val="00F46DF4"/>
    <w:rsid w:val="00F473FB"/>
    <w:rsid w:val="00F475F7"/>
    <w:rsid w:val="00F47893"/>
    <w:rsid w:val="00F47BB6"/>
    <w:rsid w:val="00F47D74"/>
    <w:rsid w:val="00F51CB2"/>
    <w:rsid w:val="00F52B2F"/>
    <w:rsid w:val="00F5376C"/>
    <w:rsid w:val="00F548B5"/>
    <w:rsid w:val="00F55523"/>
    <w:rsid w:val="00F55D3D"/>
    <w:rsid w:val="00F562EB"/>
    <w:rsid w:val="00F57CD1"/>
    <w:rsid w:val="00F57EAF"/>
    <w:rsid w:val="00F60795"/>
    <w:rsid w:val="00F62B1E"/>
    <w:rsid w:val="00F631F9"/>
    <w:rsid w:val="00F655D5"/>
    <w:rsid w:val="00F67ACC"/>
    <w:rsid w:val="00F70414"/>
    <w:rsid w:val="00F74BBC"/>
    <w:rsid w:val="00F74CD5"/>
    <w:rsid w:val="00F753D3"/>
    <w:rsid w:val="00F767AF"/>
    <w:rsid w:val="00F7698C"/>
    <w:rsid w:val="00F77A96"/>
    <w:rsid w:val="00F77C99"/>
    <w:rsid w:val="00F80245"/>
    <w:rsid w:val="00F80958"/>
    <w:rsid w:val="00F83705"/>
    <w:rsid w:val="00F83A44"/>
    <w:rsid w:val="00F83DF4"/>
    <w:rsid w:val="00F83F06"/>
    <w:rsid w:val="00F87BF0"/>
    <w:rsid w:val="00F87EB7"/>
    <w:rsid w:val="00F91640"/>
    <w:rsid w:val="00F92714"/>
    <w:rsid w:val="00F93203"/>
    <w:rsid w:val="00F936A3"/>
    <w:rsid w:val="00F94308"/>
    <w:rsid w:val="00F94B99"/>
    <w:rsid w:val="00F94DE5"/>
    <w:rsid w:val="00F9600C"/>
    <w:rsid w:val="00FA02A1"/>
    <w:rsid w:val="00FA08C4"/>
    <w:rsid w:val="00FA1D61"/>
    <w:rsid w:val="00FA26C1"/>
    <w:rsid w:val="00FA59D1"/>
    <w:rsid w:val="00FA5E32"/>
    <w:rsid w:val="00FA6CE9"/>
    <w:rsid w:val="00FA7690"/>
    <w:rsid w:val="00FA794D"/>
    <w:rsid w:val="00FB028A"/>
    <w:rsid w:val="00FB6A0D"/>
    <w:rsid w:val="00FB7BBE"/>
    <w:rsid w:val="00FC04F8"/>
    <w:rsid w:val="00FC0F3F"/>
    <w:rsid w:val="00FC231C"/>
    <w:rsid w:val="00FC284F"/>
    <w:rsid w:val="00FC4206"/>
    <w:rsid w:val="00FC4954"/>
    <w:rsid w:val="00FC7303"/>
    <w:rsid w:val="00FD0E6B"/>
    <w:rsid w:val="00FD0FFD"/>
    <w:rsid w:val="00FD1B98"/>
    <w:rsid w:val="00FD2BAB"/>
    <w:rsid w:val="00FD4E4B"/>
    <w:rsid w:val="00FE069D"/>
    <w:rsid w:val="00FE17AA"/>
    <w:rsid w:val="00FE2044"/>
    <w:rsid w:val="00FE41D2"/>
    <w:rsid w:val="00FE61B1"/>
    <w:rsid w:val="00FE66BC"/>
    <w:rsid w:val="00FE6A56"/>
    <w:rsid w:val="00FE782E"/>
    <w:rsid w:val="00FE7A1D"/>
    <w:rsid w:val="00FE7C3F"/>
    <w:rsid w:val="00FE7D39"/>
    <w:rsid w:val="00FF0088"/>
    <w:rsid w:val="00FF058C"/>
    <w:rsid w:val="00FF3758"/>
    <w:rsid w:val="00FF3E23"/>
    <w:rsid w:val="00FF3F69"/>
    <w:rsid w:val="00FF42EC"/>
    <w:rsid w:val="00FF4746"/>
    <w:rsid w:val="00FF5B7C"/>
    <w:rsid w:val="00FF60C4"/>
    <w:rsid w:val="00FF7BB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69B1C7C"/>
  <w15:docId w15:val="{3B6F03E8-E1F8-4BB4-B94D-718887B55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A3DCA"/>
    <w:pPr>
      <w:jc w:val="both"/>
    </w:pPr>
    <w:rPr>
      <w:rFonts w:ascii="Arial" w:hAnsi="Arial"/>
      <w:sz w:val="22"/>
      <w:lang w:eastAsia="en-US"/>
    </w:rPr>
  </w:style>
  <w:style w:type="paragraph" w:styleId="Heading1">
    <w:name w:val="heading 1"/>
    <w:basedOn w:val="Normal"/>
    <w:next w:val="Normal"/>
    <w:qFormat/>
    <w:rsid w:val="00901694"/>
    <w:pPr>
      <w:keepNext/>
      <w:numPr>
        <w:numId w:val="9"/>
      </w:numPr>
      <w:spacing w:after="240"/>
      <w:jc w:val="center"/>
      <w:outlineLvl w:val="0"/>
    </w:pPr>
    <w:rPr>
      <w:b/>
      <w:caps/>
      <w:kern w:val="28"/>
    </w:rPr>
  </w:style>
  <w:style w:type="paragraph" w:styleId="Heading2">
    <w:name w:val="heading 2"/>
    <w:basedOn w:val="Normal"/>
    <w:next w:val="Normal"/>
    <w:qFormat/>
    <w:rsid w:val="00901694"/>
    <w:pPr>
      <w:keepNext/>
      <w:numPr>
        <w:ilvl w:val="1"/>
        <w:numId w:val="9"/>
      </w:numPr>
      <w:spacing w:after="240"/>
      <w:outlineLvl w:val="1"/>
    </w:pPr>
    <w:rPr>
      <w:b/>
    </w:rPr>
  </w:style>
  <w:style w:type="paragraph" w:styleId="Heading3">
    <w:name w:val="heading 3"/>
    <w:basedOn w:val="Normal"/>
    <w:next w:val="Normal"/>
    <w:qFormat/>
    <w:rsid w:val="00901694"/>
    <w:pPr>
      <w:keepNext/>
      <w:numPr>
        <w:ilvl w:val="2"/>
        <w:numId w:val="9"/>
      </w:numPr>
      <w:spacing w:after="240"/>
      <w:outlineLvl w:val="2"/>
    </w:pPr>
    <w:rPr>
      <w:b/>
    </w:rPr>
  </w:style>
  <w:style w:type="paragraph" w:styleId="Heading4">
    <w:name w:val="heading 4"/>
    <w:basedOn w:val="Normal"/>
    <w:next w:val="Normal"/>
    <w:qFormat/>
    <w:rsid w:val="00901694"/>
    <w:pPr>
      <w:keepNext/>
      <w:numPr>
        <w:ilvl w:val="3"/>
        <w:numId w:val="9"/>
      </w:numPr>
      <w:spacing w:after="240"/>
      <w:jc w:val="left"/>
      <w:outlineLvl w:val="3"/>
    </w:pPr>
    <w:rPr>
      <w:b/>
    </w:rPr>
  </w:style>
  <w:style w:type="paragraph" w:styleId="Heading5">
    <w:name w:val="heading 5"/>
    <w:basedOn w:val="Normal"/>
    <w:next w:val="Normal"/>
    <w:qFormat/>
    <w:rsid w:val="00901694"/>
    <w:pPr>
      <w:numPr>
        <w:ilvl w:val="4"/>
        <w:numId w:val="9"/>
      </w:numPr>
      <w:spacing w:after="240"/>
      <w:outlineLvl w:val="4"/>
    </w:pPr>
    <w:rPr>
      <w:b/>
    </w:rPr>
  </w:style>
  <w:style w:type="paragraph" w:styleId="Heading6">
    <w:name w:val="heading 6"/>
    <w:basedOn w:val="Normal"/>
    <w:next w:val="Normal"/>
    <w:qFormat/>
    <w:rsid w:val="00901694"/>
    <w:pPr>
      <w:numPr>
        <w:ilvl w:val="5"/>
        <w:numId w:val="9"/>
      </w:numPr>
      <w:spacing w:before="240" w:after="60"/>
      <w:outlineLvl w:val="5"/>
    </w:pPr>
    <w:rPr>
      <w:i/>
    </w:rPr>
  </w:style>
  <w:style w:type="paragraph" w:styleId="Heading7">
    <w:name w:val="heading 7"/>
    <w:basedOn w:val="Normal"/>
    <w:next w:val="Normal"/>
    <w:qFormat/>
    <w:rsid w:val="00901694"/>
    <w:pPr>
      <w:numPr>
        <w:ilvl w:val="6"/>
        <w:numId w:val="9"/>
      </w:numPr>
      <w:spacing w:before="240" w:after="60"/>
      <w:outlineLvl w:val="6"/>
    </w:pPr>
    <w:rPr>
      <w:sz w:val="20"/>
    </w:rPr>
  </w:style>
  <w:style w:type="paragraph" w:styleId="Heading8">
    <w:name w:val="heading 8"/>
    <w:basedOn w:val="Normal"/>
    <w:next w:val="Normal"/>
    <w:qFormat/>
    <w:rsid w:val="00901694"/>
    <w:pPr>
      <w:numPr>
        <w:ilvl w:val="7"/>
        <w:numId w:val="9"/>
      </w:numPr>
      <w:spacing w:before="240" w:after="60"/>
      <w:outlineLvl w:val="7"/>
    </w:pPr>
    <w:rPr>
      <w:i/>
      <w:sz w:val="20"/>
    </w:rPr>
  </w:style>
  <w:style w:type="paragraph" w:styleId="Heading9">
    <w:name w:val="heading 9"/>
    <w:basedOn w:val="Normal"/>
    <w:next w:val="Normal"/>
    <w:qFormat/>
    <w:rsid w:val="00901694"/>
    <w:pPr>
      <w:numPr>
        <w:ilvl w:val="8"/>
        <w:numId w:val="9"/>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A7972"/>
    <w:rPr>
      <w:b/>
    </w:rPr>
  </w:style>
  <w:style w:type="paragraph" w:styleId="BodyText2">
    <w:name w:val="Body Text 2"/>
    <w:basedOn w:val="Normal"/>
    <w:rsid w:val="009A7972"/>
    <w:rPr>
      <w:rFonts w:ascii="Helv" w:hAnsi="Helv"/>
      <w:snapToGrid w:val="0"/>
      <w:color w:val="000000"/>
    </w:rPr>
  </w:style>
  <w:style w:type="paragraph" w:styleId="BodyText3">
    <w:name w:val="Body Text 3"/>
    <w:basedOn w:val="Normal"/>
    <w:rsid w:val="009A7972"/>
    <w:rPr>
      <w:b/>
      <w:color w:val="0000FF"/>
    </w:rPr>
  </w:style>
  <w:style w:type="paragraph" w:styleId="BodyTextIndent">
    <w:name w:val="Body Text Indent"/>
    <w:basedOn w:val="Normal"/>
    <w:rsid w:val="009A7972"/>
    <w:rPr>
      <w:color w:val="FF0000"/>
    </w:rPr>
  </w:style>
  <w:style w:type="paragraph" w:styleId="BodyTextIndent2">
    <w:name w:val="Body Text Indent 2"/>
    <w:basedOn w:val="Normal"/>
    <w:rsid w:val="009A7972"/>
    <w:pPr>
      <w:ind w:left="-360"/>
    </w:pPr>
    <w:rPr>
      <w:color w:val="FF0000"/>
    </w:rPr>
  </w:style>
  <w:style w:type="paragraph" w:customStyle="1" w:styleId="Caption1">
    <w:name w:val="Caption1"/>
    <w:basedOn w:val="Normal"/>
    <w:next w:val="Normal"/>
    <w:rsid w:val="009A7972"/>
    <w:pPr>
      <w:jc w:val="left"/>
    </w:pPr>
    <w:rPr>
      <w:sz w:val="24"/>
    </w:rPr>
  </w:style>
  <w:style w:type="paragraph" w:styleId="Caption">
    <w:name w:val="caption"/>
    <w:aliases w:val="Tabelhoofdkop"/>
    <w:basedOn w:val="Normal"/>
    <w:next w:val="Normal"/>
    <w:qFormat/>
    <w:rsid w:val="009A7972"/>
    <w:pPr>
      <w:jc w:val="left"/>
    </w:pPr>
    <w:rPr>
      <w:sz w:val="24"/>
    </w:rPr>
  </w:style>
  <w:style w:type="paragraph" w:customStyle="1" w:styleId="Document1">
    <w:name w:val="Document 1"/>
    <w:rsid w:val="009A7972"/>
    <w:pPr>
      <w:keepNext/>
      <w:keepLines/>
      <w:tabs>
        <w:tab w:val="left" w:pos="-720"/>
      </w:tabs>
    </w:pPr>
    <w:rPr>
      <w:rFonts w:ascii="Swiss 721 Roman" w:hAnsi="Swiss 721 Roman"/>
      <w:sz w:val="18"/>
      <w:lang w:eastAsia="en-US"/>
    </w:rPr>
  </w:style>
  <w:style w:type="character" w:styleId="EndnoteReference">
    <w:name w:val="endnote reference"/>
    <w:basedOn w:val="DefaultParagraphFont"/>
    <w:semiHidden/>
    <w:rsid w:val="009A7972"/>
    <w:rPr>
      <w:vertAlign w:val="superscript"/>
    </w:rPr>
  </w:style>
  <w:style w:type="paragraph" w:customStyle="1" w:styleId="EndnoteText1">
    <w:name w:val="Endnote Text1"/>
    <w:basedOn w:val="Normal"/>
    <w:rsid w:val="009A7972"/>
    <w:pPr>
      <w:jc w:val="left"/>
    </w:pPr>
    <w:rPr>
      <w:sz w:val="24"/>
    </w:rPr>
  </w:style>
  <w:style w:type="paragraph" w:styleId="EndnoteText">
    <w:name w:val="endnote text"/>
    <w:basedOn w:val="Normal"/>
    <w:semiHidden/>
    <w:rsid w:val="009A7972"/>
    <w:rPr>
      <w:sz w:val="20"/>
    </w:rPr>
  </w:style>
  <w:style w:type="paragraph" w:styleId="Footer">
    <w:name w:val="footer"/>
    <w:basedOn w:val="Normal"/>
    <w:rsid w:val="009A7972"/>
    <w:pPr>
      <w:tabs>
        <w:tab w:val="center" w:pos="4320"/>
        <w:tab w:val="right" w:pos="8640"/>
      </w:tabs>
    </w:pPr>
  </w:style>
  <w:style w:type="character" w:styleId="FootnoteReference">
    <w:name w:val="footnote reference"/>
    <w:basedOn w:val="DefaultParagraphFont"/>
    <w:semiHidden/>
    <w:rsid w:val="009A7972"/>
    <w:rPr>
      <w:vertAlign w:val="superscript"/>
    </w:rPr>
  </w:style>
  <w:style w:type="paragraph" w:styleId="FootnoteText">
    <w:name w:val="footnote text"/>
    <w:basedOn w:val="Normal"/>
    <w:semiHidden/>
    <w:rsid w:val="009A7972"/>
    <w:pPr>
      <w:ind w:left="187" w:hanging="187"/>
    </w:pPr>
    <w:rPr>
      <w:color w:val="000000"/>
      <w:sz w:val="18"/>
    </w:rPr>
  </w:style>
  <w:style w:type="paragraph" w:styleId="Header">
    <w:name w:val="header"/>
    <w:basedOn w:val="Normal"/>
    <w:link w:val="HeaderChar"/>
    <w:uiPriority w:val="99"/>
    <w:rsid w:val="009A7972"/>
    <w:pPr>
      <w:tabs>
        <w:tab w:val="center" w:pos="4320"/>
        <w:tab w:val="right" w:pos="8640"/>
      </w:tabs>
      <w:jc w:val="center"/>
    </w:pPr>
  </w:style>
  <w:style w:type="character" w:customStyle="1" w:styleId="MajorHeadin">
    <w:name w:val="Major Headin"/>
    <w:basedOn w:val="DefaultParagraphFont"/>
    <w:rsid w:val="009A7972"/>
  </w:style>
  <w:style w:type="character" w:styleId="PageNumber">
    <w:name w:val="page number"/>
    <w:basedOn w:val="DefaultParagraphFont"/>
    <w:rsid w:val="009A7972"/>
  </w:style>
  <w:style w:type="paragraph" w:customStyle="1" w:styleId="para">
    <w:name w:val="para"/>
    <w:rsid w:val="009A7972"/>
    <w:pPr>
      <w:jc w:val="both"/>
    </w:pPr>
    <w:rPr>
      <w:rFonts w:ascii="Arial" w:hAnsi="Arial"/>
      <w:sz w:val="22"/>
      <w:lang w:eastAsia="en-US"/>
    </w:rPr>
  </w:style>
  <w:style w:type="paragraph" w:customStyle="1" w:styleId="PPAR1">
    <w:name w:val="PPAR1"/>
    <w:basedOn w:val="Normal"/>
    <w:rsid w:val="009A7972"/>
    <w:pPr>
      <w:keepNext/>
      <w:spacing w:before="120" w:after="120"/>
      <w:jc w:val="center"/>
    </w:pPr>
    <w:rPr>
      <w:b/>
      <w:caps/>
    </w:rPr>
  </w:style>
  <w:style w:type="paragraph" w:customStyle="1" w:styleId="RightPar1">
    <w:name w:val="Right Par 1"/>
    <w:rsid w:val="009A7972"/>
    <w:pPr>
      <w:tabs>
        <w:tab w:val="left" w:pos="-720"/>
        <w:tab w:val="left" w:pos="0"/>
        <w:tab w:val="decimal" w:pos="720"/>
      </w:tabs>
      <w:ind w:left="720"/>
    </w:pPr>
    <w:rPr>
      <w:rFonts w:ascii="Swiss 721 Roman" w:hAnsi="Swiss 721 Roman"/>
      <w:sz w:val="18"/>
      <w:lang w:eastAsia="en-US"/>
    </w:rPr>
  </w:style>
  <w:style w:type="paragraph" w:customStyle="1" w:styleId="RightPar2">
    <w:name w:val="Right Par 2"/>
    <w:rsid w:val="009A7972"/>
    <w:pPr>
      <w:tabs>
        <w:tab w:val="left" w:pos="-720"/>
        <w:tab w:val="left" w:pos="0"/>
        <w:tab w:val="left" w:pos="720"/>
        <w:tab w:val="decimal" w:pos="1440"/>
      </w:tabs>
      <w:ind w:left="1440"/>
    </w:pPr>
    <w:rPr>
      <w:rFonts w:ascii="Swiss 721 Roman" w:hAnsi="Swiss 721 Roman"/>
      <w:sz w:val="18"/>
      <w:lang w:eastAsia="en-US"/>
    </w:rPr>
  </w:style>
  <w:style w:type="paragraph" w:customStyle="1" w:styleId="RightPar3">
    <w:name w:val="Right Par 3"/>
    <w:rsid w:val="009A7972"/>
    <w:pPr>
      <w:tabs>
        <w:tab w:val="left" w:pos="-720"/>
        <w:tab w:val="left" w:pos="0"/>
        <w:tab w:val="left" w:pos="720"/>
        <w:tab w:val="left" w:pos="1440"/>
        <w:tab w:val="decimal" w:pos="2160"/>
      </w:tabs>
      <w:ind w:left="2160"/>
    </w:pPr>
    <w:rPr>
      <w:rFonts w:ascii="Swiss 721 Roman" w:hAnsi="Swiss 721 Roman"/>
      <w:sz w:val="18"/>
      <w:lang w:eastAsia="en-US"/>
    </w:rPr>
  </w:style>
  <w:style w:type="paragraph" w:customStyle="1" w:styleId="RightPar4">
    <w:name w:val="Right Par 4"/>
    <w:rsid w:val="009A7972"/>
    <w:pPr>
      <w:tabs>
        <w:tab w:val="left" w:pos="-720"/>
        <w:tab w:val="left" w:pos="0"/>
        <w:tab w:val="left" w:pos="720"/>
        <w:tab w:val="left" w:pos="1440"/>
        <w:tab w:val="left" w:pos="2160"/>
        <w:tab w:val="decimal" w:pos="2880"/>
      </w:tabs>
      <w:ind w:left="2880"/>
    </w:pPr>
    <w:rPr>
      <w:rFonts w:ascii="Swiss 721 Roman" w:hAnsi="Swiss 721 Roman"/>
      <w:sz w:val="18"/>
      <w:lang w:eastAsia="en-US"/>
    </w:rPr>
  </w:style>
  <w:style w:type="paragraph" w:customStyle="1" w:styleId="RightPar5">
    <w:name w:val="Right Par 5"/>
    <w:rsid w:val="009A7972"/>
    <w:pPr>
      <w:tabs>
        <w:tab w:val="left" w:pos="-720"/>
        <w:tab w:val="left" w:pos="0"/>
        <w:tab w:val="left" w:pos="720"/>
        <w:tab w:val="left" w:pos="1440"/>
        <w:tab w:val="left" w:pos="2160"/>
        <w:tab w:val="left" w:pos="2880"/>
        <w:tab w:val="decimal" w:pos="3600"/>
      </w:tabs>
      <w:ind w:left="3600"/>
    </w:pPr>
    <w:rPr>
      <w:rFonts w:ascii="Swiss 721 Roman" w:hAnsi="Swiss 721 Roman"/>
      <w:sz w:val="18"/>
      <w:lang w:eastAsia="en-US"/>
    </w:rPr>
  </w:style>
  <w:style w:type="paragraph" w:customStyle="1" w:styleId="RightPar6">
    <w:name w:val="Right Par 6"/>
    <w:rsid w:val="009A7972"/>
    <w:pPr>
      <w:tabs>
        <w:tab w:val="left" w:pos="-720"/>
        <w:tab w:val="left" w:pos="0"/>
        <w:tab w:val="left" w:pos="720"/>
        <w:tab w:val="left" w:pos="1440"/>
        <w:tab w:val="left" w:pos="2160"/>
        <w:tab w:val="left" w:pos="2880"/>
        <w:tab w:val="left" w:pos="3600"/>
        <w:tab w:val="decimal" w:pos="4320"/>
      </w:tabs>
      <w:ind w:left="4320"/>
    </w:pPr>
    <w:rPr>
      <w:rFonts w:ascii="Swiss 721 Roman" w:hAnsi="Swiss 721 Roman"/>
      <w:sz w:val="18"/>
      <w:lang w:eastAsia="en-US"/>
    </w:rPr>
  </w:style>
  <w:style w:type="paragraph" w:customStyle="1" w:styleId="RightPar7">
    <w:name w:val="Right Par 7"/>
    <w:rsid w:val="009A7972"/>
    <w:pPr>
      <w:tabs>
        <w:tab w:val="left" w:pos="-720"/>
        <w:tab w:val="left" w:pos="0"/>
        <w:tab w:val="left" w:pos="720"/>
        <w:tab w:val="left" w:pos="1440"/>
        <w:tab w:val="left" w:pos="2160"/>
        <w:tab w:val="left" w:pos="2880"/>
        <w:tab w:val="left" w:pos="3600"/>
        <w:tab w:val="left" w:pos="4320"/>
        <w:tab w:val="decimal" w:pos="5040"/>
      </w:tabs>
      <w:ind w:left="5040"/>
    </w:pPr>
    <w:rPr>
      <w:rFonts w:ascii="Swiss 721 Roman" w:hAnsi="Swiss 721 Roman"/>
      <w:sz w:val="18"/>
      <w:lang w:eastAsia="en-US"/>
    </w:rPr>
  </w:style>
  <w:style w:type="paragraph" w:customStyle="1" w:styleId="RightPar8">
    <w:name w:val="Right Par 8"/>
    <w:rsid w:val="009A7972"/>
    <w:pPr>
      <w:tabs>
        <w:tab w:val="left" w:pos="-720"/>
        <w:tab w:val="left" w:pos="0"/>
        <w:tab w:val="left" w:pos="720"/>
        <w:tab w:val="left" w:pos="1440"/>
        <w:tab w:val="left" w:pos="2160"/>
        <w:tab w:val="left" w:pos="2880"/>
        <w:tab w:val="left" w:pos="3600"/>
        <w:tab w:val="left" w:pos="4320"/>
        <w:tab w:val="left" w:pos="5040"/>
        <w:tab w:val="decimal" w:pos="5760"/>
      </w:tabs>
      <w:ind w:left="5760"/>
    </w:pPr>
    <w:rPr>
      <w:rFonts w:ascii="Swiss 721 Roman" w:hAnsi="Swiss 721 Roman"/>
      <w:sz w:val="18"/>
      <w:lang w:eastAsia="en-US"/>
    </w:rPr>
  </w:style>
  <w:style w:type="paragraph" w:customStyle="1" w:styleId="TA">
    <w:name w:val="TA"/>
    <w:rsid w:val="009A7972"/>
    <w:pPr>
      <w:jc w:val="both"/>
    </w:pPr>
    <w:rPr>
      <w:rFonts w:ascii="Arial" w:hAnsi="Arial"/>
      <w:sz w:val="22"/>
      <w:lang w:eastAsia="en-US"/>
    </w:rPr>
  </w:style>
  <w:style w:type="paragraph" w:customStyle="1" w:styleId="ta0">
    <w:name w:val="ta"/>
    <w:rsid w:val="009A7972"/>
    <w:pPr>
      <w:jc w:val="both"/>
    </w:pPr>
    <w:rPr>
      <w:rFonts w:ascii="Arial" w:hAnsi="Arial"/>
      <w:sz w:val="22"/>
      <w:lang w:eastAsia="en-US"/>
    </w:rPr>
  </w:style>
  <w:style w:type="paragraph" w:customStyle="1" w:styleId="TA1">
    <w:name w:val="TA1"/>
    <w:rsid w:val="009A7972"/>
    <w:pPr>
      <w:jc w:val="both"/>
    </w:pPr>
    <w:rPr>
      <w:rFonts w:ascii="Arial" w:hAnsi="Arial"/>
      <w:sz w:val="22"/>
      <w:lang w:eastAsia="en-US"/>
    </w:rPr>
  </w:style>
  <w:style w:type="paragraph" w:customStyle="1" w:styleId="Technical4">
    <w:name w:val="Technical 4"/>
    <w:rsid w:val="009A7972"/>
    <w:pPr>
      <w:tabs>
        <w:tab w:val="left" w:pos="-720"/>
      </w:tabs>
    </w:pPr>
    <w:rPr>
      <w:rFonts w:ascii="Swiss 721 Roman" w:hAnsi="Swiss 721 Roman"/>
      <w:b/>
      <w:sz w:val="18"/>
      <w:lang w:eastAsia="en-US"/>
    </w:rPr>
  </w:style>
  <w:style w:type="paragraph" w:customStyle="1" w:styleId="Technical5">
    <w:name w:val="Technical 5"/>
    <w:rsid w:val="009A7972"/>
    <w:pPr>
      <w:tabs>
        <w:tab w:val="left" w:pos="-720"/>
      </w:tabs>
      <w:ind w:firstLine="720"/>
    </w:pPr>
    <w:rPr>
      <w:rFonts w:ascii="Swiss 721 Roman" w:hAnsi="Swiss 721 Roman"/>
      <w:b/>
      <w:sz w:val="18"/>
      <w:lang w:eastAsia="en-US"/>
    </w:rPr>
  </w:style>
  <w:style w:type="paragraph" w:customStyle="1" w:styleId="Technical6">
    <w:name w:val="Technical 6"/>
    <w:rsid w:val="009A7972"/>
    <w:pPr>
      <w:tabs>
        <w:tab w:val="left" w:pos="-720"/>
      </w:tabs>
      <w:ind w:firstLine="720"/>
    </w:pPr>
    <w:rPr>
      <w:rFonts w:ascii="Swiss 721 Roman" w:hAnsi="Swiss 721 Roman"/>
      <w:b/>
      <w:sz w:val="18"/>
      <w:lang w:eastAsia="en-US"/>
    </w:rPr>
  </w:style>
  <w:style w:type="paragraph" w:customStyle="1" w:styleId="Technical7">
    <w:name w:val="Technical 7"/>
    <w:rsid w:val="009A7972"/>
    <w:pPr>
      <w:tabs>
        <w:tab w:val="left" w:pos="-720"/>
      </w:tabs>
      <w:ind w:firstLine="720"/>
    </w:pPr>
    <w:rPr>
      <w:rFonts w:ascii="Swiss 721 Roman" w:hAnsi="Swiss 721 Roman"/>
      <w:b/>
      <w:sz w:val="18"/>
      <w:lang w:eastAsia="en-US"/>
    </w:rPr>
  </w:style>
  <w:style w:type="paragraph" w:customStyle="1" w:styleId="Technical8">
    <w:name w:val="Technical 8"/>
    <w:rsid w:val="009A7972"/>
    <w:pPr>
      <w:tabs>
        <w:tab w:val="left" w:pos="-720"/>
      </w:tabs>
      <w:ind w:firstLine="720"/>
    </w:pPr>
    <w:rPr>
      <w:rFonts w:ascii="Swiss 721 Roman" w:hAnsi="Swiss 721 Roman"/>
      <w:b/>
      <w:sz w:val="18"/>
      <w:lang w:eastAsia="en-US"/>
    </w:rPr>
  </w:style>
  <w:style w:type="paragraph" w:styleId="Title">
    <w:name w:val="Title"/>
    <w:basedOn w:val="Normal"/>
    <w:qFormat/>
    <w:rsid w:val="009A7972"/>
    <w:pPr>
      <w:jc w:val="center"/>
    </w:pPr>
    <w:rPr>
      <w:rFonts w:ascii="Times New Roman" w:hAnsi="Times New Roman"/>
      <w:b/>
      <w:color w:val="0000FF"/>
      <w:sz w:val="34"/>
    </w:rPr>
  </w:style>
  <w:style w:type="paragraph" w:customStyle="1" w:styleId="TOAHeading1">
    <w:name w:val="TOA Heading1"/>
    <w:basedOn w:val="Normal"/>
    <w:next w:val="Normal"/>
    <w:rsid w:val="009A7972"/>
    <w:pPr>
      <w:tabs>
        <w:tab w:val="right" w:pos="9360"/>
      </w:tabs>
      <w:jc w:val="left"/>
    </w:pPr>
  </w:style>
  <w:style w:type="paragraph" w:styleId="TOAHeading">
    <w:name w:val="toa heading"/>
    <w:basedOn w:val="Normal"/>
    <w:next w:val="Normal"/>
    <w:semiHidden/>
    <w:rsid w:val="009A7972"/>
    <w:pPr>
      <w:tabs>
        <w:tab w:val="right" w:pos="9360"/>
      </w:tabs>
      <w:jc w:val="left"/>
    </w:pPr>
  </w:style>
  <w:style w:type="paragraph" w:styleId="TOC1">
    <w:name w:val="toc 1"/>
    <w:basedOn w:val="Normal"/>
    <w:next w:val="Normal"/>
    <w:autoRedefine/>
    <w:semiHidden/>
    <w:rsid w:val="009A7972"/>
    <w:pPr>
      <w:tabs>
        <w:tab w:val="left" w:pos="720"/>
        <w:tab w:val="right" w:pos="9360"/>
      </w:tabs>
      <w:spacing w:before="120" w:after="60"/>
      <w:jc w:val="left"/>
    </w:pPr>
    <w:rPr>
      <w:caps/>
      <w:noProof/>
    </w:rPr>
  </w:style>
  <w:style w:type="paragraph" w:styleId="TOC2">
    <w:name w:val="toc 2"/>
    <w:basedOn w:val="Normal"/>
    <w:next w:val="Normal"/>
    <w:autoRedefine/>
    <w:semiHidden/>
    <w:rsid w:val="009A7972"/>
    <w:pPr>
      <w:tabs>
        <w:tab w:val="left" w:pos="720"/>
        <w:tab w:val="left" w:pos="1440"/>
        <w:tab w:val="right" w:pos="9360"/>
      </w:tabs>
      <w:ind w:left="720"/>
      <w:jc w:val="left"/>
    </w:pPr>
    <w:rPr>
      <w:noProof/>
      <w:color w:val="000000"/>
    </w:rPr>
  </w:style>
  <w:style w:type="paragraph" w:styleId="TOC3">
    <w:name w:val="toc 3"/>
    <w:basedOn w:val="Normal"/>
    <w:next w:val="Normal"/>
    <w:semiHidden/>
    <w:rsid w:val="009A7972"/>
    <w:pPr>
      <w:tabs>
        <w:tab w:val="right" w:pos="9360"/>
      </w:tabs>
      <w:ind w:left="440"/>
      <w:jc w:val="left"/>
    </w:pPr>
    <w:rPr>
      <w:rFonts w:ascii="Times New Roman" w:hAnsi="Times New Roman"/>
      <w:sz w:val="20"/>
    </w:rPr>
  </w:style>
  <w:style w:type="paragraph" w:styleId="TOC4">
    <w:name w:val="toc 4"/>
    <w:basedOn w:val="Normal"/>
    <w:next w:val="Normal"/>
    <w:semiHidden/>
    <w:rsid w:val="009A7972"/>
    <w:pPr>
      <w:tabs>
        <w:tab w:val="right" w:pos="9360"/>
      </w:tabs>
      <w:ind w:left="660"/>
      <w:jc w:val="left"/>
    </w:pPr>
    <w:rPr>
      <w:rFonts w:ascii="Times New Roman" w:hAnsi="Times New Roman"/>
      <w:sz w:val="20"/>
    </w:rPr>
  </w:style>
  <w:style w:type="paragraph" w:styleId="TOC5">
    <w:name w:val="toc 5"/>
    <w:basedOn w:val="Normal"/>
    <w:next w:val="Normal"/>
    <w:semiHidden/>
    <w:rsid w:val="009A7972"/>
    <w:pPr>
      <w:tabs>
        <w:tab w:val="right" w:pos="9360"/>
      </w:tabs>
      <w:ind w:left="880"/>
      <w:jc w:val="left"/>
    </w:pPr>
    <w:rPr>
      <w:rFonts w:ascii="Times New Roman" w:hAnsi="Times New Roman"/>
      <w:sz w:val="20"/>
    </w:rPr>
  </w:style>
  <w:style w:type="paragraph" w:styleId="TOC6">
    <w:name w:val="toc 6"/>
    <w:basedOn w:val="Normal"/>
    <w:next w:val="Normal"/>
    <w:semiHidden/>
    <w:rsid w:val="009A7972"/>
    <w:pPr>
      <w:tabs>
        <w:tab w:val="right" w:pos="9360"/>
      </w:tabs>
      <w:ind w:left="1100"/>
      <w:jc w:val="left"/>
    </w:pPr>
    <w:rPr>
      <w:rFonts w:ascii="Times New Roman" w:hAnsi="Times New Roman"/>
      <w:sz w:val="20"/>
    </w:rPr>
  </w:style>
  <w:style w:type="paragraph" w:styleId="TOC7">
    <w:name w:val="toc 7"/>
    <w:basedOn w:val="Normal"/>
    <w:next w:val="Normal"/>
    <w:semiHidden/>
    <w:rsid w:val="009A7972"/>
    <w:pPr>
      <w:tabs>
        <w:tab w:val="right" w:pos="9360"/>
      </w:tabs>
      <w:ind w:left="1320"/>
      <w:jc w:val="left"/>
    </w:pPr>
    <w:rPr>
      <w:rFonts w:ascii="Times New Roman" w:hAnsi="Times New Roman"/>
      <w:sz w:val="20"/>
    </w:rPr>
  </w:style>
  <w:style w:type="paragraph" w:styleId="TOC8">
    <w:name w:val="toc 8"/>
    <w:basedOn w:val="Normal"/>
    <w:next w:val="Normal"/>
    <w:semiHidden/>
    <w:rsid w:val="009A7972"/>
    <w:pPr>
      <w:tabs>
        <w:tab w:val="right" w:pos="9360"/>
      </w:tabs>
      <w:ind w:left="1540"/>
      <w:jc w:val="left"/>
    </w:pPr>
    <w:rPr>
      <w:rFonts w:ascii="Times New Roman" w:hAnsi="Times New Roman"/>
      <w:sz w:val="20"/>
    </w:rPr>
  </w:style>
  <w:style w:type="paragraph" w:styleId="TOC9">
    <w:name w:val="toc 9"/>
    <w:basedOn w:val="Normal"/>
    <w:next w:val="Normal"/>
    <w:semiHidden/>
    <w:rsid w:val="009A7972"/>
    <w:pPr>
      <w:tabs>
        <w:tab w:val="right" w:pos="9360"/>
      </w:tabs>
      <w:ind w:left="1760"/>
      <w:jc w:val="left"/>
    </w:pPr>
    <w:rPr>
      <w:rFonts w:ascii="Times New Roman" w:hAnsi="Times New Roman"/>
      <w:sz w:val="20"/>
    </w:rPr>
  </w:style>
  <w:style w:type="paragraph" w:customStyle="1" w:styleId="TOC91">
    <w:name w:val="TOC 91"/>
    <w:basedOn w:val="Normal"/>
    <w:next w:val="Normal"/>
    <w:rsid w:val="009A7972"/>
    <w:pPr>
      <w:tabs>
        <w:tab w:val="right" w:leader="dot" w:pos="9360"/>
      </w:tabs>
      <w:ind w:left="720" w:hanging="720"/>
      <w:jc w:val="left"/>
    </w:pPr>
  </w:style>
  <w:style w:type="table" w:styleId="TableGrid">
    <w:name w:val="Table Grid"/>
    <w:basedOn w:val="TableNormal"/>
    <w:rsid w:val="000D522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1202C"/>
    <w:rPr>
      <w:rFonts w:ascii="Tahoma" w:hAnsi="Tahoma" w:cs="Tahoma"/>
      <w:sz w:val="16"/>
      <w:szCs w:val="16"/>
    </w:rPr>
  </w:style>
  <w:style w:type="paragraph" w:styleId="CommentText">
    <w:name w:val="annotation text"/>
    <w:basedOn w:val="Normal"/>
    <w:semiHidden/>
    <w:rsid w:val="00D1703F"/>
    <w:rPr>
      <w:rFonts w:eastAsia="SimSun" w:cs="Arial"/>
      <w:sz w:val="20"/>
      <w:lang w:eastAsia="zh-CN"/>
    </w:rPr>
  </w:style>
  <w:style w:type="paragraph" w:customStyle="1" w:styleId="Default">
    <w:name w:val="Default"/>
    <w:rsid w:val="003D7CB8"/>
    <w:pPr>
      <w:autoSpaceDE w:val="0"/>
      <w:autoSpaceDN w:val="0"/>
      <w:adjustRightInd w:val="0"/>
    </w:pPr>
    <w:rPr>
      <w:rFonts w:eastAsia="MS Mincho"/>
      <w:color w:val="000000"/>
      <w:sz w:val="24"/>
      <w:szCs w:val="24"/>
      <w:lang w:eastAsia="ja-JP"/>
    </w:rPr>
  </w:style>
  <w:style w:type="character" w:styleId="CommentReference">
    <w:name w:val="annotation reference"/>
    <w:basedOn w:val="DefaultParagraphFont"/>
    <w:semiHidden/>
    <w:rsid w:val="00656445"/>
    <w:rPr>
      <w:sz w:val="16"/>
      <w:szCs w:val="16"/>
    </w:rPr>
  </w:style>
  <w:style w:type="character" w:styleId="Hyperlink">
    <w:name w:val="Hyperlink"/>
    <w:basedOn w:val="DefaultParagraphFont"/>
    <w:rsid w:val="00132992"/>
    <w:rPr>
      <w:color w:val="0000FF"/>
      <w:u w:val="single"/>
    </w:rPr>
  </w:style>
  <w:style w:type="paragraph" w:styleId="ListParagraph">
    <w:name w:val="List Paragraph"/>
    <w:basedOn w:val="Normal"/>
    <w:qFormat/>
    <w:rsid w:val="00371E01"/>
    <w:pPr>
      <w:spacing w:after="200" w:line="276" w:lineRule="auto"/>
      <w:ind w:left="720"/>
      <w:contextualSpacing/>
      <w:jc w:val="left"/>
    </w:pPr>
    <w:rPr>
      <w:rFonts w:ascii="Calibri" w:eastAsia="Calibri" w:hAnsi="Calibri"/>
      <w:szCs w:val="22"/>
      <w:lang w:val="en-CA"/>
    </w:rPr>
  </w:style>
  <w:style w:type="character" w:styleId="FollowedHyperlink">
    <w:name w:val="FollowedHyperlink"/>
    <w:basedOn w:val="DefaultParagraphFont"/>
    <w:rsid w:val="00076098"/>
    <w:rPr>
      <w:color w:val="800080" w:themeColor="followedHyperlink"/>
      <w:u w:val="single"/>
    </w:rPr>
  </w:style>
  <w:style w:type="character" w:customStyle="1" w:styleId="HeaderChar">
    <w:name w:val="Header Char"/>
    <w:basedOn w:val="DefaultParagraphFont"/>
    <w:link w:val="Header"/>
    <w:uiPriority w:val="99"/>
    <w:rsid w:val="00AF43E0"/>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47394">
      <w:bodyDiv w:val="1"/>
      <w:marLeft w:val="0"/>
      <w:marRight w:val="0"/>
      <w:marTop w:val="0"/>
      <w:marBottom w:val="0"/>
      <w:divBdr>
        <w:top w:val="none" w:sz="0" w:space="0" w:color="auto"/>
        <w:left w:val="none" w:sz="0" w:space="0" w:color="auto"/>
        <w:bottom w:val="none" w:sz="0" w:space="0" w:color="auto"/>
        <w:right w:val="none" w:sz="0" w:space="0" w:color="auto"/>
      </w:divBdr>
    </w:div>
    <w:div w:id="174004717">
      <w:bodyDiv w:val="1"/>
      <w:marLeft w:val="0"/>
      <w:marRight w:val="0"/>
      <w:marTop w:val="0"/>
      <w:marBottom w:val="0"/>
      <w:divBdr>
        <w:top w:val="none" w:sz="0" w:space="0" w:color="auto"/>
        <w:left w:val="none" w:sz="0" w:space="0" w:color="auto"/>
        <w:bottom w:val="none" w:sz="0" w:space="0" w:color="auto"/>
        <w:right w:val="none" w:sz="0" w:space="0" w:color="auto"/>
      </w:divBdr>
    </w:div>
    <w:div w:id="183324971">
      <w:bodyDiv w:val="1"/>
      <w:marLeft w:val="0"/>
      <w:marRight w:val="0"/>
      <w:marTop w:val="0"/>
      <w:marBottom w:val="0"/>
      <w:divBdr>
        <w:top w:val="none" w:sz="0" w:space="0" w:color="auto"/>
        <w:left w:val="none" w:sz="0" w:space="0" w:color="auto"/>
        <w:bottom w:val="none" w:sz="0" w:space="0" w:color="auto"/>
        <w:right w:val="none" w:sz="0" w:space="0" w:color="auto"/>
      </w:divBdr>
    </w:div>
    <w:div w:id="192770769">
      <w:bodyDiv w:val="1"/>
      <w:marLeft w:val="0"/>
      <w:marRight w:val="0"/>
      <w:marTop w:val="0"/>
      <w:marBottom w:val="0"/>
      <w:divBdr>
        <w:top w:val="none" w:sz="0" w:space="0" w:color="auto"/>
        <w:left w:val="none" w:sz="0" w:space="0" w:color="auto"/>
        <w:bottom w:val="none" w:sz="0" w:space="0" w:color="auto"/>
        <w:right w:val="none" w:sz="0" w:space="0" w:color="auto"/>
      </w:divBdr>
    </w:div>
    <w:div w:id="232666358">
      <w:bodyDiv w:val="1"/>
      <w:marLeft w:val="0"/>
      <w:marRight w:val="0"/>
      <w:marTop w:val="0"/>
      <w:marBottom w:val="0"/>
      <w:divBdr>
        <w:top w:val="none" w:sz="0" w:space="0" w:color="auto"/>
        <w:left w:val="none" w:sz="0" w:space="0" w:color="auto"/>
        <w:bottom w:val="none" w:sz="0" w:space="0" w:color="auto"/>
        <w:right w:val="none" w:sz="0" w:space="0" w:color="auto"/>
      </w:divBdr>
    </w:div>
    <w:div w:id="248469537">
      <w:bodyDiv w:val="1"/>
      <w:marLeft w:val="0"/>
      <w:marRight w:val="0"/>
      <w:marTop w:val="0"/>
      <w:marBottom w:val="0"/>
      <w:divBdr>
        <w:top w:val="none" w:sz="0" w:space="0" w:color="auto"/>
        <w:left w:val="none" w:sz="0" w:space="0" w:color="auto"/>
        <w:bottom w:val="none" w:sz="0" w:space="0" w:color="auto"/>
        <w:right w:val="none" w:sz="0" w:space="0" w:color="auto"/>
      </w:divBdr>
    </w:div>
    <w:div w:id="264382273">
      <w:bodyDiv w:val="1"/>
      <w:marLeft w:val="0"/>
      <w:marRight w:val="0"/>
      <w:marTop w:val="0"/>
      <w:marBottom w:val="0"/>
      <w:divBdr>
        <w:top w:val="none" w:sz="0" w:space="0" w:color="auto"/>
        <w:left w:val="none" w:sz="0" w:space="0" w:color="auto"/>
        <w:bottom w:val="none" w:sz="0" w:space="0" w:color="auto"/>
        <w:right w:val="none" w:sz="0" w:space="0" w:color="auto"/>
      </w:divBdr>
    </w:div>
    <w:div w:id="276448863">
      <w:bodyDiv w:val="1"/>
      <w:marLeft w:val="0"/>
      <w:marRight w:val="0"/>
      <w:marTop w:val="0"/>
      <w:marBottom w:val="0"/>
      <w:divBdr>
        <w:top w:val="none" w:sz="0" w:space="0" w:color="auto"/>
        <w:left w:val="none" w:sz="0" w:space="0" w:color="auto"/>
        <w:bottom w:val="none" w:sz="0" w:space="0" w:color="auto"/>
        <w:right w:val="none" w:sz="0" w:space="0" w:color="auto"/>
      </w:divBdr>
    </w:div>
    <w:div w:id="330136709">
      <w:bodyDiv w:val="1"/>
      <w:marLeft w:val="0"/>
      <w:marRight w:val="0"/>
      <w:marTop w:val="0"/>
      <w:marBottom w:val="0"/>
      <w:divBdr>
        <w:top w:val="none" w:sz="0" w:space="0" w:color="auto"/>
        <w:left w:val="none" w:sz="0" w:space="0" w:color="auto"/>
        <w:bottom w:val="none" w:sz="0" w:space="0" w:color="auto"/>
        <w:right w:val="none" w:sz="0" w:space="0" w:color="auto"/>
      </w:divBdr>
    </w:div>
    <w:div w:id="346517582">
      <w:bodyDiv w:val="1"/>
      <w:marLeft w:val="0"/>
      <w:marRight w:val="0"/>
      <w:marTop w:val="0"/>
      <w:marBottom w:val="0"/>
      <w:divBdr>
        <w:top w:val="none" w:sz="0" w:space="0" w:color="auto"/>
        <w:left w:val="none" w:sz="0" w:space="0" w:color="auto"/>
        <w:bottom w:val="none" w:sz="0" w:space="0" w:color="auto"/>
        <w:right w:val="none" w:sz="0" w:space="0" w:color="auto"/>
      </w:divBdr>
    </w:div>
    <w:div w:id="346754087">
      <w:bodyDiv w:val="1"/>
      <w:marLeft w:val="0"/>
      <w:marRight w:val="0"/>
      <w:marTop w:val="0"/>
      <w:marBottom w:val="0"/>
      <w:divBdr>
        <w:top w:val="none" w:sz="0" w:space="0" w:color="auto"/>
        <w:left w:val="none" w:sz="0" w:space="0" w:color="auto"/>
        <w:bottom w:val="none" w:sz="0" w:space="0" w:color="auto"/>
        <w:right w:val="none" w:sz="0" w:space="0" w:color="auto"/>
      </w:divBdr>
    </w:div>
    <w:div w:id="423914009">
      <w:bodyDiv w:val="1"/>
      <w:marLeft w:val="0"/>
      <w:marRight w:val="0"/>
      <w:marTop w:val="0"/>
      <w:marBottom w:val="0"/>
      <w:divBdr>
        <w:top w:val="none" w:sz="0" w:space="0" w:color="auto"/>
        <w:left w:val="none" w:sz="0" w:space="0" w:color="auto"/>
        <w:bottom w:val="none" w:sz="0" w:space="0" w:color="auto"/>
        <w:right w:val="none" w:sz="0" w:space="0" w:color="auto"/>
      </w:divBdr>
    </w:div>
    <w:div w:id="496462334">
      <w:bodyDiv w:val="1"/>
      <w:marLeft w:val="0"/>
      <w:marRight w:val="0"/>
      <w:marTop w:val="0"/>
      <w:marBottom w:val="0"/>
      <w:divBdr>
        <w:top w:val="none" w:sz="0" w:space="0" w:color="auto"/>
        <w:left w:val="none" w:sz="0" w:space="0" w:color="auto"/>
        <w:bottom w:val="none" w:sz="0" w:space="0" w:color="auto"/>
        <w:right w:val="none" w:sz="0" w:space="0" w:color="auto"/>
      </w:divBdr>
    </w:div>
    <w:div w:id="569733698">
      <w:bodyDiv w:val="1"/>
      <w:marLeft w:val="0"/>
      <w:marRight w:val="0"/>
      <w:marTop w:val="0"/>
      <w:marBottom w:val="0"/>
      <w:divBdr>
        <w:top w:val="none" w:sz="0" w:space="0" w:color="auto"/>
        <w:left w:val="none" w:sz="0" w:space="0" w:color="auto"/>
        <w:bottom w:val="none" w:sz="0" w:space="0" w:color="auto"/>
        <w:right w:val="none" w:sz="0" w:space="0" w:color="auto"/>
      </w:divBdr>
    </w:div>
    <w:div w:id="588271704">
      <w:bodyDiv w:val="1"/>
      <w:marLeft w:val="0"/>
      <w:marRight w:val="0"/>
      <w:marTop w:val="0"/>
      <w:marBottom w:val="0"/>
      <w:divBdr>
        <w:top w:val="none" w:sz="0" w:space="0" w:color="auto"/>
        <w:left w:val="none" w:sz="0" w:space="0" w:color="auto"/>
        <w:bottom w:val="none" w:sz="0" w:space="0" w:color="auto"/>
        <w:right w:val="none" w:sz="0" w:space="0" w:color="auto"/>
      </w:divBdr>
    </w:div>
    <w:div w:id="640311469">
      <w:bodyDiv w:val="1"/>
      <w:marLeft w:val="0"/>
      <w:marRight w:val="0"/>
      <w:marTop w:val="0"/>
      <w:marBottom w:val="0"/>
      <w:divBdr>
        <w:top w:val="none" w:sz="0" w:space="0" w:color="auto"/>
        <w:left w:val="none" w:sz="0" w:space="0" w:color="auto"/>
        <w:bottom w:val="none" w:sz="0" w:space="0" w:color="auto"/>
        <w:right w:val="none" w:sz="0" w:space="0" w:color="auto"/>
      </w:divBdr>
    </w:div>
    <w:div w:id="664475265">
      <w:bodyDiv w:val="1"/>
      <w:marLeft w:val="0"/>
      <w:marRight w:val="0"/>
      <w:marTop w:val="0"/>
      <w:marBottom w:val="0"/>
      <w:divBdr>
        <w:top w:val="none" w:sz="0" w:space="0" w:color="auto"/>
        <w:left w:val="none" w:sz="0" w:space="0" w:color="auto"/>
        <w:bottom w:val="none" w:sz="0" w:space="0" w:color="auto"/>
        <w:right w:val="none" w:sz="0" w:space="0" w:color="auto"/>
      </w:divBdr>
    </w:div>
    <w:div w:id="691343828">
      <w:bodyDiv w:val="1"/>
      <w:marLeft w:val="0"/>
      <w:marRight w:val="0"/>
      <w:marTop w:val="0"/>
      <w:marBottom w:val="0"/>
      <w:divBdr>
        <w:top w:val="none" w:sz="0" w:space="0" w:color="auto"/>
        <w:left w:val="none" w:sz="0" w:space="0" w:color="auto"/>
        <w:bottom w:val="none" w:sz="0" w:space="0" w:color="auto"/>
        <w:right w:val="none" w:sz="0" w:space="0" w:color="auto"/>
      </w:divBdr>
    </w:div>
    <w:div w:id="814957821">
      <w:bodyDiv w:val="1"/>
      <w:marLeft w:val="0"/>
      <w:marRight w:val="0"/>
      <w:marTop w:val="0"/>
      <w:marBottom w:val="0"/>
      <w:divBdr>
        <w:top w:val="none" w:sz="0" w:space="0" w:color="auto"/>
        <w:left w:val="none" w:sz="0" w:space="0" w:color="auto"/>
        <w:bottom w:val="none" w:sz="0" w:space="0" w:color="auto"/>
        <w:right w:val="none" w:sz="0" w:space="0" w:color="auto"/>
      </w:divBdr>
    </w:div>
    <w:div w:id="946351001">
      <w:bodyDiv w:val="1"/>
      <w:marLeft w:val="0"/>
      <w:marRight w:val="0"/>
      <w:marTop w:val="0"/>
      <w:marBottom w:val="0"/>
      <w:divBdr>
        <w:top w:val="none" w:sz="0" w:space="0" w:color="auto"/>
        <w:left w:val="none" w:sz="0" w:space="0" w:color="auto"/>
        <w:bottom w:val="none" w:sz="0" w:space="0" w:color="auto"/>
        <w:right w:val="none" w:sz="0" w:space="0" w:color="auto"/>
      </w:divBdr>
    </w:div>
    <w:div w:id="1081102591">
      <w:bodyDiv w:val="1"/>
      <w:marLeft w:val="0"/>
      <w:marRight w:val="0"/>
      <w:marTop w:val="0"/>
      <w:marBottom w:val="0"/>
      <w:divBdr>
        <w:top w:val="none" w:sz="0" w:space="0" w:color="auto"/>
        <w:left w:val="none" w:sz="0" w:space="0" w:color="auto"/>
        <w:bottom w:val="none" w:sz="0" w:space="0" w:color="auto"/>
        <w:right w:val="none" w:sz="0" w:space="0" w:color="auto"/>
      </w:divBdr>
    </w:div>
    <w:div w:id="1168641388">
      <w:bodyDiv w:val="1"/>
      <w:marLeft w:val="0"/>
      <w:marRight w:val="0"/>
      <w:marTop w:val="0"/>
      <w:marBottom w:val="0"/>
      <w:divBdr>
        <w:top w:val="none" w:sz="0" w:space="0" w:color="auto"/>
        <w:left w:val="none" w:sz="0" w:space="0" w:color="auto"/>
        <w:bottom w:val="none" w:sz="0" w:space="0" w:color="auto"/>
        <w:right w:val="none" w:sz="0" w:space="0" w:color="auto"/>
      </w:divBdr>
    </w:div>
    <w:div w:id="1197693857">
      <w:bodyDiv w:val="1"/>
      <w:marLeft w:val="0"/>
      <w:marRight w:val="0"/>
      <w:marTop w:val="0"/>
      <w:marBottom w:val="0"/>
      <w:divBdr>
        <w:top w:val="none" w:sz="0" w:space="0" w:color="auto"/>
        <w:left w:val="none" w:sz="0" w:space="0" w:color="auto"/>
        <w:bottom w:val="none" w:sz="0" w:space="0" w:color="auto"/>
        <w:right w:val="none" w:sz="0" w:space="0" w:color="auto"/>
      </w:divBdr>
    </w:div>
    <w:div w:id="1220284049">
      <w:bodyDiv w:val="1"/>
      <w:marLeft w:val="0"/>
      <w:marRight w:val="0"/>
      <w:marTop w:val="0"/>
      <w:marBottom w:val="0"/>
      <w:divBdr>
        <w:top w:val="none" w:sz="0" w:space="0" w:color="auto"/>
        <w:left w:val="none" w:sz="0" w:space="0" w:color="auto"/>
        <w:bottom w:val="none" w:sz="0" w:space="0" w:color="auto"/>
        <w:right w:val="none" w:sz="0" w:space="0" w:color="auto"/>
      </w:divBdr>
    </w:div>
    <w:div w:id="1357342660">
      <w:bodyDiv w:val="1"/>
      <w:marLeft w:val="0"/>
      <w:marRight w:val="0"/>
      <w:marTop w:val="0"/>
      <w:marBottom w:val="0"/>
      <w:divBdr>
        <w:top w:val="none" w:sz="0" w:space="0" w:color="auto"/>
        <w:left w:val="none" w:sz="0" w:space="0" w:color="auto"/>
        <w:bottom w:val="none" w:sz="0" w:space="0" w:color="auto"/>
        <w:right w:val="none" w:sz="0" w:space="0" w:color="auto"/>
      </w:divBdr>
    </w:div>
    <w:div w:id="1387073402">
      <w:bodyDiv w:val="1"/>
      <w:marLeft w:val="0"/>
      <w:marRight w:val="0"/>
      <w:marTop w:val="0"/>
      <w:marBottom w:val="0"/>
      <w:divBdr>
        <w:top w:val="none" w:sz="0" w:space="0" w:color="auto"/>
        <w:left w:val="none" w:sz="0" w:space="0" w:color="auto"/>
        <w:bottom w:val="none" w:sz="0" w:space="0" w:color="auto"/>
        <w:right w:val="none" w:sz="0" w:space="0" w:color="auto"/>
      </w:divBdr>
    </w:div>
    <w:div w:id="1440644065">
      <w:bodyDiv w:val="1"/>
      <w:marLeft w:val="0"/>
      <w:marRight w:val="0"/>
      <w:marTop w:val="0"/>
      <w:marBottom w:val="0"/>
      <w:divBdr>
        <w:top w:val="none" w:sz="0" w:space="0" w:color="auto"/>
        <w:left w:val="none" w:sz="0" w:space="0" w:color="auto"/>
        <w:bottom w:val="none" w:sz="0" w:space="0" w:color="auto"/>
        <w:right w:val="none" w:sz="0" w:space="0" w:color="auto"/>
      </w:divBdr>
    </w:div>
    <w:div w:id="1483615633">
      <w:bodyDiv w:val="1"/>
      <w:marLeft w:val="0"/>
      <w:marRight w:val="0"/>
      <w:marTop w:val="0"/>
      <w:marBottom w:val="0"/>
      <w:divBdr>
        <w:top w:val="none" w:sz="0" w:space="0" w:color="auto"/>
        <w:left w:val="none" w:sz="0" w:space="0" w:color="auto"/>
        <w:bottom w:val="none" w:sz="0" w:space="0" w:color="auto"/>
        <w:right w:val="none" w:sz="0" w:space="0" w:color="auto"/>
      </w:divBdr>
    </w:div>
    <w:div w:id="1535456289">
      <w:bodyDiv w:val="1"/>
      <w:marLeft w:val="0"/>
      <w:marRight w:val="0"/>
      <w:marTop w:val="0"/>
      <w:marBottom w:val="0"/>
      <w:divBdr>
        <w:top w:val="none" w:sz="0" w:space="0" w:color="auto"/>
        <w:left w:val="none" w:sz="0" w:space="0" w:color="auto"/>
        <w:bottom w:val="none" w:sz="0" w:space="0" w:color="auto"/>
        <w:right w:val="none" w:sz="0" w:space="0" w:color="auto"/>
      </w:divBdr>
    </w:div>
    <w:div w:id="1552303781">
      <w:bodyDiv w:val="1"/>
      <w:marLeft w:val="0"/>
      <w:marRight w:val="0"/>
      <w:marTop w:val="0"/>
      <w:marBottom w:val="0"/>
      <w:divBdr>
        <w:top w:val="none" w:sz="0" w:space="0" w:color="auto"/>
        <w:left w:val="none" w:sz="0" w:space="0" w:color="auto"/>
        <w:bottom w:val="none" w:sz="0" w:space="0" w:color="auto"/>
        <w:right w:val="none" w:sz="0" w:space="0" w:color="auto"/>
      </w:divBdr>
    </w:div>
    <w:div w:id="1621448233">
      <w:bodyDiv w:val="1"/>
      <w:marLeft w:val="0"/>
      <w:marRight w:val="0"/>
      <w:marTop w:val="0"/>
      <w:marBottom w:val="0"/>
      <w:divBdr>
        <w:top w:val="none" w:sz="0" w:space="0" w:color="auto"/>
        <w:left w:val="none" w:sz="0" w:space="0" w:color="auto"/>
        <w:bottom w:val="none" w:sz="0" w:space="0" w:color="auto"/>
        <w:right w:val="none" w:sz="0" w:space="0" w:color="auto"/>
      </w:divBdr>
    </w:div>
    <w:div w:id="1659383631">
      <w:bodyDiv w:val="1"/>
      <w:marLeft w:val="0"/>
      <w:marRight w:val="0"/>
      <w:marTop w:val="0"/>
      <w:marBottom w:val="0"/>
      <w:divBdr>
        <w:top w:val="none" w:sz="0" w:space="0" w:color="auto"/>
        <w:left w:val="none" w:sz="0" w:space="0" w:color="auto"/>
        <w:bottom w:val="none" w:sz="0" w:space="0" w:color="auto"/>
        <w:right w:val="none" w:sz="0" w:space="0" w:color="auto"/>
      </w:divBdr>
    </w:div>
    <w:div w:id="1677148290">
      <w:bodyDiv w:val="1"/>
      <w:marLeft w:val="0"/>
      <w:marRight w:val="0"/>
      <w:marTop w:val="0"/>
      <w:marBottom w:val="0"/>
      <w:divBdr>
        <w:top w:val="none" w:sz="0" w:space="0" w:color="auto"/>
        <w:left w:val="none" w:sz="0" w:space="0" w:color="auto"/>
        <w:bottom w:val="none" w:sz="0" w:space="0" w:color="auto"/>
        <w:right w:val="none" w:sz="0" w:space="0" w:color="auto"/>
      </w:divBdr>
    </w:div>
    <w:div w:id="1693995174">
      <w:bodyDiv w:val="1"/>
      <w:marLeft w:val="0"/>
      <w:marRight w:val="0"/>
      <w:marTop w:val="0"/>
      <w:marBottom w:val="0"/>
      <w:divBdr>
        <w:top w:val="none" w:sz="0" w:space="0" w:color="auto"/>
        <w:left w:val="none" w:sz="0" w:space="0" w:color="auto"/>
        <w:bottom w:val="none" w:sz="0" w:space="0" w:color="auto"/>
        <w:right w:val="none" w:sz="0" w:space="0" w:color="auto"/>
      </w:divBdr>
    </w:div>
    <w:div w:id="1738017866">
      <w:bodyDiv w:val="1"/>
      <w:marLeft w:val="0"/>
      <w:marRight w:val="0"/>
      <w:marTop w:val="0"/>
      <w:marBottom w:val="0"/>
      <w:divBdr>
        <w:top w:val="none" w:sz="0" w:space="0" w:color="auto"/>
        <w:left w:val="none" w:sz="0" w:space="0" w:color="auto"/>
        <w:bottom w:val="none" w:sz="0" w:space="0" w:color="auto"/>
        <w:right w:val="none" w:sz="0" w:space="0" w:color="auto"/>
      </w:divBdr>
    </w:div>
    <w:div w:id="1774519535">
      <w:bodyDiv w:val="1"/>
      <w:marLeft w:val="0"/>
      <w:marRight w:val="0"/>
      <w:marTop w:val="0"/>
      <w:marBottom w:val="0"/>
      <w:divBdr>
        <w:top w:val="none" w:sz="0" w:space="0" w:color="auto"/>
        <w:left w:val="none" w:sz="0" w:space="0" w:color="auto"/>
        <w:bottom w:val="none" w:sz="0" w:space="0" w:color="auto"/>
        <w:right w:val="none" w:sz="0" w:space="0" w:color="auto"/>
      </w:divBdr>
    </w:div>
    <w:div w:id="1811634308">
      <w:bodyDiv w:val="1"/>
      <w:marLeft w:val="0"/>
      <w:marRight w:val="0"/>
      <w:marTop w:val="0"/>
      <w:marBottom w:val="0"/>
      <w:divBdr>
        <w:top w:val="none" w:sz="0" w:space="0" w:color="auto"/>
        <w:left w:val="none" w:sz="0" w:space="0" w:color="auto"/>
        <w:bottom w:val="none" w:sz="0" w:space="0" w:color="auto"/>
        <w:right w:val="none" w:sz="0" w:space="0" w:color="auto"/>
      </w:divBdr>
    </w:div>
    <w:div w:id="1876308851">
      <w:bodyDiv w:val="1"/>
      <w:marLeft w:val="0"/>
      <w:marRight w:val="0"/>
      <w:marTop w:val="0"/>
      <w:marBottom w:val="0"/>
      <w:divBdr>
        <w:top w:val="none" w:sz="0" w:space="0" w:color="auto"/>
        <w:left w:val="none" w:sz="0" w:space="0" w:color="auto"/>
        <w:bottom w:val="none" w:sz="0" w:space="0" w:color="auto"/>
        <w:right w:val="none" w:sz="0" w:space="0" w:color="auto"/>
      </w:divBdr>
    </w:div>
    <w:div w:id="1924796875">
      <w:bodyDiv w:val="1"/>
      <w:marLeft w:val="0"/>
      <w:marRight w:val="0"/>
      <w:marTop w:val="0"/>
      <w:marBottom w:val="0"/>
      <w:divBdr>
        <w:top w:val="none" w:sz="0" w:space="0" w:color="auto"/>
        <w:left w:val="none" w:sz="0" w:space="0" w:color="auto"/>
        <w:bottom w:val="none" w:sz="0" w:space="0" w:color="auto"/>
        <w:right w:val="none" w:sz="0" w:space="0" w:color="auto"/>
      </w:divBdr>
    </w:div>
    <w:div w:id="1970932093">
      <w:bodyDiv w:val="1"/>
      <w:marLeft w:val="0"/>
      <w:marRight w:val="0"/>
      <w:marTop w:val="0"/>
      <w:marBottom w:val="0"/>
      <w:divBdr>
        <w:top w:val="none" w:sz="0" w:space="0" w:color="auto"/>
        <w:left w:val="none" w:sz="0" w:space="0" w:color="auto"/>
        <w:bottom w:val="none" w:sz="0" w:space="0" w:color="auto"/>
        <w:right w:val="none" w:sz="0" w:space="0" w:color="auto"/>
      </w:divBdr>
    </w:div>
    <w:div w:id="2002611683">
      <w:bodyDiv w:val="1"/>
      <w:marLeft w:val="0"/>
      <w:marRight w:val="0"/>
      <w:marTop w:val="0"/>
      <w:marBottom w:val="0"/>
      <w:divBdr>
        <w:top w:val="none" w:sz="0" w:space="0" w:color="auto"/>
        <w:left w:val="none" w:sz="0" w:space="0" w:color="auto"/>
        <w:bottom w:val="none" w:sz="0" w:space="0" w:color="auto"/>
        <w:right w:val="none" w:sz="0" w:space="0" w:color="auto"/>
      </w:divBdr>
    </w:div>
    <w:div w:id="2021077157">
      <w:bodyDiv w:val="1"/>
      <w:marLeft w:val="0"/>
      <w:marRight w:val="0"/>
      <w:marTop w:val="0"/>
      <w:marBottom w:val="0"/>
      <w:divBdr>
        <w:top w:val="none" w:sz="0" w:space="0" w:color="auto"/>
        <w:left w:val="none" w:sz="0" w:space="0" w:color="auto"/>
        <w:bottom w:val="none" w:sz="0" w:space="0" w:color="auto"/>
        <w:right w:val="none" w:sz="0" w:space="0" w:color="auto"/>
      </w:divBdr>
    </w:div>
    <w:div w:id="2074962695">
      <w:bodyDiv w:val="1"/>
      <w:marLeft w:val="0"/>
      <w:marRight w:val="0"/>
      <w:marTop w:val="0"/>
      <w:marBottom w:val="0"/>
      <w:divBdr>
        <w:top w:val="none" w:sz="0" w:space="0" w:color="auto"/>
        <w:left w:val="none" w:sz="0" w:space="0" w:color="auto"/>
        <w:bottom w:val="none" w:sz="0" w:space="0" w:color="auto"/>
        <w:right w:val="none" w:sz="0" w:space="0" w:color="auto"/>
      </w:divBdr>
    </w:div>
    <w:div w:id="2112120837">
      <w:bodyDiv w:val="1"/>
      <w:marLeft w:val="0"/>
      <w:marRight w:val="0"/>
      <w:marTop w:val="0"/>
      <w:marBottom w:val="0"/>
      <w:divBdr>
        <w:top w:val="none" w:sz="0" w:space="0" w:color="auto"/>
        <w:left w:val="none" w:sz="0" w:space="0" w:color="auto"/>
        <w:bottom w:val="none" w:sz="0" w:space="0" w:color="auto"/>
        <w:right w:val="none" w:sz="0" w:space="0" w:color="auto"/>
      </w:divBdr>
    </w:div>
    <w:div w:id="214499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967FD-BD77-48D1-9ABA-FE834950C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711</Words>
  <Characters>4348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Division</vt:lpstr>
    </vt:vector>
  </TitlesOfParts>
  <Company>Asian Development Bank</Company>
  <LinksUpToDate>false</LinksUpToDate>
  <CharactersWithSpaces>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dc:title>
  <dc:subject/>
  <dc:creator>BMD</dc:creator>
  <cp:keywords/>
  <dc:description/>
  <cp:lastModifiedBy>Jonathan Gessendorfer</cp:lastModifiedBy>
  <cp:revision>5</cp:revision>
  <cp:lastPrinted>2018-10-10T19:31:00Z</cp:lastPrinted>
  <dcterms:created xsi:type="dcterms:W3CDTF">2018-10-11T19:52:00Z</dcterms:created>
  <dcterms:modified xsi:type="dcterms:W3CDTF">2018-10-12T18:02:00Z</dcterms:modified>
</cp:coreProperties>
</file>