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AA3" w:rsidRPr="00A60452" w:rsidRDefault="00B169A3" w:rsidP="0081443F">
      <w:pPr>
        <w:jc w:val="left"/>
        <w:rPr>
          <w:rFonts w:asciiTheme="majorBidi" w:hAnsiTheme="majorBidi" w:cstheme="majorBidi"/>
          <w:b/>
          <w:bCs/>
          <w:szCs w:val="22"/>
        </w:rPr>
      </w:pPr>
      <w:r w:rsidRPr="00A60452">
        <w:rPr>
          <w:rFonts w:asciiTheme="majorBidi" w:hAnsiTheme="majorBidi" w:cstheme="majorBidi"/>
          <w:b/>
          <w:bCs/>
          <w:szCs w:val="22"/>
        </w:rPr>
        <w:t>Sources of funds</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341"/>
        <w:gridCol w:w="3863"/>
        <w:gridCol w:w="3379"/>
        <w:gridCol w:w="2122"/>
        <w:gridCol w:w="1877"/>
      </w:tblGrid>
      <w:tr w:rsidR="00A35EC3" w:rsidRPr="00A60452" w:rsidTr="00613CB8">
        <w:trPr>
          <w:trHeight w:val="323"/>
          <w:tblHeader/>
        </w:trPr>
        <w:tc>
          <w:tcPr>
            <w:tcW w:w="186" w:type="pct"/>
            <w:tcBorders>
              <w:bottom w:val="single" w:sz="4" w:space="0" w:color="auto"/>
            </w:tcBorders>
          </w:tcPr>
          <w:p w:rsidR="00A35EC3" w:rsidRPr="00A60452" w:rsidRDefault="00A35EC3" w:rsidP="0081443F">
            <w:pPr>
              <w:keepNext/>
              <w:widowControl w:val="0"/>
              <w:jc w:val="center"/>
              <w:rPr>
                <w:rFonts w:asciiTheme="majorBidi" w:hAnsiTheme="majorBidi" w:cstheme="majorBidi"/>
                <w:b/>
                <w:color w:val="000000"/>
                <w:szCs w:val="22"/>
              </w:rPr>
            </w:pPr>
            <w:r w:rsidRPr="00A60452">
              <w:rPr>
                <w:rFonts w:asciiTheme="majorBidi" w:hAnsiTheme="majorBidi" w:cstheme="majorBidi"/>
                <w:b/>
                <w:color w:val="000000"/>
                <w:szCs w:val="22"/>
              </w:rPr>
              <w:t>No</w:t>
            </w:r>
          </w:p>
          <w:p w:rsidR="00A35EC3" w:rsidRPr="00A60452" w:rsidRDefault="00A35EC3" w:rsidP="0081443F">
            <w:pPr>
              <w:keepNext/>
              <w:widowControl w:val="0"/>
              <w:jc w:val="center"/>
              <w:rPr>
                <w:rFonts w:asciiTheme="majorBidi" w:hAnsiTheme="majorBidi" w:cstheme="majorBidi"/>
                <w:b/>
                <w:color w:val="000000"/>
                <w:szCs w:val="22"/>
              </w:rPr>
            </w:pPr>
          </w:p>
        </w:tc>
        <w:tc>
          <w:tcPr>
            <w:tcW w:w="513" w:type="pct"/>
            <w:tcBorders>
              <w:bottom w:val="single" w:sz="4" w:space="0" w:color="auto"/>
            </w:tcBorders>
          </w:tcPr>
          <w:p w:rsidR="00A35EC3" w:rsidRPr="00A60452" w:rsidRDefault="00A35EC3" w:rsidP="0081443F">
            <w:pPr>
              <w:keepNext/>
              <w:widowControl w:val="0"/>
              <w:jc w:val="center"/>
              <w:rPr>
                <w:rFonts w:asciiTheme="majorBidi" w:hAnsiTheme="majorBidi" w:cstheme="majorBidi"/>
                <w:b/>
                <w:color w:val="000000"/>
                <w:szCs w:val="22"/>
              </w:rPr>
            </w:pPr>
            <w:r w:rsidRPr="00A60452">
              <w:rPr>
                <w:rFonts w:asciiTheme="majorBidi" w:hAnsiTheme="majorBidi" w:cstheme="majorBidi"/>
                <w:b/>
                <w:color w:val="000000"/>
                <w:szCs w:val="22"/>
              </w:rPr>
              <w:t>Type of Islamic financial instrument</w:t>
            </w:r>
          </w:p>
        </w:tc>
        <w:tc>
          <w:tcPr>
            <w:tcW w:w="1478" w:type="pct"/>
          </w:tcPr>
          <w:p w:rsidR="00A35EC3" w:rsidRPr="00A60452" w:rsidRDefault="00A35EC3" w:rsidP="0081443F">
            <w:pPr>
              <w:keepNext/>
              <w:widowControl w:val="0"/>
              <w:jc w:val="center"/>
              <w:rPr>
                <w:rFonts w:asciiTheme="majorBidi" w:hAnsiTheme="majorBidi" w:cstheme="majorBidi"/>
                <w:b/>
                <w:color w:val="000000"/>
                <w:szCs w:val="22"/>
              </w:rPr>
            </w:pPr>
            <w:r w:rsidRPr="00A60452">
              <w:rPr>
                <w:rFonts w:asciiTheme="majorBidi" w:hAnsiTheme="majorBidi" w:cstheme="majorBidi"/>
                <w:b/>
                <w:color w:val="000000"/>
                <w:szCs w:val="22"/>
              </w:rPr>
              <w:t>Description</w:t>
            </w:r>
          </w:p>
        </w:tc>
        <w:tc>
          <w:tcPr>
            <w:tcW w:w="1293" w:type="pct"/>
          </w:tcPr>
          <w:p w:rsidR="00A35EC3" w:rsidRPr="00A60452" w:rsidRDefault="00A35EC3" w:rsidP="0081443F">
            <w:pPr>
              <w:keepNext/>
              <w:widowControl w:val="0"/>
              <w:jc w:val="center"/>
              <w:rPr>
                <w:rFonts w:asciiTheme="majorBidi" w:hAnsiTheme="majorBidi" w:cstheme="majorBidi"/>
                <w:b/>
                <w:color w:val="000000"/>
                <w:szCs w:val="22"/>
              </w:rPr>
            </w:pPr>
            <w:r w:rsidRPr="00A60452">
              <w:rPr>
                <w:rFonts w:asciiTheme="majorBidi" w:hAnsiTheme="majorBidi" w:cstheme="majorBidi"/>
                <w:b/>
                <w:color w:val="000000"/>
                <w:szCs w:val="22"/>
              </w:rPr>
              <w:t>Classification according to annex 4.3 of MFSMCG</w:t>
            </w:r>
          </w:p>
        </w:tc>
        <w:tc>
          <w:tcPr>
            <w:tcW w:w="812" w:type="pct"/>
          </w:tcPr>
          <w:p w:rsidR="00A35EC3" w:rsidRPr="00A60452" w:rsidRDefault="00A35EC3" w:rsidP="0081443F">
            <w:pPr>
              <w:keepNext/>
              <w:widowControl w:val="0"/>
              <w:jc w:val="center"/>
              <w:rPr>
                <w:rFonts w:asciiTheme="majorBidi" w:hAnsiTheme="majorBidi" w:cstheme="majorBidi"/>
                <w:b/>
                <w:color w:val="000000"/>
                <w:szCs w:val="22"/>
              </w:rPr>
            </w:pPr>
            <w:r w:rsidRPr="00A60452">
              <w:rPr>
                <w:rFonts w:asciiTheme="majorBidi" w:hAnsiTheme="majorBidi" w:cstheme="majorBidi"/>
                <w:b/>
                <w:color w:val="000000"/>
                <w:szCs w:val="22"/>
              </w:rPr>
              <w:t>Type of return</w:t>
            </w:r>
            <w:r w:rsidR="00542C90">
              <w:rPr>
                <w:rFonts w:asciiTheme="majorBidi" w:hAnsiTheme="majorBidi" w:cstheme="majorBidi"/>
                <w:b/>
                <w:color w:val="000000"/>
                <w:szCs w:val="22"/>
              </w:rPr>
              <w:t xml:space="preserve"> payable to asset holder</w:t>
            </w:r>
          </w:p>
        </w:tc>
        <w:tc>
          <w:tcPr>
            <w:tcW w:w="718" w:type="pct"/>
          </w:tcPr>
          <w:p w:rsidR="00A35EC3" w:rsidRPr="00A60452" w:rsidRDefault="00A57137" w:rsidP="0081443F">
            <w:pPr>
              <w:keepNext/>
              <w:widowControl w:val="0"/>
              <w:jc w:val="center"/>
              <w:rPr>
                <w:rFonts w:asciiTheme="majorBidi" w:hAnsiTheme="majorBidi" w:cstheme="majorBidi"/>
                <w:b/>
                <w:color w:val="000000"/>
                <w:szCs w:val="22"/>
              </w:rPr>
            </w:pPr>
            <w:r>
              <w:rPr>
                <w:rFonts w:asciiTheme="majorBidi" w:hAnsiTheme="majorBidi" w:cstheme="majorBidi"/>
                <w:b/>
                <w:color w:val="000000"/>
                <w:szCs w:val="22"/>
              </w:rPr>
              <w:t>Proposed c</w:t>
            </w:r>
            <w:r w:rsidR="00A35EC3" w:rsidRPr="00A60452">
              <w:rPr>
                <w:rFonts w:asciiTheme="majorBidi" w:hAnsiTheme="majorBidi" w:cstheme="majorBidi"/>
                <w:b/>
                <w:color w:val="000000"/>
                <w:szCs w:val="22"/>
              </w:rPr>
              <w:t>lassification of property income in 2008 SNA</w:t>
            </w:r>
          </w:p>
        </w:tc>
      </w:tr>
      <w:tr w:rsidR="00A35EC3" w:rsidRPr="00A60452" w:rsidTr="00613CB8">
        <w:trPr>
          <w:trHeight w:val="2582"/>
        </w:trPr>
        <w:tc>
          <w:tcPr>
            <w:tcW w:w="186" w:type="pct"/>
          </w:tcPr>
          <w:p w:rsidR="00A35EC3" w:rsidRPr="00A60452" w:rsidRDefault="00A35EC3" w:rsidP="00D8793C">
            <w:pPr>
              <w:jc w:val="center"/>
              <w:rPr>
                <w:rFonts w:asciiTheme="majorBidi" w:hAnsiTheme="majorBidi" w:cstheme="majorBidi"/>
                <w:szCs w:val="22"/>
              </w:rPr>
            </w:pPr>
            <w:r w:rsidRPr="00A60452">
              <w:rPr>
                <w:rFonts w:asciiTheme="majorBidi" w:hAnsiTheme="majorBidi" w:cstheme="majorBidi"/>
                <w:szCs w:val="22"/>
              </w:rPr>
              <w:t>1</w:t>
            </w:r>
          </w:p>
        </w:tc>
        <w:tc>
          <w:tcPr>
            <w:tcW w:w="513" w:type="pct"/>
          </w:tcPr>
          <w:p w:rsidR="00A35EC3" w:rsidRPr="00A60452" w:rsidRDefault="00A35EC3" w:rsidP="0032725E">
            <w:pPr>
              <w:jc w:val="left"/>
              <w:rPr>
                <w:rFonts w:asciiTheme="majorBidi" w:hAnsiTheme="majorBidi" w:cstheme="majorBidi"/>
                <w:szCs w:val="22"/>
              </w:rPr>
            </w:pPr>
            <w:r w:rsidRPr="00A60452">
              <w:rPr>
                <w:rFonts w:asciiTheme="majorBidi" w:hAnsiTheme="majorBidi" w:cstheme="majorBidi"/>
                <w:szCs w:val="22"/>
              </w:rPr>
              <w:t>Qard, Wadiah, Amanah</w:t>
            </w:r>
          </w:p>
        </w:tc>
        <w:tc>
          <w:tcPr>
            <w:tcW w:w="1478" w:type="pct"/>
          </w:tcPr>
          <w:p w:rsidR="00A35EC3" w:rsidRPr="00A60452" w:rsidRDefault="00A35EC3" w:rsidP="00D8793C">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Deposits that can be withdrawn, at par, without penalty or restriction, and are generally usable for making payments by check, draft, giro, or other direct payment facilities. Are not linked to any profit-making ventures and are not part of profit and loss sharing schemes.</w:t>
            </w:r>
          </w:p>
        </w:tc>
        <w:tc>
          <w:tcPr>
            <w:tcW w:w="1293" w:type="pct"/>
          </w:tcPr>
          <w:p w:rsidR="00A35EC3" w:rsidRPr="00A60452" w:rsidRDefault="00A35EC3" w:rsidP="00D8793C">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 xml:space="preserve">Transferable </w:t>
            </w:r>
            <w:r w:rsidR="00021720">
              <w:rPr>
                <w:rFonts w:asciiTheme="majorBidi" w:hAnsiTheme="majorBidi" w:cstheme="majorBidi"/>
                <w:szCs w:val="22"/>
              </w:rPr>
              <w:t>d</w:t>
            </w:r>
            <w:r w:rsidR="0085767B" w:rsidRPr="00A60452">
              <w:rPr>
                <w:rFonts w:asciiTheme="majorBidi" w:hAnsiTheme="majorBidi" w:cstheme="majorBidi"/>
                <w:szCs w:val="22"/>
              </w:rPr>
              <w:t xml:space="preserve">eposits </w:t>
            </w:r>
            <w:r w:rsidRPr="00A60452">
              <w:rPr>
                <w:rFonts w:asciiTheme="majorBidi" w:hAnsiTheme="majorBidi" w:cstheme="majorBidi"/>
                <w:szCs w:val="22"/>
              </w:rPr>
              <w:t>(F22) if they are directly usable for making payments by check, draft, giro order, direct debit, or direct payment facility. Otherwi</w:t>
            </w:r>
            <w:bookmarkStart w:id="0" w:name="_GoBack"/>
            <w:bookmarkEnd w:id="0"/>
            <w:r w:rsidRPr="00A60452">
              <w:rPr>
                <w:rFonts w:asciiTheme="majorBidi" w:hAnsiTheme="majorBidi" w:cstheme="majorBidi"/>
                <w:szCs w:val="22"/>
              </w:rPr>
              <w:t xml:space="preserve">se, classified as </w:t>
            </w:r>
            <w:r w:rsidR="0085767B">
              <w:rPr>
                <w:rFonts w:asciiTheme="majorBidi" w:hAnsiTheme="majorBidi" w:cstheme="majorBidi"/>
                <w:szCs w:val="22"/>
              </w:rPr>
              <w:t>O</w:t>
            </w:r>
            <w:r w:rsidR="0085767B" w:rsidRPr="00A60452">
              <w:rPr>
                <w:rFonts w:asciiTheme="majorBidi" w:hAnsiTheme="majorBidi" w:cstheme="majorBidi"/>
                <w:szCs w:val="22"/>
              </w:rPr>
              <w:t xml:space="preserve">ther </w:t>
            </w:r>
            <w:r w:rsidR="00021720">
              <w:rPr>
                <w:rFonts w:asciiTheme="majorBidi" w:hAnsiTheme="majorBidi" w:cstheme="majorBidi"/>
                <w:szCs w:val="22"/>
              </w:rPr>
              <w:t>d</w:t>
            </w:r>
            <w:r w:rsidR="0085767B" w:rsidRPr="00A60452">
              <w:rPr>
                <w:rFonts w:asciiTheme="majorBidi" w:hAnsiTheme="majorBidi" w:cstheme="majorBidi"/>
                <w:szCs w:val="22"/>
              </w:rPr>
              <w:t xml:space="preserve">eposits </w:t>
            </w:r>
            <w:r w:rsidRPr="00A60452">
              <w:rPr>
                <w:rFonts w:asciiTheme="majorBidi" w:hAnsiTheme="majorBidi" w:cstheme="majorBidi"/>
                <w:szCs w:val="22"/>
              </w:rPr>
              <w:t>(F29)</w:t>
            </w:r>
          </w:p>
          <w:p w:rsidR="00A35EC3" w:rsidRPr="00A60452" w:rsidRDefault="00A35EC3" w:rsidP="00D8793C">
            <w:pPr>
              <w:autoSpaceDE w:val="0"/>
              <w:autoSpaceDN w:val="0"/>
              <w:adjustRightInd w:val="0"/>
              <w:spacing w:line="240" w:lineRule="atLeast"/>
              <w:jc w:val="left"/>
              <w:rPr>
                <w:rFonts w:asciiTheme="majorBidi" w:hAnsiTheme="majorBidi" w:cstheme="majorBidi"/>
                <w:szCs w:val="22"/>
              </w:rPr>
            </w:pPr>
          </w:p>
        </w:tc>
        <w:tc>
          <w:tcPr>
            <w:tcW w:w="812" w:type="pct"/>
          </w:tcPr>
          <w:p w:rsidR="00A35EC3" w:rsidRPr="00A60452" w:rsidRDefault="00A35EC3" w:rsidP="00D8793C">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 xml:space="preserve">Usually offer no or very small returns to depositors </w:t>
            </w:r>
            <w:proofErr w:type="gramStart"/>
            <w:r w:rsidRPr="00A60452">
              <w:rPr>
                <w:rFonts w:asciiTheme="majorBidi" w:hAnsiTheme="majorBidi" w:cstheme="majorBidi"/>
                <w:szCs w:val="22"/>
              </w:rPr>
              <w:t>on the basis of</w:t>
            </w:r>
            <w:proofErr w:type="gramEnd"/>
            <w:r w:rsidRPr="00A60452">
              <w:rPr>
                <w:rFonts w:asciiTheme="majorBidi" w:hAnsiTheme="majorBidi" w:cstheme="majorBidi"/>
                <w:szCs w:val="22"/>
              </w:rPr>
              <w:t xml:space="preserve"> gift (hibah)</w:t>
            </w:r>
          </w:p>
        </w:tc>
        <w:tc>
          <w:tcPr>
            <w:tcW w:w="718" w:type="pct"/>
          </w:tcPr>
          <w:p w:rsidR="00A35EC3" w:rsidRPr="00A60452" w:rsidRDefault="00A35EC3" w:rsidP="00623332">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Interest (D41)</w:t>
            </w:r>
          </w:p>
        </w:tc>
      </w:tr>
      <w:tr w:rsidR="00A35EC3" w:rsidRPr="00A60452" w:rsidTr="00613CB8">
        <w:tc>
          <w:tcPr>
            <w:tcW w:w="186" w:type="pct"/>
          </w:tcPr>
          <w:p w:rsidR="00A35EC3" w:rsidRPr="00A60452" w:rsidRDefault="00A35EC3" w:rsidP="00D8793C">
            <w:pPr>
              <w:jc w:val="center"/>
              <w:rPr>
                <w:rFonts w:asciiTheme="majorBidi" w:hAnsiTheme="majorBidi" w:cstheme="majorBidi"/>
                <w:szCs w:val="22"/>
              </w:rPr>
            </w:pPr>
            <w:r w:rsidRPr="00A60452">
              <w:rPr>
                <w:rFonts w:asciiTheme="majorBidi" w:hAnsiTheme="majorBidi" w:cstheme="majorBidi"/>
                <w:szCs w:val="22"/>
              </w:rPr>
              <w:t>2</w:t>
            </w:r>
          </w:p>
        </w:tc>
        <w:tc>
          <w:tcPr>
            <w:tcW w:w="513" w:type="pct"/>
          </w:tcPr>
          <w:p w:rsidR="00A35EC3" w:rsidRPr="00A60452" w:rsidRDefault="00A35EC3" w:rsidP="00D8793C">
            <w:pPr>
              <w:jc w:val="left"/>
              <w:rPr>
                <w:rFonts w:asciiTheme="majorBidi" w:hAnsiTheme="majorBidi" w:cstheme="majorBidi"/>
                <w:szCs w:val="22"/>
              </w:rPr>
            </w:pPr>
            <w:r w:rsidRPr="00A60452">
              <w:rPr>
                <w:rFonts w:asciiTheme="majorBidi" w:hAnsiTheme="majorBidi" w:cstheme="majorBidi"/>
                <w:szCs w:val="22"/>
              </w:rPr>
              <w:t>Mudaraba (also known as profit-sharing investment account)</w:t>
            </w:r>
          </w:p>
        </w:tc>
        <w:tc>
          <w:tcPr>
            <w:tcW w:w="1478" w:type="pct"/>
          </w:tcPr>
          <w:p w:rsidR="00542C90" w:rsidRDefault="00A35EC3" w:rsidP="00AA5F5F">
            <w:pPr>
              <w:autoSpaceDE w:val="0"/>
              <w:autoSpaceDN w:val="0"/>
              <w:adjustRightInd w:val="0"/>
              <w:jc w:val="left"/>
              <w:rPr>
                <w:rFonts w:asciiTheme="majorBidi" w:eastAsia="SimSun" w:hAnsiTheme="majorBidi" w:cstheme="majorBidi"/>
                <w:color w:val="000000"/>
                <w:szCs w:val="22"/>
                <w:lang w:eastAsia="zh-CN"/>
              </w:rPr>
            </w:pPr>
            <w:r w:rsidRPr="00A60452">
              <w:rPr>
                <w:rFonts w:asciiTheme="majorBidi" w:eastAsia="SimSun" w:hAnsiTheme="majorBidi" w:cstheme="majorBidi"/>
                <w:color w:val="000000"/>
                <w:szCs w:val="22"/>
                <w:lang w:eastAsia="zh-CN"/>
              </w:rPr>
              <w:t xml:space="preserve">A contract between investors and an IFI that, as a silent partner, invests the deposits in a commercial venture. Profit sharing of the venture is pre-determined </w:t>
            </w:r>
            <w:proofErr w:type="gramStart"/>
            <w:r w:rsidRPr="00A60452">
              <w:rPr>
                <w:rFonts w:asciiTheme="majorBidi" w:eastAsia="SimSun" w:hAnsiTheme="majorBidi" w:cstheme="majorBidi"/>
                <w:color w:val="000000"/>
                <w:szCs w:val="22"/>
                <w:lang w:eastAsia="zh-CN"/>
              </w:rPr>
              <w:t>on the basis of</w:t>
            </w:r>
            <w:proofErr w:type="gramEnd"/>
            <w:r w:rsidRPr="00A60452">
              <w:rPr>
                <w:rFonts w:asciiTheme="majorBidi" w:eastAsia="SimSun" w:hAnsiTheme="majorBidi" w:cstheme="majorBidi"/>
                <w:color w:val="000000"/>
                <w:szCs w:val="22"/>
                <w:lang w:eastAsia="zh-CN"/>
              </w:rPr>
              <w:t xml:space="preserve"> risk and return, and the IFI and investors share any profit generated from the venture. A Mudaraba can be </w:t>
            </w:r>
            <w:proofErr w:type="gramStart"/>
            <w:r w:rsidRPr="00A60452">
              <w:rPr>
                <w:rFonts w:asciiTheme="majorBidi" w:eastAsia="SimSun" w:hAnsiTheme="majorBidi" w:cstheme="majorBidi"/>
                <w:color w:val="000000"/>
                <w:szCs w:val="22"/>
                <w:lang w:eastAsia="zh-CN"/>
              </w:rPr>
              <w:t>entered into</w:t>
            </w:r>
            <w:proofErr w:type="gramEnd"/>
            <w:r w:rsidRPr="00A60452">
              <w:rPr>
                <w:rFonts w:asciiTheme="majorBidi" w:eastAsia="SimSun" w:hAnsiTheme="majorBidi" w:cstheme="majorBidi"/>
                <w:color w:val="000000"/>
                <w:szCs w:val="22"/>
                <w:lang w:eastAsia="zh-CN"/>
              </w:rPr>
              <w:t xml:space="preserve"> for a single investment or on a continuing basis with the IFI acting as a fiduciary. </w:t>
            </w:r>
          </w:p>
          <w:p w:rsidR="00542C90" w:rsidRDefault="00A35EC3" w:rsidP="006E411D">
            <w:pPr>
              <w:autoSpaceDE w:val="0"/>
              <w:autoSpaceDN w:val="0"/>
              <w:adjustRightInd w:val="0"/>
              <w:jc w:val="left"/>
              <w:rPr>
                <w:rFonts w:asciiTheme="majorBidi" w:eastAsia="SimSun" w:hAnsiTheme="majorBidi" w:cstheme="majorBidi"/>
                <w:color w:val="000000"/>
                <w:szCs w:val="22"/>
                <w:lang w:eastAsia="zh-CN"/>
              </w:rPr>
            </w:pPr>
            <w:r w:rsidRPr="00A60452">
              <w:rPr>
                <w:rFonts w:asciiTheme="majorBidi" w:eastAsia="SimSun" w:hAnsiTheme="majorBidi" w:cstheme="majorBidi"/>
                <w:color w:val="000000"/>
                <w:szCs w:val="22"/>
                <w:lang w:eastAsia="zh-CN"/>
              </w:rPr>
              <w:t xml:space="preserve">There are two types of Mudaraba investment accounts according to the AAOIFI FAS No. 27 (Investment Accounts), namely </w:t>
            </w:r>
            <w:r w:rsidR="00542C90">
              <w:rPr>
                <w:rFonts w:asciiTheme="majorBidi" w:eastAsia="SimSun" w:hAnsiTheme="majorBidi" w:cstheme="majorBidi"/>
                <w:color w:val="000000"/>
                <w:szCs w:val="22"/>
                <w:lang w:eastAsia="zh-CN"/>
              </w:rPr>
              <w:t>R</w:t>
            </w:r>
            <w:r w:rsidRPr="00A60452">
              <w:rPr>
                <w:rFonts w:asciiTheme="majorBidi" w:eastAsia="SimSun" w:hAnsiTheme="majorBidi" w:cstheme="majorBidi"/>
                <w:color w:val="000000"/>
                <w:szCs w:val="22"/>
                <w:lang w:eastAsia="zh-CN"/>
              </w:rPr>
              <w:t>estricted Mudaraba</w:t>
            </w:r>
            <w:r w:rsidR="00536E06">
              <w:rPr>
                <w:rFonts w:asciiTheme="majorBidi" w:eastAsia="SimSun" w:hAnsiTheme="majorBidi" w:cstheme="majorBidi"/>
                <w:color w:val="000000"/>
                <w:szCs w:val="22"/>
                <w:lang w:eastAsia="zh-CN"/>
              </w:rPr>
              <w:t xml:space="preserve"> (2a)</w:t>
            </w:r>
            <w:r w:rsidRPr="00A60452">
              <w:rPr>
                <w:rFonts w:asciiTheme="majorBidi" w:eastAsia="SimSun" w:hAnsiTheme="majorBidi" w:cstheme="majorBidi"/>
                <w:color w:val="000000"/>
                <w:szCs w:val="22"/>
                <w:lang w:eastAsia="zh-CN"/>
              </w:rPr>
              <w:t xml:space="preserve"> and </w:t>
            </w:r>
            <w:r w:rsidR="00542C90">
              <w:rPr>
                <w:rFonts w:asciiTheme="majorBidi" w:eastAsia="SimSun" w:hAnsiTheme="majorBidi" w:cstheme="majorBidi"/>
                <w:color w:val="000000"/>
                <w:szCs w:val="22"/>
                <w:lang w:eastAsia="zh-CN"/>
              </w:rPr>
              <w:t>Unr</w:t>
            </w:r>
            <w:r w:rsidRPr="00A60452">
              <w:rPr>
                <w:rFonts w:asciiTheme="majorBidi" w:eastAsia="SimSun" w:hAnsiTheme="majorBidi" w:cstheme="majorBidi"/>
                <w:color w:val="000000"/>
                <w:szCs w:val="22"/>
                <w:lang w:eastAsia="zh-CN"/>
              </w:rPr>
              <w:t>estricted Mudaraba</w:t>
            </w:r>
            <w:r w:rsidR="00536E06">
              <w:rPr>
                <w:rFonts w:asciiTheme="majorBidi" w:eastAsia="SimSun" w:hAnsiTheme="majorBidi" w:cstheme="majorBidi"/>
                <w:color w:val="000000"/>
                <w:szCs w:val="22"/>
                <w:lang w:eastAsia="zh-CN"/>
              </w:rPr>
              <w:t xml:space="preserve"> (2b)</w:t>
            </w:r>
            <w:r w:rsidRPr="00A60452">
              <w:rPr>
                <w:rFonts w:asciiTheme="majorBidi" w:eastAsia="SimSun" w:hAnsiTheme="majorBidi" w:cstheme="majorBidi"/>
                <w:color w:val="000000"/>
                <w:szCs w:val="22"/>
                <w:lang w:eastAsia="zh-CN"/>
              </w:rPr>
              <w:t>.</w:t>
            </w:r>
          </w:p>
          <w:p w:rsidR="00A35EC3" w:rsidRPr="00A60452" w:rsidRDefault="00A35EC3" w:rsidP="006E411D">
            <w:pPr>
              <w:autoSpaceDE w:val="0"/>
              <w:autoSpaceDN w:val="0"/>
              <w:adjustRightInd w:val="0"/>
              <w:jc w:val="left"/>
              <w:rPr>
                <w:rFonts w:asciiTheme="majorBidi" w:eastAsia="SimSun" w:hAnsiTheme="majorBidi" w:cstheme="majorBidi"/>
                <w:color w:val="000000"/>
                <w:szCs w:val="22"/>
                <w:lang w:eastAsia="zh-CN"/>
              </w:rPr>
            </w:pPr>
          </w:p>
          <w:p w:rsidR="00542C90" w:rsidRDefault="00536E06" w:rsidP="00693A4B">
            <w:pPr>
              <w:autoSpaceDE w:val="0"/>
              <w:autoSpaceDN w:val="0"/>
              <w:adjustRightInd w:val="0"/>
              <w:jc w:val="left"/>
              <w:rPr>
                <w:rFonts w:asciiTheme="majorBidi" w:eastAsia="SimSun" w:hAnsiTheme="majorBidi" w:cstheme="majorBidi"/>
                <w:color w:val="000000"/>
                <w:szCs w:val="22"/>
                <w:lang w:eastAsia="zh-CN"/>
              </w:rPr>
            </w:pPr>
            <w:r>
              <w:rPr>
                <w:rFonts w:asciiTheme="majorBidi" w:eastAsia="SimSun" w:hAnsiTheme="majorBidi" w:cstheme="majorBidi"/>
                <w:b/>
                <w:bCs/>
                <w:color w:val="000000"/>
                <w:szCs w:val="22"/>
                <w:lang w:eastAsia="zh-CN"/>
              </w:rPr>
              <w:t>(</w:t>
            </w:r>
            <w:r w:rsidR="00542C90" w:rsidRPr="003D7379">
              <w:rPr>
                <w:rFonts w:asciiTheme="majorBidi" w:eastAsia="SimSun" w:hAnsiTheme="majorBidi" w:cstheme="majorBidi"/>
                <w:b/>
                <w:bCs/>
                <w:color w:val="000000"/>
                <w:szCs w:val="22"/>
                <w:lang w:eastAsia="zh-CN"/>
              </w:rPr>
              <w:t>2</w:t>
            </w:r>
            <w:r w:rsidR="00891A38">
              <w:rPr>
                <w:rFonts w:asciiTheme="majorBidi" w:eastAsia="SimSun" w:hAnsiTheme="majorBidi" w:cstheme="majorBidi"/>
                <w:b/>
                <w:bCs/>
                <w:color w:val="000000"/>
                <w:szCs w:val="22"/>
                <w:lang w:eastAsia="zh-CN"/>
              </w:rPr>
              <w:t>a</w:t>
            </w:r>
            <w:r w:rsidR="00891A38">
              <w:rPr>
                <w:rFonts w:asciiTheme="majorBidi" w:eastAsia="SimSun" w:hAnsiTheme="majorBidi" w:cstheme="majorBidi"/>
                <w:color w:val="000000"/>
                <w:szCs w:val="22"/>
                <w:lang w:eastAsia="zh-CN"/>
              </w:rPr>
              <w:t>)</w:t>
            </w:r>
            <w:r w:rsidR="00A35EC3" w:rsidRPr="00A60452">
              <w:rPr>
                <w:rFonts w:asciiTheme="majorBidi" w:eastAsia="SimSun" w:hAnsiTheme="majorBidi" w:cstheme="majorBidi"/>
                <w:color w:val="000000"/>
                <w:szCs w:val="22"/>
                <w:lang w:eastAsia="zh-CN"/>
              </w:rPr>
              <w:t xml:space="preserve"> </w:t>
            </w:r>
            <w:r w:rsidR="00A35EC3" w:rsidRPr="003D7379">
              <w:rPr>
                <w:rFonts w:asciiTheme="majorBidi" w:eastAsia="SimSun" w:hAnsiTheme="majorBidi" w:cstheme="majorBidi"/>
                <w:b/>
                <w:color w:val="000000"/>
                <w:szCs w:val="22"/>
                <w:lang w:eastAsia="zh-CN"/>
              </w:rPr>
              <w:t>Restricted Mudaraba</w:t>
            </w:r>
            <w:r w:rsidR="00A35EC3" w:rsidRPr="00A60452">
              <w:rPr>
                <w:rFonts w:asciiTheme="majorBidi" w:eastAsia="SimSun" w:hAnsiTheme="majorBidi" w:cstheme="majorBidi"/>
                <w:color w:val="000000"/>
                <w:szCs w:val="22"/>
                <w:lang w:eastAsia="zh-CN"/>
              </w:rPr>
              <w:t xml:space="preserve"> is where the investor restricts the manner as to where, how, and for what purpose the funds are invested. No mixing of funds is allowed from other sources to ensure proper </w:t>
            </w:r>
            <w:r w:rsidR="00A35EC3" w:rsidRPr="00A60452">
              <w:rPr>
                <w:rFonts w:asciiTheme="majorBidi" w:eastAsia="SimSun" w:hAnsiTheme="majorBidi" w:cstheme="majorBidi"/>
                <w:color w:val="000000"/>
                <w:szCs w:val="22"/>
                <w:lang w:eastAsia="zh-CN"/>
              </w:rPr>
              <w:lastRenderedPageBreak/>
              <w:t xml:space="preserve">management and accountability of the funds. A separate disclosure (off-balance sheet) in the form of Statement of Restricted Mudaraba is required to be kept by the IFIs. </w:t>
            </w:r>
          </w:p>
          <w:p w:rsidR="00542C90" w:rsidRDefault="00542C90" w:rsidP="00693A4B">
            <w:pPr>
              <w:autoSpaceDE w:val="0"/>
              <w:autoSpaceDN w:val="0"/>
              <w:adjustRightInd w:val="0"/>
              <w:jc w:val="left"/>
              <w:rPr>
                <w:rFonts w:asciiTheme="majorBidi" w:eastAsia="SimSun" w:hAnsiTheme="majorBidi" w:cstheme="majorBidi"/>
                <w:color w:val="000000"/>
                <w:szCs w:val="22"/>
                <w:lang w:eastAsia="zh-CN"/>
              </w:rPr>
            </w:pPr>
          </w:p>
          <w:p w:rsidR="00542C90" w:rsidRPr="00A60452" w:rsidRDefault="00542C90" w:rsidP="00542C90">
            <w:pPr>
              <w:autoSpaceDE w:val="0"/>
              <w:autoSpaceDN w:val="0"/>
              <w:adjustRightInd w:val="0"/>
              <w:jc w:val="left"/>
              <w:rPr>
                <w:rFonts w:asciiTheme="majorBidi" w:eastAsia="SimSun" w:hAnsiTheme="majorBidi" w:cstheme="majorBidi"/>
                <w:color w:val="000000"/>
                <w:szCs w:val="22"/>
                <w:lang w:eastAsia="zh-CN"/>
              </w:rPr>
            </w:pPr>
          </w:p>
          <w:p w:rsidR="00542C90" w:rsidRDefault="00536E06" w:rsidP="00AA5F5F">
            <w:pPr>
              <w:autoSpaceDE w:val="0"/>
              <w:autoSpaceDN w:val="0"/>
              <w:adjustRightInd w:val="0"/>
              <w:jc w:val="left"/>
              <w:rPr>
                <w:rFonts w:asciiTheme="majorBidi" w:eastAsia="SimSun" w:hAnsiTheme="majorBidi" w:cstheme="majorBidi"/>
                <w:color w:val="000000"/>
                <w:szCs w:val="22"/>
                <w:lang w:eastAsia="zh-CN"/>
              </w:rPr>
            </w:pPr>
            <w:r>
              <w:rPr>
                <w:rFonts w:asciiTheme="majorBidi" w:eastAsia="SimSun" w:hAnsiTheme="majorBidi" w:cstheme="majorBidi"/>
                <w:b/>
                <w:color w:val="000000"/>
                <w:szCs w:val="22"/>
                <w:lang w:eastAsia="zh-CN"/>
              </w:rPr>
              <w:t>(</w:t>
            </w:r>
            <w:r w:rsidR="00542C90" w:rsidRPr="003D7379">
              <w:rPr>
                <w:rFonts w:asciiTheme="majorBidi" w:eastAsia="SimSun" w:hAnsiTheme="majorBidi" w:cstheme="majorBidi"/>
                <w:b/>
                <w:color w:val="000000"/>
                <w:szCs w:val="22"/>
                <w:lang w:eastAsia="zh-CN"/>
              </w:rPr>
              <w:t>2</w:t>
            </w:r>
            <w:r w:rsidR="00891A38">
              <w:rPr>
                <w:rFonts w:asciiTheme="majorBidi" w:eastAsia="SimSun" w:hAnsiTheme="majorBidi" w:cstheme="majorBidi"/>
                <w:b/>
                <w:color w:val="000000"/>
                <w:szCs w:val="22"/>
                <w:lang w:eastAsia="zh-CN"/>
              </w:rPr>
              <w:t>b)</w:t>
            </w:r>
            <w:r w:rsidR="00542C90" w:rsidRPr="003D7379">
              <w:rPr>
                <w:rFonts w:asciiTheme="majorBidi" w:eastAsia="SimSun" w:hAnsiTheme="majorBidi" w:cstheme="majorBidi"/>
                <w:b/>
                <w:color w:val="000000"/>
                <w:szCs w:val="22"/>
                <w:lang w:eastAsia="zh-CN"/>
              </w:rPr>
              <w:t xml:space="preserve"> Unrestricted Mudaraba</w:t>
            </w:r>
            <w:r w:rsidR="00542C90" w:rsidRPr="00A60452">
              <w:rPr>
                <w:rFonts w:asciiTheme="majorBidi" w:eastAsia="SimSun" w:hAnsiTheme="majorBidi" w:cstheme="majorBidi"/>
                <w:color w:val="000000"/>
                <w:szCs w:val="22"/>
                <w:lang w:eastAsia="zh-CN"/>
              </w:rPr>
              <w:t xml:space="preserve"> is where the investor fully authorizes an IFI to invest the funds without restrictions as to where, how, and for what purpose the funds should be invested </w:t>
            </w:r>
            <w:proofErr w:type="gramStart"/>
            <w:r w:rsidR="00542C90" w:rsidRPr="00A60452">
              <w:rPr>
                <w:rFonts w:asciiTheme="majorBidi" w:eastAsia="SimSun" w:hAnsiTheme="majorBidi" w:cstheme="majorBidi"/>
                <w:color w:val="000000"/>
                <w:szCs w:val="22"/>
                <w:lang w:eastAsia="zh-CN"/>
              </w:rPr>
              <w:t>as long as</w:t>
            </w:r>
            <w:proofErr w:type="gramEnd"/>
            <w:r w:rsidR="00542C90" w:rsidRPr="00A60452">
              <w:rPr>
                <w:rFonts w:asciiTheme="majorBidi" w:eastAsia="SimSun" w:hAnsiTheme="majorBidi" w:cstheme="majorBidi"/>
                <w:color w:val="000000"/>
                <w:szCs w:val="22"/>
                <w:lang w:eastAsia="zh-CN"/>
              </w:rPr>
              <w:t xml:space="preserve"> it is deemed appropriate. Mixing of funds from other sources (including shareholders’ funds) is permitted and separate disclosure in the financial statement is therefore required.</w:t>
            </w:r>
          </w:p>
          <w:p w:rsidR="00A35EC3" w:rsidRDefault="00A35EC3" w:rsidP="00693A4B">
            <w:pPr>
              <w:autoSpaceDE w:val="0"/>
              <w:autoSpaceDN w:val="0"/>
              <w:adjustRightInd w:val="0"/>
              <w:jc w:val="left"/>
              <w:rPr>
                <w:rFonts w:asciiTheme="majorBidi" w:eastAsia="SimSun" w:hAnsiTheme="majorBidi" w:cstheme="majorBidi"/>
                <w:color w:val="000000"/>
                <w:szCs w:val="22"/>
                <w:lang w:eastAsia="zh-CN"/>
              </w:rPr>
            </w:pPr>
            <w:proofErr w:type="gramStart"/>
            <w:r w:rsidRPr="00A60452">
              <w:rPr>
                <w:rFonts w:asciiTheme="majorBidi" w:eastAsia="SimSun" w:hAnsiTheme="majorBidi" w:cstheme="majorBidi"/>
                <w:color w:val="000000"/>
                <w:szCs w:val="22"/>
                <w:lang w:eastAsia="zh-CN"/>
              </w:rPr>
              <w:t>Similar to</w:t>
            </w:r>
            <w:proofErr w:type="gramEnd"/>
            <w:r w:rsidRPr="00A60452">
              <w:rPr>
                <w:rFonts w:asciiTheme="majorBidi" w:eastAsia="SimSun" w:hAnsiTheme="majorBidi" w:cstheme="majorBidi"/>
                <w:color w:val="000000"/>
                <w:szCs w:val="22"/>
                <w:lang w:eastAsia="zh-CN"/>
              </w:rPr>
              <w:t xml:space="preserve"> the case of deposits at conventional financial institutions, Unrestricted Mudaraba can be divided into the following types: </w:t>
            </w:r>
          </w:p>
          <w:p w:rsidR="00542C90" w:rsidRPr="00A60452" w:rsidRDefault="00542C90" w:rsidP="00693A4B">
            <w:pPr>
              <w:autoSpaceDE w:val="0"/>
              <w:autoSpaceDN w:val="0"/>
              <w:adjustRightInd w:val="0"/>
              <w:jc w:val="left"/>
              <w:rPr>
                <w:rFonts w:asciiTheme="majorBidi" w:eastAsia="SimSun" w:hAnsiTheme="majorBidi" w:cstheme="majorBidi"/>
                <w:color w:val="000000"/>
                <w:szCs w:val="22"/>
                <w:lang w:eastAsia="zh-CN"/>
              </w:rPr>
            </w:pPr>
          </w:p>
          <w:p w:rsidR="00542C90" w:rsidRDefault="00891A38" w:rsidP="00693A4B">
            <w:pPr>
              <w:autoSpaceDE w:val="0"/>
              <w:autoSpaceDN w:val="0"/>
              <w:adjustRightInd w:val="0"/>
              <w:jc w:val="left"/>
              <w:rPr>
                <w:rFonts w:asciiTheme="majorBidi" w:eastAsia="SimSun" w:hAnsiTheme="majorBidi" w:cstheme="majorBidi"/>
                <w:color w:val="000000"/>
                <w:szCs w:val="22"/>
                <w:lang w:eastAsia="zh-CN"/>
              </w:rPr>
            </w:pPr>
            <w:r>
              <w:rPr>
                <w:rFonts w:asciiTheme="majorBidi" w:eastAsia="SimSun" w:hAnsiTheme="majorBidi" w:cstheme="majorBidi"/>
                <w:color w:val="000000"/>
                <w:szCs w:val="22"/>
                <w:lang w:eastAsia="zh-CN"/>
              </w:rPr>
              <w:t>i.</w:t>
            </w:r>
            <w:r w:rsidR="00542C90">
              <w:rPr>
                <w:rFonts w:asciiTheme="majorBidi" w:eastAsia="SimSun" w:hAnsiTheme="majorBidi" w:cstheme="majorBidi"/>
                <w:color w:val="000000"/>
                <w:szCs w:val="22"/>
                <w:lang w:eastAsia="zh-CN"/>
              </w:rPr>
              <w:t xml:space="preserve"> </w:t>
            </w:r>
            <w:r w:rsidR="00A35EC3" w:rsidRPr="00A60452">
              <w:rPr>
                <w:rFonts w:asciiTheme="majorBidi" w:eastAsia="SimSun" w:hAnsiTheme="majorBidi" w:cstheme="majorBidi"/>
                <w:color w:val="000000"/>
                <w:szCs w:val="22"/>
                <w:lang w:eastAsia="zh-CN"/>
              </w:rPr>
              <w:t xml:space="preserve">Mudaraba accepted without a </w:t>
            </w:r>
            <w:r w:rsidR="00AA5F5F">
              <w:rPr>
                <w:rFonts w:asciiTheme="majorBidi" w:eastAsia="SimSun" w:hAnsiTheme="majorBidi" w:cstheme="majorBidi"/>
                <w:color w:val="000000"/>
                <w:szCs w:val="22"/>
                <w:lang w:eastAsia="zh-CN"/>
              </w:rPr>
              <w:t xml:space="preserve">fixed </w:t>
            </w:r>
            <w:proofErr w:type="gramStart"/>
            <w:r w:rsidR="00A35EC3" w:rsidRPr="00A60452">
              <w:rPr>
                <w:rFonts w:asciiTheme="majorBidi" w:eastAsia="SimSun" w:hAnsiTheme="majorBidi" w:cstheme="majorBidi"/>
                <w:color w:val="000000"/>
                <w:szCs w:val="22"/>
                <w:lang w:eastAsia="zh-CN"/>
              </w:rPr>
              <w:t xml:space="preserve">time </w:t>
            </w:r>
            <w:r w:rsidR="00AA5F5F">
              <w:rPr>
                <w:rFonts w:asciiTheme="majorBidi" w:eastAsia="SimSun" w:hAnsiTheme="majorBidi" w:cstheme="majorBidi"/>
                <w:color w:val="000000"/>
                <w:szCs w:val="22"/>
                <w:lang w:eastAsia="zh-CN"/>
              </w:rPr>
              <w:t>period</w:t>
            </w:r>
            <w:proofErr w:type="gramEnd"/>
            <w:r w:rsidR="00A35EC3" w:rsidRPr="00A60452">
              <w:rPr>
                <w:rFonts w:asciiTheme="majorBidi" w:eastAsia="SimSun" w:hAnsiTheme="majorBidi" w:cstheme="majorBidi"/>
                <w:color w:val="000000"/>
                <w:szCs w:val="22"/>
                <w:lang w:eastAsia="zh-CN"/>
              </w:rPr>
              <w:t>. The investors are free to withdraw their money at any time</w:t>
            </w:r>
            <w:r w:rsidR="00CD4110">
              <w:rPr>
                <w:rFonts w:asciiTheme="majorBidi" w:eastAsia="SimSun" w:hAnsiTheme="majorBidi" w:cstheme="majorBidi"/>
                <w:color w:val="000000"/>
                <w:szCs w:val="22"/>
                <w:lang w:eastAsia="zh-CN"/>
              </w:rPr>
              <w:t>.</w:t>
            </w:r>
          </w:p>
          <w:p w:rsidR="00542C90" w:rsidRDefault="00542C90" w:rsidP="00693A4B">
            <w:pPr>
              <w:autoSpaceDE w:val="0"/>
              <w:autoSpaceDN w:val="0"/>
              <w:adjustRightInd w:val="0"/>
              <w:jc w:val="left"/>
              <w:rPr>
                <w:rFonts w:asciiTheme="majorBidi" w:eastAsia="SimSun" w:hAnsiTheme="majorBidi" w:cstheme="majorBidi"/>
                <w:color w:val="000000"/>
                <w:szCs w:val="22"/>
                <w:lang w:eastAsia="zh-CN"/>
              </w:rPr>
            </w:pPr>
          </w:p>
          <w:p w:rsidR="00542C90" w:rsidRDefault="00891A38" w:rsidP="00693A4B">
            <w:pPr>
              <w:autoSpaceDE w:val="0"/>
              <w:autoSpaceDN w:val="0"/>
              <w:adjustRightInd w:val="0"/>
              <w:jc w:val="left"/>
              <w:rPr>
                <w:rFonts w:asciiTheme="majorBidi" w:eastAsia="SimSun" w:hAnsiTheme="majorBidi" w:cstheme="majorBidi"/>
                <w:color w:val="000000"/>
                <w:szCs w:val="22"/>
                <w:lang w:eastAsia="zh-CN"/>
              </w:rPr>
            </w:pPr>
            <w:r>
              <w:rPr>
                <w:rFonts w:asciiTheme="majorBidi" w:eastAsia="SimSun" w:hAnsiTheme="majorBidi" w:cstheme="majorBidi"/>
                <w:color w:val="000000"/>
                <w:szCs w:val="22"/>
                <w:lang w:eastAsia="zh-CN"/>
              </w:rPr>
              <w:t>ii.</w:t>
            </w:r>
            <w:r w:rsidR="00542C90">
              <w:rPr>
                <w:rFonts w:asciiTheme="majorBidi" w:eastAsia="SimSun" w:hAnsiTheme="majorBidi" w:cstheme="majorBidi"/>
                <w:color w:val="000000"/>
                <w:szCs w:val="22"/>
                <w:lang w:eastAsia="zh-CN"/>
              </w:rPr>
              <w:t xml:space="preserve"> </w:t>
            </w:r>
            <w:r w:rsidR="00A35EC3" w:rsidRPr="00A60452">
              <w:rPr>
                <w:rFonts w:asciiTheme="majorBidi" w:eastAsia="SimSun" w:hAnsiTheme="majorBidi" w:cstheme="majorBidi"/>
                <w:color w:val="000000"/>
                <w:szCs w:val="22"/>
                <w:lang w:eastAsia="zh-CN"/>
              </w:rPr>
              <w:t>Mudaraba accepted for a fixed period that provides</w:t>
            </w:r>
            <w:r w:rsidR="00CD4110">
              <w:rPr>
                <w:rFonts w:asciiTheme="majorBidi" w:eastAsia="SimSun" w:hAnsiTheme="majorBidi" w:cstheme="majorBidi"/>
                <w:color w:val="000000"/>
                <w:szCs w:val="22"/>
                <w:lang w:eastAsia="zh-CN"/>
              </w:rPr>
              <w:t xml:space="preserve"> an</w:t>
            </w:r>
            <w:r w:rsidR="00A35EC3" w:rsidRPr="00A60452">
              <w:rPr>
                <w:rFonts w:asciiTheme="majorBidi" w:eastAsia="SimSun" w:hAnsiTheme="majorBidi" w:cstheme="majorBidi"/>
                <w:color w:val="000000"/>
                <w:szCs w:val="22"/>
                <w:lang w:eastAsia="zh-CN"/>
              </w:rPr>
              <w:t xml:space="preserve"> opportunity for IFIs to invest in more profitable long-term projects. This type of Unrestricted Mudaraba is </w:t>
            </w:r>
            <w:proofErr w:type="gramStart"/>
            <w:r w:rsidR="00A35EC3" w:rsidRPr="00A60452">
              <w:rPr>
                <w:rFonts w:asciiTheme="majorBidi" w:eastAsia="SimSun" w:hAnsiTheme="majorBidi" w:cstheme="majorBidi"/>
                <w:color w:val="000000"/>
                <w:szCs w:val="22"/>
                <w:lang w:eastAsia="zh-CN"/>
              </w:rPr>
              <w:t>similar to</w:t>
            </w:r>
            <w:proofErr w:type="gramEnd"/>
            <w:r w:rsidR="00A35EC3" w:rsidRPr="00A60452">
              <w:rPr>
                <w:rFonts w:asciiTheme="majorBidi" w:eastAsia="SimSun" w:hAnsiTheme="majorBidi" w:cstheme="majorBidi"/>
                <w:color w:val="000000"/>
                <w:szCs w:val="22"/>
                <w:lang w:eastAsia="zh-CN"/>
              </w:rPr>
              <w:t xml:space="preserve"> time deposits at conventional financial institutions and </w:t>
            </w:r>
            <w:r w:rsidR="00A35EC3" w:rsidRPr="00A60452">
              <w:rPr>
                <w:rFonts w:asciiTheme="majorBidi" w:eastAsia="SimSun" w:hAnsiTheme="majorBidi" w:cstheme="majorBidi"/>
                <w:color w:val="000000"/>
                <w:szCs w:val="22"/>
                <w:lang w:eastAsia="zh-CN"/>
              </w:rPr>
              <w:lastRenderedPageBreak/>
              <w:t xml:space="preserve">usually generates higher profits in comparison to the former type. </w:t>
            </w:r>
          </w:p>
          <w:p w:rsidR="00AA5F5F" w:rsidRDefault="00AA5F5F" w:rsidP="00693A4B">
            <w:pPr>
              <w:autoSpaceDE w:val="0"/>
              <w:autoSpaceDN w:val="0"/>
              <w:adjustRightInd w:val="0"/>
              <w:jc w:val="left"/>
              <w:rPr>
                <w:rFonts w:asciiTheme="majorBidi" w:eastAsia="SimSun" w:hAnsiTheme="majorBidi" w:cstheme="majorBidi"/>
                <w:color w:val="000000"/>
                <w:szCs w:val="22"/>
                <w:lang w:eastAsia="zh-CN"/>
              </w:rPr>
            </w:pPr>
          </w:p>
          <w:p w:rsidR="00A35EC3" w:rsidRPr="00A60452" w:rsidRDefault="00891A38" w:rsidP="00693A4B">
            <w:pPr>
              <w:autoSpaceDE w:val="0"/>
              <w:autoSpaceDN w:val="0"/>
              <w:adjustRightInd w:val="0"/>
              <w:jc w:val="left"/>
              <w:rPr>
                <w:rFonts w:asciiTheme="majorBidi" w:eastAsia="SimSun" w:hAnsiTheme="majorBidi" w:cstheme="majorBidi"/>
                <w:color w:val="000000"/>
                <w:szCs w:val="22"/>
                <w:lang w:eastAsia="zh-CN"/>
              </w:rPr>
            </w:pPr>
            <w:r>
              <w:rPr>
                <w:rFonts w:asciiTheme="majorBidi" w:eastAsia="SimSun" w:hAnsiTheme="majorBidi" w:cstheme="majorBidi"/>
                <w:color w:val="000000"/>
                <w:szCs w:val="22"/>
                <w:lang w:eastAsia="zh-CN"/>
              </w:rPr>
              <w:t>iii.</w:t>
            </w:r>
            <w:r w:rsidR="00542C90">
              <w:rPr>
                <w:rFonts w:asciiTheme="majorBidi" w:eastAsia="SimSun" w:hAnsiTheme="majorBidi" w:cstheme="majorBidi"/>
                <w:color w:val="000000"/>
                <w:szCs w:val="22"/>
                <w:lang w:eastAsia="zh-CN"/>
              </w:rPr>
              <w:t xml:space="preserve"> </w:t>
            </w:r>
            <w:r w:rsidR="00A35EC3" w:rsidRPr="00A60452">
              <w:rPr>
                <w:rFonts w:asciiTheme="majorBidi" w:eastAsia="SimSun" w:hAnsiTheme="majorBidi" w:cstheme="majorBidi"/>
                <w:color w:val="000000"/>
                <w:szCs w:val="22"/>
                <w:lang w:eastAsia="zh-CN"/>
              </w:rPr>
              <w:t xml:space="preserve">Mudaraba accepted for fixed </w:t>
            </w:r>
            <w:r w:rsidR="00AA5F5F">
              <w:rPr>
                <w:rFonts w:asciiTheme="majorBidi" w:eastAsia="SimSun" w:hAnsiTheme="majorBidi" w:cstheme="majorBidi"/>
                <w:color w:val="000000"/>
                <w:szCs w:val="22"/>
                <w:lang w:eastAsia="zh-CN"/>
              </w:rPr>
              <w:t>periods</w:t>
            </w:r>
            <w:r w:rsidR="00AA5F5F" w:rsidRPr="00A60452">
              <w:rPr>
                <w:rFonts w:asciiTheme="majorBidi" w:eastAsia="SimSun" w:hAnsiTheme="majorBidi" w:cstheme="majorBidi"/>
                <w:color w:val="000000"/>
                <w:szCs w:val="22"/>
                <w:lang w:eastAsia="zh-CN"/>
              </w:rPr>
              <w:t xml:space="preserve"> </w:t>
            </w:r>
            <w:r w:rsidR="00A35EC3" w:rsidRPr="00A60452">
              <w:rPr>
                <w:rFonts w:asciiTheme="majorBidi" w:eastAsia="SimSun" w:hAnsiTheme="majorBidi" w:cstheme="majorBidi"/>
                <w:color w:val="000000"/>
                <w:szCs w:val="22"/>
                <w:lang w:eastAsia="zh-CN"/>
              </w:rPr>
              <w:t xml:space="preserve">and arranged through negotiable instruments (called investment deposit certificates or Mudaraba Certificates). This type of Unrestricted Mudaraba has characteristics </w:t>
            </w:r>
            <w:proofErr w:type="gramStart"/>
            <w:r w:rsidR="00A35EC3" w:rsidRPr="00A60452">
              <w:rPr>
                <w:rFonts w:asciiTheme="majorBidi" w:eastAsia="SimSun" w:hAnsiTheme="majorBidi" w:cstheme="majorBidi"/>
                <w:color w:val="000000"/>
                <w:szCs w:val="22"/>
                <w:lang w:eastAsia="zh-CN"/>
              </w:rPr>
              <w:t>similar to</w:t>
            </w:r>
            <w:proofErr w:type="gramEnd"/>
            <w:r w:rsidR="00A35EC3" w:rsidRPr="00A60452">
              <w:rPr>
                <w:rFonts w:asciiTheme="majorBidi" w:eastAsia="SimSun" w:hAnsiTheme="majorBidi" w:cstheme="majorBidi"/>
                <w:color w:val="000000"/>
                <w:szCs w:val="22"/>
                <w:lang w:eastAsia="zh-CN"/>
              </w:rPr>
              <w:t xml:space="preserve"> those of debt securities</w:t>
            </w:r>
            <w:r w:rsidR="00542C90">
              <w:rPr>
                <w:rFonts w:asciiTheme="majorBidi" w:eastAsia="SimSun" w:hAnsiTheme="majorBidi" w:cstheme="majorBidi"/>
                <w:color w:val="000000"/>
                <w:szCs w:val="22"/>
                <w:lang w:eastAsia="zh-CN"/>
              </w:rPr>
              <w:t xml:space="preserve"> unless it provides a claim on the residual value of the issuing entity, in which case it is classified as </w:t>
            </w:r>
            <w:r w:rsidR="008F4186">
              <w:rPr>
                <w:rFonts w:asciiTheme="majorBidi" w:eastAsia="SimSun" w:hAnsiTheme="majorBidi" w:cstheme="majorBidi"/>
                <w:color w:val="000000"/>
                <w:szCs w:val="22"/>
                <w:lang w:eastAsia="zh-CN"/>
              </w:rPr>
              <w:t>e</w:t>
            </w:r>
            <w:r w:rsidR="00542C90">
              <w:rPr>
                <w:rFonts w:asciiTheme="majorBidi" w:eastAsia="SimSun" w:hAnsiTheme="majorBidi" w:cstheme="majorBidi"/>
                <w:color w:val="000000"/>
                <w:szCs w:val="22"/>
                <w:lang w:eastAsia="zh-CN"/>
              </w:rPr>
              <w:t>quity</w:t>
            </w:r>
            <w:r w:rsidR="00A35EC3" w:rsidRPr="00A60452">
              <w:rPr>
                <w:rFonts w:asciiTheme="majorBidi" w:eastAsia="SimSun" w:hAnsiTheme="majorBidi" w:cstheme="majorBidi"/>
                <w:color w:val="000000"/>
                <w:szCs w:val="22"/>
                <w:lang w:eastAsia="zh-CN"/>
              </w:rPr>
              <w:t>.</w:t>
            </w:r>
          </w:p>
        </w:tc>
        <w:tc>
          <w:tcPr>
            <w:tcW w:w="1293" w:type="pct"/>
          </w:tcPr>
          <w:p w:rsidR="00536E06" w:rsidRDefault="00536E06" w:rsidP="00536E06">
            <w:pPr>
              <w:autoSpaceDE w:val="0"/>
              <w:autoSpaceDN w:val="0"/>
              <w:adjustRightInd w:val="0"/>
              <w:rPr>
                <w:rFonts w:asciiTheme="majorBidi" w:eastAsia="SimSun" w:hAnsiTheme="majorBidi" w:cstheme="majorBidi"/>
                <w:color w:val="000000"/>
                <w:lang w:eastAsia="zh-CN"/>
              </w:rPr>
            </w:pPr>
            <w:r>
              <w:rPr>
                <w:rFonts w:asciiTheme="majorBidi" w:eastAsia="SimSun" w:hAnsiTheme="majorBidi" w:cstheme="majorBidi"/>
                <w:color w:val="000000"/>
                <w:szCs w:val="22"/>
                <w:lang w:eastAsia="zh-CN"/>
              </w:rPr>
              <w:lastRenderedPageBreak/>
              <w:t>(</w:t>
            </w:r>
            <w:r w:rsidR="00891A38">
              <w:rPr>
                <w:rFonts w:asciiTheme="majorBidi" w:eastAsia="SimSun" w:hAnsiTheme="majorBidi" w:cstheme="majorBidi"/>
                <w:color w:val="000000"/>
                <w:szCs w:val="22"/>
                <w:lang w:eastAsia="zh-CN"/>
              </w:rPr>
              <w:t>2a)</w:t>
            </w:r>
            <w:r>
              <w:rPr>
                <w:rFonts w:asciiTheme="majorBidi" w:eastAsia="SimSun" w:hAnsiTheme="majorBidi" w:cstheme="majorBidi"/>
                <w:color w:val="000000"/>
                <w:lang w:eastAsia="zh-CN"/>
              </w:rPr>
              <w:t xml:space="preserve"> </w:t>
            </w:r>
            <w:r w:rsidR="00A35EC3" w:rsidRPr="000807A4">
              <w:rPr>
                <w:rFonts w:asciiTheme="majorBidi" w:eastAsia="SimSun" w:hAnsiTheme="majorBidi" w:cstheme="majorBidi"/>
                <w:color w:val="000000"/>
                <w:lang w:eastAsia="zh-CN"/>
              </w:rPr>
              <w:t>Restricted Mudaraba</w:t>
            </w:r>
            <w:r w:rsidR="003E63AB">
              <w:rPr>
                <w:rFonts w:asciiTheme="majorBidi" w:eastAsia="SimSun" w:hAnsiTheme="majorBidi" w:cstheme="majorBidi"/>
                <w:color w:val="000000"/>
                <w:lang w:eastAsia="zh-CN"/>
              </w:rPr>
              <w:t xml:space="preserve"> </w:t>
            </w:r>
          </w:p>
          <w:p w:rsidR="00A35EC3" w:rsidRPr="00F22218" w:rsidRDefault="00A35EC3" w:rsidP="00536E06">
            <w:pPr>
              <w:autoSpaceDE w:val="0"/>
              <w:autoSpaceDN w:val="0"/>
              <w:adjustRightInd w:val="0"/>
              <w:rPr>
                <w:rFonts w:asciiTheme="majorBidi" w:eastAsia="SimSun" w:hAnsiTheme="majorBidi" w:cstheme="majorBidi"/>
                <w:color w:val="000000"/>
                <w:lang w:eastAsia="zh-CN"/>
              </w:rPr>
            </w:pPr>
            <w:r>
              <w:rPr>
                <w:rFonts w:asciiTheme="majorBidi" w:eastAsia="SimSun" w:hAnsiTheme="majorBidi" w:cstheme="majorBidi"/>
                <w:color w:val="000000"/>
                <w:lang w:eastAsia="zh-CN"/>
              </w:rPr>
              <w:t xml:space="preserve">– </w:t>
            </w:r>
            <w:r w:rsidR="0085767B">
              <w:rPr>
                <w:rFonts w:asciiTheme="majorBidi" w:eastAsia="SimSun" w:hAnsiTheme="majorBidi" w:cstheme="majorBidi"/>
                <w:color w:val="000000"/>
                <w:lang w:eastAsia="zh-CN"/>
              </w:rPr>
              <w:t>O</w:t>
            </w:r>
            <w:r w:rsidR="00DA1387">
              <w:rPr>
                <w:rFonts w:asciiTheme="majorBidi" w:eastAsia="SimSun" w:hAnsiTheme="majorBidi" w:cstheme="majorBidi"/>
                <w:color w:val="000000"/>
                <w:lang w:eastAsia="zh-CN"/>
              </w:rPr>
              <w:t xml:space="preserve">ther </w:t>
            </w:r>
            <w:r w:rsidR="00021720">
              <w:rPr>
                <w:rFonts w:asciiTheme="majorBidi" w:eastAsia="SimSun" w:hAnsiTheme="majorBidi" w:cstheme="majorBidi"/>
                <w:color w:val="000000"/>
                <w:lang w:eastAsia="zh-CN"/>
              </w:rPr>
              <w:t>d</w:t>
            </w:r>
            <w:r>
              <w:rPr>
                <w:rFonts w:asciiTheme="majorBidi" w:eastAsia="SimSun" w:hAnsiTheme="majorBidi" w:cstheme="majorBidi"/>
                <w:color w:val="000000"/>
                <w:lang w:eastAsia="zh-CN"/>
              </w:rPr>
              <w:t>eposit</w:t>
            </w:r>
            <w:r w:rsidR="00E96AAD">
              <w:rPr>
                <w:rFonts w:asciiTheme="majorBidi" w:eastAsia="SimSun" w:hAnsiTheme="majorBidi" w:cstheme="majorBidi"/>
                <w:color w:val="000000"/>
                <w:lang w:eastAsia="zh-CN"/>
              </w:rPr>
              <w:t>s</w:t>
            </w:r>
            <w:r>
              <w:rPr>
                <w:rFonts w:asciiTheme="majorBidi" w:eastAsia="SimSun" w:hAnsiTheme="majorBidi" w:cstheme="majorBidi"/>
                <w:color w:val="000000"/>
                <w:lang w:eastAsia="zh-CN"/>
              </w:rPr>
              <w:t xml:space="preserve"> (F29)</w:t>
            </w:r>
          </w:p>
          <w:p w:rsidR="00A35EC3" w:rsidRDefault="00A35EC3" w:rsidP="0058150F">
            <w:pPr>
              <w:autoSpaceDE w:val="0"/>
              <w:autoSpaceDN w:val="0"/>
              <w:adjustRightInd w:val="0"/>
              <w:jc w:val="left"/>
              <w:rPr>
                <w:rFonts w:asciiTheme="majorBidi" w:eastAsia="SimSun" w:hAnsiTheme="majorBidi" w:cstheme="majorBidi"/>
                <w:color w:val="000000"/>
                <w:szCs w:val="22"/>
                <w:lang w:eastAsia="zh-CN"/>
              </w:rPr>
            </w:pPr>
          </w:p>
          <w:p w:rsidR="00891A38" w:rsidRDefault="00536E06" w:rsidP="0058150F">
            <w:pPr>
              <w:autoSpaceDE w:val="0"/>
              <w:autoSpaceDN w:val="0"/>
              <w:adjustRightInd w:val="0"/>
              <w:jc w:val="left"/>
              <w:rPr>
                <w:rFonts w:asciiTheme="majorBidi" w:eastAsia="SimSun" w:hAnsiTheme="majorBidi" w:cstheme="majorBidi"/>
                <w:color w:val="000000"/>
                <w:szCs w:val="22"/>
                <w:lang w:eastAsia="zh-CN"/>
              </w:rPr>
            </w:pPr>
            <w:r>
              <w:rPr>
                <w:rFonts w:asciiTheme="majorBidi" w:eastAsia="SimSun" w:hAnsiTheme="majorBidi" w:cstheme="majorBidi"/>
                <w:color w:val="000000"/>
                <w:szCs w:val="22"/>
                <w:lang w:eastAsia="zh-CN"/>
              </w:rPr>
              <w:t>(</w:t>
            </w:r>
            <w:r w:rsidR="00891A38">
              <w:rPr>
                <w:rFonts w:asciiTheme="majorBidi" w:eastAsia="SimSun" w:hAnsiTheme="majorBidi" w:cstheme="majorBidi"/>
                <w:color w:val="000000"/>
                <w:szCs w:val="22"/>
                <w:lang w:eastAsia="zh-CN"/>
              </w:rPr>
              <w:t>2b)</w:t>
            </w:r>
            <w:r>
              <w:rPr>
                <w:rFonts w:asciiTheme="majorBidi" w:eastAsia="SimSun" w:hAnsiTheme="majorBidi" w:cstheme="majorBidi"/>
                <w:color w:val="000000"/>
                <w:szCs w:val="22"/>
                <w:lang w:eastAsia="zh-CN"/>
              </w:rPr>
              <w:t xml:space="preserve"> Unrestricted Mudaraba</w:t>
            </w:r>
          </w:p>
          <w:p w:rsidR="00536E06" w:rsidRDefault="00891A38" w:rsidP="0058150F">
            <w:pPr>
              <w:autoSpaceDE w:val="0"/>
              <w:autoSpaceDN w:val="0"/>
              <w:adjustRightInd w:val="0"/>
              <w:jc w:val="left"/>
              <w:rPr>
                <w:rFonts w:asciiTheme="majorBidi" w:eastAsia="SimSun" w:hAnsiTheme="majorBidi" w:cstheme="majorBidi"/>
                <w:color w:val="000000"/>
                <w:szCs w:val="22"/>
                <w:lang w:eastAsia="zh-CN"/>
              </w:rPr>
            </w:pPr>
            <w:r>
              <w:rPr>
                <w:rFonts w:asciiTheme="majorBidi" w:eastAsia="SimSun" w:hAnsiTheme="majorBidi" w:cstheme="majorBidi"/>
                <w:color w:val="000000"/>
                <w:szCs w:val="22"/>
                <w:lang w:eastAsia="zh-CN"/>
              </w:rPr>
              <w:t>i.</w:t>
            </w:r>
            <w:r w:rsidRPr="00A60452">
              <w:rPr>
                <w:rFonts w:asciiTheme="majorBidi" w:eastAsia="SimSun" w:hAnsiTheme="majorBidi" w:cstheme="majorBidi"/>
                <w:color w:val="000000"/>
                <w:szCs w:val="22"/>
                <w:lang w:eastAsia="zh-CN"/>
              </w:rPr>
              <w:t xml:space="preserve"> </w:t>
            </w:r>
            <w:r w:rsidR="00A35EC3" w:rsidRPr="00FE41D2">
              <w:rPr>
                <w:rFonts w:asciiTheme="majorBidi" w:eastAsia="SimSun" w:hAnsiTheme="majorBidi" w:cstheme="majorBidi"/>
                <w:color w:val="000000"/>
                <w:szCs w:val="22"/>
                <w:lang w:eastAsia="zh-CN"/>
              </w:rPr>
              <w:t xml:space="preserve">Unrestricted Mudaraba </w:t>
            </w:r>
            <w:r w:rsidR="00AA5F5F">
              <w:rPr>
                <w:rFonts w:asciiTheme="majorBidi" w:eastAsia="SimSun" w:hAnsiTheme="majorBidi" w:cstheme="majorBidi"/>
                <w:color w:val="000000"/>
                <w:szCs w:val="22"/>
                <w:lang w:eastAsia="zh-CN"/>
              </w:rPr>
              <w:t xml:space="preserve">without fixed period </w:t>
            </w:r>
          </w:p>
          <w:p w:rsidR="00A35EC3" w:rsidRPr="00A60452" w:rsidRDefault="00A35EC3" w:rsidP="0058150F">
            <w:pPr>
              <w:autoSpaceDE w:val="0"/>
              <w:autoSpaceDN w:val="0"/>
              <w:adjustRightInd w:val="0"/>
              <w:jc w:val="left"/>
              <w:rPr>
                <w:rFonts w:asciiTheme="majorBidi" w:hAnsiTheme="majorBidi" w:cstheme="majorBidi"/>
                <w:szCs w:val="22"/>
              </w:rPr>
            </w:pPr>
            <w:r w:rsidRPr="00FE41D2">
              <w:rPr>
                <w:rFonts w:asciiTheme="majorBidi" w:eastAsia="SimSun" w:hAnsiTheme="majorBidi" w:cstheme="majorBidi"/>
                <w:color w:val="000000"/>
                <w:szCs w:val="22"/>
                <w:lang w:eastAsia="zh-CN"/>
              </w:rPr>
              <w:t>–</w:t>
            </w:r>
            <w:r w:rsidR="00AA5F5F">
              <w:rPr>
                <w:rFonts w:asciiTheme="majorBidi" w:eastAsia="SimSun" w:hAnsiTheme="majorBidi" w:cstheme="majorBidi"/>
                <w:color w:val="000000"/>
                <w:szCs w:val="22"/>
                <w:lang w:eastAsia="zh-CN"/>
              </w:rPr>
              <w:t xml:space="preserve"> </w:t>
            </w:r>
            <w:r w:rsidR="0085767B">
              <w:rPr>
                <w:rFonts w:asciiTheme="majorBidi" w:eastAsia="SimSun" w:hAnsiTheme="majorBidi" w:cstheme="majorBidi"/>
                <w:color w:val="000000"/>
                <w:szCs w:val="22"/>
                <w:lang w:eastAsia="zh-CN"/>
              </w:rPr>
              <w:t>O</w:t>
            </w:r>
            <w:r w:rsidRPr="00FE41D2">
              <w:rPr>
                <w:rFonts w:asciiTheme="majorBidi" w:eastAsia="SimSun" w:hAnsiTheme="majorBidi" w:cstheme="majorBidi"/>
                <w:color w:val="000000"/>
                <w:szCs w:val="22"/>
                <w:lang w:eastAsia="zh-CN"/>
              </w:rPr>
              <w:t xml:space="preserve">ther </w:t>
            </w:r>
            <w:r w:rsidR="00E96AAD">
              <w:rPr>
                <w:rFonts w:asciiTheme="majorBidi" w:eastAsia="SimSun" w:hAnsiTheme="majorBidi" w:cstheme="majorBidi"/>
                <w:color w:val="000000"/>
                <w:szCs w:val="22"/>
                <w:lang w:eastAsia="zh-CN"/>
              </w:rPr>
              <w:t>d</w:t>
            </w:r>
            <w:r w:rsidR="00E96AAD" w:rsidRPr="00FE41D2">
              <w:rPr>
                <w:rFonts w:asciiTheme="majorBidi" w:eastAsia="SimSun" w:hAnsiTheme="majorBidi" w:cstheme="majorBidi"/>
                <w:color w:val="000000"/>
                <w:szCs w:val="22"/>
                <w:lang w:eastAsia="zh-CN"/>
              </w:rPr>
              <w:t xml:space="preserve">eposits </w:t>
            </w:r>
            <w:r w:rsidRPr="00FE41D2">
              <w:rPr>
                <w:rFonts w:asciiTheme="majorBidi" w:hAnsiTheme="majorBidi" w:cstheme="majorBidi"/>
                <w:szCs w:val="22"/>
              </w:rPr>
              <w:t>(F29)</w:t>
            </w:r>
          </w:p>
          <w:p w:rsidR="00A35EC3" w:rsidRPr="00A60452" w:rsidRDefault="00A35EC3" w:rsidP="0058150F">
            <w:pPr>
              <w:autoSpaceDE w:val="0"/>
              <w:autoSpaceDN w:val="0"/>
              <w:adjustRightInd w:val="0"/>
              <w:jc w:val="left"/>
              <w:rPr>
                <w:rFonts w:asciiTheme="majorBidi" w:eastAsia="SimSun" w:hAnsiTheme="majorBidi" w:cstheme="majorBidi"/>
                <w:color w:val="000000"/>
                <w:szCs w:val="22"/>
                <w:lang w:eastAsia="zh-CN"/>
              </w:rPr>
            </w:pPr>
          </w:p>
          <w:p w:rsidR="00536E06" w:rsidRDefault="00891A38" w:rsidP="00A85018">
            <w:pPr>
              <w:autoSpaceDE w:val="0"/>
              <w:autoSpaceDN w:val="0"/>
              <w:adjustRightInd w:val="0"/>
              <w:rPr>
                <w:rFonts w:asciiTheme="majorBidi" w:eastAsia="SimSun" w:hAnsiTheme="majorBidi" w:cstheme="majorBidi"/>
                <w:color w:val="000000"/>
                <w:lang w:eastAsia="zh-CN"/>
              </w:rPr>
            </w:pPr>
            <w:r>
              <w:rPr>
                <w:rFonts w:asciiTheme="majorBidi" w:eastAsia="SimSun" w:hAnsiTheme="majorBidi" w:cstheme="majorBidi"/>
                <w:color w:val="000000"/>
                <w:szCs w:val="22"/>
                <w:lang w:eastAsia="zh-CN"/>
              </w:rPr>
              <w:t>ii.</w:t>
            </w:r>
            <w:r w:rsidR="00536E06">
              <w:rPr>
                <w:rFonts w:asciiTheme="majorBidi" w:eastAsia="SimSun" w:hAnsiTheme="majorBidi" w:cstheme="majorBidi"/>
                <w:color w:val="000000"/>
                <w:szCs w:val="22"/>
                <w:lang w:eastAsia="zh-CN"/>
              </w:rPr>
              <w:t xml:space="preserve"> Unrestricted</w:t>
            </w:r>
            <w:r w:rsidR="00A35EC3">
              <w:rPr>
                <w:rFonts w:asciiTheme="majorBidi" w:eastAsia="SimSun" w:hAnsiTheme="majorBidi" w:cstheme="majorBidi"/>
                <w:color w:val="000000"/>
                <w:lang w:eastAsia="zh-CN"/>
              </w:rPr>
              <w:t xml:space="preserve"> </w:t>
            </w:r>
            <w:r w:rsidR="00A35EC3" w:rsidRPr="00F22218">
              <w:rPr>
                <w:rFonts w:asciiTheme="majorBidi" w:eastAsia="SimSun" w:hAnsiTheme="majorBidi" w:cstheme="majorBidi"/>
                <w:color w:val="000000"/>
                <w:lang w:eastAsia="zh-CN"/>
              </w:rPr>
              <w:t xml:space="preserve">Mudaraba accepted for a fixed period </w:t>
            </w:r>
            <w:r w:rsidR="00AA5F5F">
              <w:rPr>
                <w:rFonts w:asciiTheme="majorBidi" w:eastAsia="SimSun" w:hAnsiTheme="majorBidi" w:cstheme="majorBidi"/>
                <w:color w:val="000000"/>
                <w:lang w:eastAsia="zh-CN"/>
              </w:rPr>
              <w:t>but not negotiable</w:t>
            </w:r>
          </w:p>
          <w:p w:rsidR="00A35EC3" w:rsidRPr="00F22218" w:rsidRDefault="00A35EC3" w:rsidP="00A85018">
            <w:pPr>
              <w:autoSpaceDE w:val="0"/>
              <w:autoSpaceDN w:val="0"/>
              <w:adjustRightInd w:val="0"/>
              <w:rPr>
                <w:rFonts w:asciiTheme="majorBidi" w:hAnsiTheme="majorBidi" w:cstheme="majorBidi"/>
              </w:rPr>
            </w:pPr>
            <w:r w:rsidRPr="00F22218">
              <w:rPr>
                <w:rFonts w:asciiTheme="majorBidi" w:eastAsia="SimSun" w:hAnsiTheme="majorBidi" w:cstheme="majorBidi"/>
                <w:color w:val="000000"/>
                <w:lang w:eastAsia="zh-CN"/>
              </w:rPr>
              <w:t xml:space="preserve">– </w:t>
            </w:r>
            <w:r w:rsidR="0085767B">
              <w:rPr>
                <w:rFonts w:asciiTheme="majorBidi" w:eastAsia="SimSun" w:hAnsiTheme="majorBidi" w:cstheme="majorBidi"/>
                <w:color w:val="000000"/>
                <w:lang w:eastAsia="zh-CN"/>
              </w:rPr>
              <w:t>O</w:t>
            </w:r>
            <w:r w:rsidRPr="00F22218">
              <w:rPr>
                <w:rFonts w:asciiTheme="majorBidi" w:eastAsia="SimSun" w:hAnsiTheme="majorBidi" w:cstheme="majorBidi"/>
                <w:color w:val="000000"/>
                <w:lang w:eastAsia="zh-CN"/>
              </w:rPr>
              <w:t xml:space="preserve">ther </w:t>
            </w:r>
            <w:r w:rsidR="00021720">
              <w:rPr>
                <w:rFonts w:asciiTheme="majorBidi" w:eastAsia="SimSun" w:hAnsiTheme="majorBidi" w:cstheme="majorBidi"/>
                <w:color w:val="000000"/>
                <w:lang w:eastAsia="zh-CN"/>
              </w:rPr>
              <w:t>d</w:t>
            </w:r>
            <w:r w:rsidRPr="00F22218">
              <w:rPr>
                <w:rFonts w:asciiTheme="majorBidi" w:eastAsia="SimSun" w:hAnsiTheme="majorBidi" w:cstheme="majorBidi"/>
                <w:color w:val="000000"/>
                <w:lang w:eastAsia="zh-CN"/>
              </w:rPr>
              <w:t xml:space="preserve">eposits </w:t>
            </w:r>
            <w:r w:rsidRPr="00F22218">
              <w:rPr>
                <w:rFonts w:asciiTheme="majorBidi" w:hAnsiTheme="majorBidi" w:cstheme="majorBidi"/>
              </w:rPr>
              <w:t xml:space="preserve">(F29) </w:t>
            </w:r>
          </w:p>
          <w:p w:rsidR="00A35EC3" w:rsidRPr="00A60452" w:rsidRDefault="00A35EC3" w:rsidP="0058150F">
            <w:pPr>
              <w:autoSpaceDE w:val="0"/>
              <w:autoSpaceDN w:val="0"/>
              <w:adjustRightInd w:val="0"/>
              <w:jc w:val="left"/>
              <w:rPr>
                <w:rFonts w:asciiTheme="majorBidi" w:hAnsiTheme="majorBidi" w:cstheme="majorBidi"/>
                <w:szCs w:val="22"/>
              </w:rPr>
            </w:pPr>
          </w:p>
          <w:p w:rsidR="001B74FE" w:rsidRDefault="00891A38" w:rsidP="0058150F">
            <w:pPr>
              <w:autoSpaceDE w:val="0"/>
              <w:autoSpaceDN w:val="0"/>
              <w:adjustRightInd w:val="0"/>
              <w:jc w:val="left"/>
              <w:rPr>
                <w:rFonts w:asciiTheme="majorBidi" w:eastAsia="SimSun" w:hAnsiTheme="majorBidi" w:cstheme="majorBidi"/>
                <w:color w:val="000000"/>
                <w:szCs w:val="22"/>
                <w:lang w:eastAsia="zh-CN"/>
              </w:rPr>
            </w:pPr>
            <w:r>
              <w:rPr>
                <w:rFonts w:asciiTheme="majorBidi" w:eastAsia="SimSun" w:hAnsiTheme="majorBidi" w:cstheme="majorBidi"/>
                <w:color w:val="000000"/>
                <w:szCs w:val="22"/>
                <w:lang w:eastAsia="zh-CN"/>
              </w:rPr>
              <w:t xml:space="preserve">iii. </w:t>
            </w:r>
            <w:r w:rsidR="00536E06">
              <w:rPr>
                <w:rFonts w:asciiTheme="majorBidi" w:eastAsia="SimSun" w:hAnsiTheme="majorBidi" w:cstheme="majorBidi"/>
                <w:color w:val="000000"/>
                <w:szCs w:val="22"/>
                <w:lang w:eastAsia="zh-CN"/>
              </w:rPr>
              <w:t xml:space="preserve">Unrestricted </w:t>
            </w:r>
            <w:r w:rsidR="00A35EC3" w:rsidRPr="00A60452">
              <w:rPr>
                <w:rFonts w:asciiTheme="majorBidi" w:eastAsia="SimSun" w:hAnsiTheme="majorBidi" w:cstheme="majorBidi"/>
                <w:color w:val="000000"/>
                <w:szCs w:val="22"/>
                <w:lang w:eastAsia="zh-CN"/>
              </w:rPr>
              <w:t xml:space="preserve">Mudaraba accepted for fixed </w:t>
            </w:r>
            <w:r w:rsidR="00AA5F5F">
              <w:rPr>
                <w:rFonts w:asciiTheme="majorBidi" w:eastAsia="SimSun" w:hAnsiTheme="majorBidi" w:cstheme="majorBidi"/>
                <w:color w:val="000000"/>
                <w:szCs w:val="22"/>
                <w:lang w:eastAsia="zh-CN"/>
              </w:rPr>
              <w:t>period</w:t>
            </w:r>
            <w:r w:rsidR="00AA5F5F" w:rsidRPr="00A60452">
              <w:rPr>
                <w:rFonts w:asciiTheme="majorBidi" w:eastAsia="SimSun" w:hAnsiTheme="majorBidi" w:cstheme="majorBidi"/>
                <w:color w:val="000000"/>
                <w:szCs w:val="22"/>
                <w:lang w:eastAsia="zh-CN"/>
              </w:rPr>
              <w:t xml:space="preserve"> </w:t>
            </w:r>
            <w:r w:rsidR="00A35EC3" w:rsidRPr="00A60452">
              <w:rPr>
                <w:rFonts w:asciiTheme="majorBidi" w:eastAsia="SimSun" w:hAnsiTheme="majorBidi" w:cstheme="majorBidi"/>
                <w:color w:val="000000"/>
                <w:szCs w:val="22"/>
                <w:lang w:eastAsia="zh-CN"/>
              </w:rPr>
              <w:t>and arranged through negotiable instruments</w:t>
            </w:r>
            <w:r w:rsidR="00AA5F5F">
              <w:rPr>
                <w:rFonts w:asciiTheme="majorBidi" w:eastAsia="SimSun" w:hAnsiTheme="majorBidi" w:cstheme="majorBidi"/>
                <w:color w:val="000000"/>
                <w:szCs w:val="22"/>
                <w:lang w:eastAsia="zh-CN"/>
              </w:rPr>
              <w:t xml:space="preserve"> </w:t>
            </w:r>
          </w:p>
          <w:p w:rsidR="00A35EC3" w:rsidRPr="00A60452" w:rsidRDefault="001B74FE" w:rsidP="0058150F">
            <w:pPr>
              <w:autoSpaceDE w:val="0"/>
              <w:autoSpaceDN w:val="0"/>
              <w:adjustRightInd w:val="0"/>
              <w:jc w:val="left"/>
              <w:rPr>
                <w:rFonts w:asciiTheme="majorBidi" w:eastAsia="SimSun" w:hAnsiTheme="majorBidi" w:cstheme="majorBidi"/>
                <w:color w:val="000000"/>
                <w:szCs w:val="22"/>
                <w:lang w:eastAsia="zh-CN"/>
              </w:rPr>
            </w:pPr>
            <w:r>
              <w:rPr>
                <w:rFonts w:asciiTheme="majorBidi" w:eastAsia="SimSun" w:hAnsiTheme="majorBidi" w:cstheme="majorBidi"/>
                <w:color w:val="000000"/>
                <w:szCs w:val="22"/>
                <w:lang w:eastAsia="zh-CN"/>
              </w:rPr>
              <w:t>–</w:t>
            </w:r>
            <w:r w:rsidR="00A35EC3" w:rsidRPr="00A60452">
              <w:rPr>
                <w:rFonts w:asciiTheme="majorBidi" w:eastAsia="SimSun" w:hAnsiTheme="majorBidi" w:cstheme="majorBidi"/>
                <w:color w:val="000000"/>
                <w:szCs w:val="22"/>
                <w:lang w:eastAsia="zh-CN"/>
              </w:rPr>
              <w:t xml:space="preserve"> </w:t>
            </w:r>
            <w:r w:rsidR="0085767B">
              <w:rPr>
                <w:rFonts w:asciiTheme="majorBidi" w:eastAsia="SimSun" w:hAnsiTheme="majorBidi" w:cstheme="majorBidi"/>
                <w:color w:val="000000"/>
                <w:szCs w:val="22"/>
                <w:lang w:eastAsia="zh-CN"/>
              </w:rPr>
              <w:t>D</w:t>
            </w:r>
            <w:r w:rsidR="00A35EC3" w:rsidRPr="00A60452">
              <w:rPr>
                <w:rFonts w:asciiTheme="majorBidi" w:eastAsia="SimSun" w:hAnsiTheme="majorBidi" w:cstheme="majorBidi"/>
                <w:color w:val="000000"/>
                <w:szCs w:val="22"/>
                <w:lang w:eastAsia="zh-CN"/>
              </w:rPr>
              <w:t xml:space="preserve">ebt </w:t>
            </w:r>
            <w:r w:rsidR="00021720">
              <w:rPr>
                <w:rFonts w:asciiTheme="majorBidi" w:eastAsia="SimSun" w:hAnsiTheme="majorBidi" w:cstheme="majorBidi"/>
                <w:color w:val="000000"/>
                <w:szCs w:val="22"/>
                <w:lang w:eastAsia="zh-CN"/>
              </w:rPr>
              <w:t>s</w:t>
            </w:r>
            <w:r w:rsidR="00A35EC3" w:rsidRPr="00A60452">
              <w:rPr>
                <w:rFonts w:asciiTheme="majorBidi" w:eastAsia="SimSun" w:hAnsiTheme="majorBidi" w:cstheme="majorBidi"/>
                <w:color w:val="000000"/>
                <w:szCs w:val="22"/>
                <w:lang w:eastAsia="zh-CN"/>
              </w:rPr>
              <w:t>ecurit</w:t>
            </w:r>
            <w:r>
              <w:rPr>
                <w:rFonts w:asciiTheme="majorBidi" w:eastAsia="SimSun" w:hAnsiTheme="majorBidi" w:cstheme="majorBidi"/>
                <w:color w:val="000000"/>
                <w:szCs w:val="22"/>
                <w:lang w:eastAsia="zh-CN"/>
              </w:rPr>
              <w:t>ies</w:t>
            </w:r>
            <w:r w:rsidR="00A35EC3" w:rsidRPr="00A60452">
              <w:rPr>
                <w:rFonts w:asciiTheme="majorBidi" w:eastAsia="SimSun" w:hAnsiTheme="majorBidi" w:cstheme="majorBidi"/>
                <w:color w:val="000000"/>
                <w:szCs w:val="22"/>
                <w:lang w:eastAsia="zh-CN"/>
              </w:rPr>
              <w:t xml:space="preserve"> (F3) unless it provides a claim on the residual value of the issuing entity, in which case it is classified as </w:t>
            </w:r>
            <w:r w:rsidR="0085767B">
              <w:rPr>
                <w:rFonts w:asciiTheme="majorBidi" w:eastAsia="SimSun" w:hAnsiTheme="majorBidi" w:cstheme="majorBidi"/>
                <w:color w:val="000000"/>
                <w:szCs w:val="22"/>
                <w:lang w:eastAsia="zh-CN"/>
              </w:rPr>
              <w:t>E</w:t>
            </w:r>
            <w:r w:rsidR="0085767B" w:rsidRPr="00A60452">
              <w:rPr>
                <w:rFonts w:asciiTheme="majorBidi" w:eastAsia="SimSun" w:hAnsiTheme="majorBidi" w:cstheme="majorBidi"/>
                <w:color w:val="000000"/>
                <w:szCs w:val="22"/>
                <w:lang w:eastAsia="zh-CN"/>
              </w:rPr>
              <w:t xml:space="preserve">quity </w:t>
            </w:r>
            <w:r w:rsidR="00A35EC3" w:rsidRPr="00A60452">
              <w:rPr>
                <w:rFonts w:asciiTheme="majorBidi" w:hAnsiTheme="majorBidi" w:cstheme="majorBidi"/>
                <w:szCs w:val="22"/>
              </w:rPr>
              <w:t>(F51)</w:t>
            </w:r>
          </w:p>
        </w:tc>
        <w:tc>
          <w:tcPr>
            <w:tcW w:w="812" w:type="pct"/>
          </w:tcPr>
          <w:p w:rsidR="00A35EC3" w:rsidRPr="00A60452" w:rsidRDefault="00A35EC3" w:rsidP="00E362B6">
            <w:pPr>
              <w:autoSpaceDE w:val="0"/>
              <w:autoSpaceDN w:val="0"/>
              <w:adjustRightInd w:val="0"/>
              <w:rPr>
                <w:rFonts w:asciiTheme="majorBidi" w:eastAsia="SimSun" w:hAnsiTheme="majorBidi" w:cstheme="majorBidi"/>
                <w:color w:val="000000"/>
                <w:szCs w:val="22"/>
                <w:lang w:eastAsia="zh-CN"/>
              </w:rPr>
            </w:pPr>
            <w:r w:rsidRPr="00A60452">
              <w:rPr>
                <w:rFonts w:asciiTheme="majorBidi" w:eastAsia="SimSun" w:hAnsiTheme="majorBidi" w:cstheme="majorBidi"/>
                <w:color w:val="000000"/>
                <w:szCs w:val="22"/>
                <w:lang w:eastAsia="zh-CN"/>
              </w:rPr>
              <w:t>Share of profit</w:t>
            </w:r>
          </w:p>
        </w:tc>
        <w:tc>
          <w:tcPr>
            <w:tcW w:w="718" w:type="pct"/>
          </w:tcPr>
          <w:p w:rsidR="00A35EC3" w:rsidRPr="00A60452" w:rsidRDefault="00A35EC3" w:rsidP="00E55A9D">
            <w:pPr>
              <w:autoSpaceDE w:val="0"/>
              <w:autoSpaceDN w:val="0"/>
              <w:adjustRightInd w:val="0"/>
              <w:jc w:val="left"/>
              <w:rPr>
                <w:rFonts w:asciiTheme="majorBidi" w:eastAsia="SimSun" w:hAnsiTheme="majorBidi" w:cstheme="majorBidi"/>
                <w:color w:val="000000"/>
                <w:szCs w:val="22"/>
                <w:lang w:eastAsia="zh-CN"/>
              </w:rPr>
            </w:pPr>
            <w:r w:rsidRPr="00A60452">
              <w:rPr>
                <w:rFonts w:asciiTheme="majorBidi" w:eastAsia="SimSun" w:hAnsiTheme="majorBidi" w:cstheme="majorBidi"/>
                <w:color w:val="000000"/>
                <w:szCs w:val="22"/>
                <w:lang w:eastAsia="zh-CN"/>
              </w:rPr>
              <w:t>Interest (D41)</w:t>
            </w:r>
            <w:r>
              <w:rPr>
                <w:rFonts w:asciiTheme="majorBidi" w:eastAsia="SimSun" w:hAnsiTheme="majorBidi" w:cstheme="majorBidi"/>
                <w:color w:val="000000"/>
                <w:szCs w:val="22"/>
                <w:lang w:eastAsia="zh-CN"/>
              </w:rPr>
              <w:t xml:space="preserve"> </w:t>
            </w:r>
            <w:r w:rsidRPr="00A60452">
              <w:rPr>
                <w:rFonts w:asciiTheme="majorBidi" w:eastAsia="SimSun" w:hAnsiTheme="majorBidi" w:cstheme="majorBidi"/>
                <w:color w:val="000000"/>
                <w:szCs w:val="22"/>
                <w:lang w:eastAsia="zh-CN"/>
              </w:rPr>
              <w:t xml:space="preserve">if classified as </w:t>
            </w:r>
            <w:r w:rsidR="00AA5F5F">
              <w:rPr>
                <w:rFonts w:asciiTheme="majorBidi" w:eastAsia="SimSun" w:hAnsiTheme="majorBidi" w:cstheme="majorBidi"/>
                <w:color w:val="000000"/>
                <w:szCs w:val="22"/>
                <w:lang w:eastAsia="zh-CN"/>
              </w:rPr>
              <w:t xml:space="preserve">deposits or </w:t>
            </w:r>
            <w:r w:rsidRPr="00A60452">
              <w:rPr>
                <w:rFonts w:asciiTheme="majorBidi" w:eastAsia="SimSun" w:hAnsiTheme="majorBidi" w:cstheme="majorBidi"/>
                <w:color w:val="000000"/>
                <w:szCs w:val="22"/>
                <w:lang w:eastAsia="zh-CN"/>
              </w:rPr>
              <w:t xml:space="preserve">debt securities </w:t>
            </w:r>
          </w:p>
          <w:p w:rsidR="00A35EC3" w:rsidRDefault="00A35EC3" w:rsidP="00E55A9D">
            <w:pPr>
              <w:autoSpaceDE w:val="0"/>
              <w:autoSpaceDN w:val="0"/>
              <w:adjustRightInd w:val="0"/>
              <w:jc w:val="left"/>
              <w:rPr>
                <w:rFonts w:asciiTheme="majorBidi" w:eastAsia="SimSun" w:hAnsiTheme="majorBidi" w:cstheme="majorBidi"/>
                <w:color w:val="000000"/>
                <w:szCs w:val="22"/>
                <w:lang w:eastAsia="zh-CN"/>
              </w:rPr>
            </w:pPr>
          </w:p>
          <w:p w:rsidR="00AA5F5F" w:rsidRPr="00A60452" w:rsidRDefault="00AA5F5F" w:rsidP="00E55A9D">
            <w:pPr>
              <w:autoSpaceDE w:val="0"/>
              <w:autoSpaceDN w:val="0"/>
              <w:adjustRightInd w:val="0"/>
              <w:jc w:val="left"/>
              <w:rPr>
                <w:rFonts w:asciiTheme="majorBidi" w:eastAsia="SimSun" w:hAnsiTheme="majorBidi" w:cstheme="majorBidi"/>
                <w:color w:val="000000"/>
                <w:szCs w:val="22"/>
                <w:lang w:eastAsia="zh-CN"/>
              </w:rPr>
            </w:pPr>
          </w:p>
          <w:p w:rsidR="00A35EC3" w:rsidRPr="00A60452" w:rsidRDefault="00A35EC3" w:rsidP="00E55A9D">
            <w:pPr>
              <w:autoSpaceDE w:val="0"/>
              <w:autoSpaceDN w:val="0"/>
              <w:adjustRightInd w:val="0"/>
              <w:jc w:val="left"/>
              <w:rPr>
                <w:rFonts w:asciiTheme="majorBidi" w:eastAsia="SimSun" w:hAnsiTheme="majorBidi" w:cstheme="majorBidi"/>
                <w:color w:val="000000"/>
                <w:szCs w:val="22"/>
                <w:lang w:eastAsia="zh-CN"/>
              </w:rPr>
            </w:pPr>
            <w:r w:rsidRPr="00A60452">
              <w:rPr>
                <w:rFonts w:asciiTheme="majorBidi" w:eastAsia="SimSun" w:hAnsiTheme="majorBidi" w:cstheme="majorBidi"/>
                <w:color w:val="000000"/>
                <w:szCs w:val="22"/>
                <w:lang w:eastAsia="zh-CN"/>
              </w:rPr>
              <w:t>Dividend</w:t>
            </w:r>
            <w:r w:rsidR="0085767B">
              <w:rPr>
                <w:rFonts w:asciiTheme="majorBidi" w:eastAsia="SimSun" w:hAnsiTheme="majorBidi" w:cstheme="majorBidi"/>
                <w:color w:val="000000"/>
                <w:szCs w:val="22"/>
                <w:lang w:eastAsia="zh-CN"/>
              </w:rPr>
              <w:t>s</w:t>
            </w:r>
            <w:r w:rsidRPr="00A60452">
              <w:rPr>
                <w:rFonts w:asciiTheme="majorBidi" w:eastAsia="SimSun" w:hAnsiTheme="majorBidi" w:cstheme="majorBidi"/>
                <w:color w:val="000000"/>
                <w:szCs w:val="22"/>
                <w:lang w:eastAsia="zh-CN"/>
              </w:rPr>
              <w:t xml:space="preserve"> (D421)</w:t>
            </w:r>
            <w:r>
              <w:rPr>
                <w:rFonts w:asciiTheme="majorBidi" w:eastAsia="SimSun" w:hAnsiTheme="majorBidi" w:cstheme="majorBidi"/>
                <w:color w:val="000000"/>
                <w:szCs w:val="22"/>
                <w:lang w:eastAsia="zh-CN"/>
              </w:rPr>
              <w:t xml:space="preserve"> </w:t>
            </w:r>
            <w:r w:rsidRPr="00A60452">
              <w:rPr>
                <w:rFonts w:asciiTheme="majorBidi" w:eastAsia="SimSun" w:hAnsiTheme="majorBidi" w:cstheme="majorBidi"/>
                <w:color w:val="000000"/>
                <w:szCs w:val="22"/>
                <w:lang w:eastAsia="zh-CN"/>
              </w:rPr>
              <w:t>if</w:t>
            </w:r>
            <w:r w:rsidR="00AA5F5F">
              <w:rPr>
                <w:rFonts w:asciiTheme="majorBidi" w:eastAsia="SimSun" w:hAnsiTheme="majorBidi" w:cstheme="majorBidi"/>
                <w:color w:val="000000"/>
                <w:szCs w:val="22"/>
                <w:lang w:eastAsia="zh-CN"/>
              </w:rPr>
              <w:t xml:space="preserve"> </w:t>
            </w:r>
            <w:r w:rsidRPr="00A60452">
              <w:rPr>
                <w:rFonts w:asciiTheme="majorBidi" w:eastAsia="SimSun" w:hAnsiTheme="majorBidi" w:cstheme="majorBidi"/>
                <w:color w:val="000000"/>
                <w:szCs w:val="22"/>
                <w:lang w:eastAsia="zh-CN"/>
              </w:rPr>
              <w:t>classified as equity</w:t>
            </w:r>
          </w:p>
        </w:tc>
      </w:tr>
      <w:tr w:rsidR="00A35EC3" w:rsidRPr="00A60452" w:rsidTr="00613CB8">
        <w:tc>
          <w:tcPr>
            <w:tcW w:w="186" w:type="pct"/>
          </w:tcPr>
          <w:p w:rsidR="00A35EC3" w:rsidRPr="00A60452" w:rsidRDefault="00A35EC3" w:rsidP="00D8793C">
            <w:pPr>
              <w:jc w:val="center"/>
              <w:rPr>
                <w:rFonts w:asciiTheme="majorBidi" w:hAnsiTheme="majorBidi" w:cstheme="majorBidi"/>
                <w:szCs w:val="22"/>
              </w:rPr>
            </w:pPr>
            <w:r w:rsidRPr="00A60452">
              <w:rPr>
                <w:rFonts w:asciiTheme="majorBidi" w:hAnsiTheme="majorBidi" w:cstheme="majorBidi"/>
                <w:szCs w:val="22"/>
              </w:rPr>
              <w:lastRenderedPageBreak/>
              <w:t>3</w:t>
            </w:r>
          </w:p>
        </w:tc>
        <w:tc>
          <w:tcPr>
            <w:tcW w:w="513" w:type="pct"/>
          </w:tcPr>
          <w:p w:rsidR="00A35EC3" w:rsidRPr="00A60452" w:rsidRDefault="00A35EC3" w:rsidP="00D8793C">
            <w:pPr>
              <w:jc w:val="left"/>
              <w:rPr>
                <w:rFonts w:asciiTheme="majorBidi" w:eastAsia="SimSun" w:hAnsiTheme="majorBidi" w:cstheme="majorBidi"/>
                <w:szCs w:val="22"/>
                <w:lang w:eastAsia="zh-CN"/>
              </w:rPr>
            </w:pPr>
            <w:r w:rsidRPr="00A60452">
              <w:rPr>
                <w:rFonts w:asciiTheme="majorBidi" w:hAnsiTheme="majorBidi" w:cstheme="majorBidi"/>
                <w:szCs w:val="22"/>
                <w:lang w:eastAsia="zh-CN"/>
              </w:rPr>
              <w:t>Qard-hasan</w:t>
            </w:r>
          </w:p>
        </w:tc>
        <w:tc>
          <w:tcPr>
            <w:tcW w:w="1478" w:type="pct"/>
          </w:tcPr>
          <w:p w:rsidR="00A35EC3" w:rsidRPr="00A60452" w:rsidRDefault="00A35EC3" w:rsidP="00CD4110">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Return-free deposits</w:t>
            </w:r>
            <w:r w:rsidR="00CD4110">
              <w:rPr>
                <w:rFonts w:asciiTheme="majorBidi" w:hAnsiTheme="majorBidi" w:cstheme="majorBidi"/>
                <w:szCs w:val="22"/>
              </w:rPr>
              <w:t xml:space="preserve"> </w:t>
            </w:r>
            <w:r w:rsidR="00CD4110" w:rsidRPr="00A60452">
              <w:rPr>
                <w:rFonts w:asciiTheme="majorBidi" w:hAnsiTheme="majorBidi" w:cstheme="majorBidi"/>
                <w:szCs w:val="22"/>
              </w:rPr>
              <w:t>voluntarily placed by depositors, to participate</w:t>
            </w:r>
            <w:r w:rsidR="00CD4110">
              <w:rPr>
                <w:rFonts w:asciiTheme="majorBidi" w:hAnsiTheme="majorBidi" w:cstheme="majorBidi"/>
                <w:szCs w:val="22"/>
              </w:rPr>
              <w:t xml:space="preserve"> </w:t>
            </w:r>
            <w:r w:rsidR="00CD4110" w:rsidRPr="00A60452">
              <w:rPr>
                <w:rFonts w:asciiTheme="majorBidi" w:hAnsiTheme="majorBidi" w:cstheme="majorBidi"/>
                <w:szCs w:val="22"/>
              </w:rPr>
              <w:t>in the financing for needy individuals or for</w:t>
            </w:r>
            <w:r w:rsidR="00CD4110">
              <w:rPr>
                <w:rFonts w:asciiTheme="majorBidi" w:hAnsiTheme="majorBidi" w:cstheme="majorBidi"/>
                <w:szCs w:val="22"/>
              </w:rPr>
              <w:t xml:space="preserve"> </w:t>
            </w:r>
            <w:r w:rsidR="00CD4110" w:rsidRPr="00A60452">
              <w:rPr>
                <w:rFonts w:asciiTheme="majorBidi" w:hAnsiTheme="majorBidi" w:cstheme="majorBidi"/>
                <w:szCs w:val="22"/>
              </w:rPr>
              <w:t>social purposes</w:t>
            </w:r>
            <w:r w:rsidR="00CD4110">
              <w:rPr>
                <w:rFonts w:asciiTheme="majorBidi" w:hAnsiTheme="majorBidi" w:cstheme="majorBidi"/>
                <w:szCs w:val="22"/>
              </w:rPr>
              <w:t>.</w:t>
            </w:r>
          </w:p>
          <w:p w:rsidR="00A35EC3" w:rsidRPr="00A60452" w:rsidRDefault="00A35EC3" w:rsidP="00CD4110">
            <w:pPr>
              <w:autoSpaceDE w:val="0"/>
              <w:autoSpaceDN w:val="0"/>
              <w:adjustRightInd w:val="0"/>
              <w:spacing w:line="240" w:lineRule="atLeast"/>
              <w:jc w:val="left"/>
              <w:rPr>
                <w:rFonts w:asciiTheme="majorBidi" w:hAnsiTheme="majorBidi" w:cstheme="majorBidi"/>
                <w:szCs w:val="22"/>
              </w:rPr>
            </w:pPr>
          </w:p>
        </w:tc>
        <w:tc>
          <w:tcPr>
            <w:tcW w:w="1293" w:type="pct"/>
          </w:tcPr>
          <w:p w:rsidR="00A35EC3" w:rsidRPr="00A60452" w:rsidRDefault="00A35EC3" w:rsidP="00DF2AA4">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iCs/>
                <w:szCs w:val="22"/>
                <w:lang w:eastAsia="zh-CN"/>
              </w:rPr>
              <w:t xml:space="preserve">Other </w:t>
            </w:r>
            <w:r w:rsidR="00021720">
              <w:rPr>
                <w:rFonts w:asciiTheme="majorBidi" w:hAnsiTheme="majorBidi" w:cstheme="majorBidi"/>
                <w:iCs/>
                <w:szCs w:val="22"/>
                <w:lang w:eastAsia="zh-CN"/>
              </w:rPr>
              <w:t>d</w:t>
            </w:r>
            <w:r w:rsidR="0085767B" w:rsidRPr="00A60452">
              <w:rPr>
                <w:rFonts w:asciiTheme="majorBidi" w:hAnsiTheme="majorBidi" w:cstheme="majorBidi"/>
                <w:iCs/>
                <w:szCs w:val="22"/>
                <w:lang w:eastAsia="zh-CN"/>
              </w:rPr>
              <w:t>eposit</w:t>
            </w:r>
            <w:r w:rsidR="00E96AAD">
              <w:rPr>
                <w:rFonts w:asciiTheme="majorBidi" w:hAnsiTheme="majorBidi" w:cstheme="majorBidi"/>
                <w:iCs/>
                <w:szCs w:val="22"/>
                <w:lang w:eastAsia="zh-CN"/>
              </w:rPr>
              <w:t>s</w:t>
            </w:r>
            <w:r w:rsidR="0085767B" w:rsidRPr="00A60452">
              <w:rPr>
                <w:rFonts w:asciiTheme="majorBidi" w:hAnsiTheme="majorBidi" w:cstheme="majorBidi"/>
                <w:iCs/>
                <w:szCs w:val="22"/>
                <w:lang w:eastAsia="zh-CN"/>
              </w:rPr>
              <w:t xml:space="preserve"> </w:t>
            </w:r>
            <w:r w:rsidRPr="00A60452">
              <w:rPr>
                <w:rFonts w:asciiTheme="majorBidi" w:hAnsiTheme="majorBidi" w:cstheme="majorBidi"/>
                <w:iCs/>
                <w:szCs w:val="22"/>
                <w:lang w:eastAsia="zh-CN"/>
              </w:rPr>
              <w:t>(F29)</w:t>
            </w:r>
          </w:p>
        </w:tc>
        <w:tc>
          <w:tcPr>
            <w:tcW w:w="812" w:type="pct"/>
          </w:tcPr>
          <w:p w:rsidR="00A35EC3" w:rsidRPr="00A60452" w:rsidRDefault="00A35EC3" w:rsidP="00E75005">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 xml:space="preserve">No return </w:t>
            </w:r>
          </w:p>
        </w:tc>
        <w:tc>
          <w:tcPr>
            <w:tcW w:w="718" w:type="pct"/>
          </w:tcPr>
          <w:p w:rsidR="00A35EC3" w:rsidRPr="00A60452" w:rsidRDefault="00A35EC3" w:rsidP="00D8793C">
            <w:pPr>
              <w:autoSpaceDE w:val="0"/>
              <w:autoSpaceDN w:val="0"/>
              <w:adjustRightInd w:val="0"/>
              <w:spacing w:line="240" w:lineRule="atLeast"/>
              <w:jc w:val="left"/>
              <w:rPr>
                <w:rFonts w:asciiTheme="majorBidi" w:hAnsiTheme="majorBidi" w:cstheme="majorBidi"/>
                <w:szCs w:val="22"/>
              </w:rPr>
            </w:pPr>
            <w:r>
              <w:rPr>
                <w:rFonts w:asciiTheme="majorBidi" w:hAnsiTheme="majorBidi" w:cstheme="majorBidi"/>
                <w:szCs w:val="22"/>
              </w:rPr>
              <w:t>Interest (D41)</w:t>
            </w:r>
          </w:p>
        </w:tc>
      </w:tr>
      <w:tr w:rsidR="00A35EC3" w:rsidRPr="00A60452" w:rsidTr="00613CB8">
        <w:tc>
          <w:tcPr>
            <w:tcW w:w="186" w:type="pct"/>
          </w:tcPr>
          <w:p w:rsidR="00A35EC3" w:rsidRPr="00A60452" w:rsidRDefault="008F4186" w:rsidP="00D8793C">
            <w:pPr>
              <w:jc w:val="center"/>
              <w:rPr>
                <w:rFonts w:asciiTheme="majorBidi" w:hAnsiTheme="majorBidi" w:cstheme="majorBidi"/>
                <w:bCs/>
                <w:szCs w:val="22"/>
              </w:rPr>
            </w:pPr>
            <w:r>
              <w:rPr>
                <w:rFonts w:asciiTheme="majorBidi" w:hAnsiTheme="majorBidi" w:cstheme="majorBidi"/>
                <w:bCs/>
                <w:szCs w:val="22"/>
              </w:rPr>
              <w:t>4</w:t>
            </w:r>
          </w:p>
        </w:tc>
        <w:tc>
          <w:tcPr>
            <w:tcW w:w="513" w:type="pct"/>
          </w:tcPr>
          <w:p w:rsidR="00A35EC3" w:rsidRPr="00A60452" w:rsidRDefault="00A35EC3" w:rsidP="00D8793C">
            <w:pPr>
              <w:jc w:val="left"/>
              <w:rPr>
                <w:rFonts w:asciiTheme="majorBidi" w:hAnsiTheme="majorBidi" w:cstheme="majorBidi"/>
                <w:bCs/>
                <w:szCs w:val="22"/>
              </w:rPr>
            </w:pPr>
            <w:r w:rsidRPr="00A60452">
              <w:rPr>
                <w:rFonts w:asciiTheme="majorBidi" w:hAnsiTheme="majorBidi" w:cstheme="majorBidi"/>
                <w:szCs w:val="22"/>
                <w:lang w:eastAsia="zh-CN"/>
              </w:rPr>
              <w:t>Participation term certificates</w:t>
            </w:r>
          </w:p>
        </w:tc>
        <w:tc>
          <w:tcPr>
            <w:tcW w:w="1478" w:type="pct"/>
          </w:tcPr>
          <w:p w:rsidR="00A35EC3" w:rsidRPr="00A60452" w:rsidRDefault="00A35EC3" w:rsidP="00E0674E">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lang w:eastAsia="zh-CN"/>
              </w:rPr>
              <w:t>Long-term investment instruments that entitle the holder to a share of a corporation’s profit.</w:t>
            </w:r>
          </w:p>
        </w:tc>
        <w:tc>
          <w:tcPr>
            <w:tcW w:w="1293" w:type="pct"/>
          </w:tcPr>
          <w:p w:rsidR="00A35EC3" w:rsidRPr="00A60452" w:rsidRDefault="00A35EC3" w:rsidP="00D8793C">
            <w:pPr>
              <w:autoSpaceDE w:val="0"/>
              <w:autoSpaceDN w:val="0"/>
              <w:adjustRightInd w:val="0"/>
              <w:spacing w:line="240" w:lineRule="atLeast"/>
              <w:jc w:val="left"/>
              <w:rPr>
                <w:rFonts w:asciiTheme="majorBidi" w:hAnsiTheme="majorBidi" w:cstheme="majorBidi"/>
                <w:iCs/>
                <w:szCs w:val="22"/>
                <w:lang w:eastAsia="zh-CN"/>
              </w:rPr>
            </w:pPr>
            <w:r w:rsidRPr="00A60452">
              <w:rPr>
                <w:rFonts w:asciiTheme="majorBidi" w:hAnsiTheme="majorBidi" w:cstheme="majorBidi"/>
                <w:iCs/>
                <w:szCs w:val="22"/>
                <w:lang w:eastAsia="zh-CN"/>
              </w:rPr>
              <w:t xml:space="preserve">Other </w:t>
            </w:r>
            <w:r w:rsidR="00021720">
              <w:rPr>
                <w:rFonts w:asciiTheme="majorBidi" w:hAnsiTheme="majorBidi" w:cstheme="majorBidi"/>
                <w:iCs/>
                <w:szCs w:val="22"/>
                <w:lang w:eastAsia="zh-CN"/>
              </w:rPr>
              <w:t>d</w:t>
            </w:r>
            <w:r w:rsidR="001D00F2" w:rsidRPr="00A60452">
              <w:rPr>
                <w:rFonts w:asciiTheme="majorBidi" w:hAnsiTheme="majorBidi" w:cstheme="majorBidi"/>
                <w:iCs/>
                <w:szCs w:val="22"/>
                <w:lang w:eastAsia="zh-CN"/>
              </w:rPr>
              <w:t xml:space="preserve">eposits </w:t>
            </w:r>
            <w:r w:rsidRPr="00A60452">
              <w:rPr>
                <w:rFonts w:asciiTheme="majorBidi" w:hAnsiTheme="majorBidi" w:cstheme="majorBidi"/>
                <w:iCs/>
                <w:szCs w:val="22"/>
                <w:lang w:eastAsia="zh-CN"/>
              </w:rPr>
              <w:t xml:space="preserve">(F29) if certificate treated as </w:t>
            </w:r>
            <w:r w:rsidR="001D00F2">
              <w:rPr>
                <w:rFonts w:asciiTheme="majorBidi" w:hAnsiTheme="majorBidi" w:cstheme="majorBidi"/>
                <w:iCs/>
                <w:szCs w:val="22"/>
                <w:lang w:eastAsia="zh-CN"/>
              </w:rPr>
              <w:t>d</w:t>
            </w:r>
            <w:r w:rsidR="001D00F2" w:rsidRPr="00A60452">
              <w:rPr>
                <w:rFonts w:asciiTheme="majorBidi" w:hAnsiTheme="majorBidi" w:cstheme="majorBidi"/>
                <w:iCs/>
                <w:szCs w:val="22"/>
                <w:lang w:eastAsia="zh-CN"/>
              </w:rPr>
              <w:t xml:space="preserve">ebt </w:t>
            </w:r>
            <w:r w:rsidRPr="00A60452">
              <w:rPr>
                <w:rFonts w:asciiTheme="majorBidi" w:hAnsiTheme="majorBidi" w:cstheme="majorBidi"/>
                <w:iCs/>
                <w:szCs w:val="22"/>
                <w:lang w:eastAsia="zh-CN"/>
              </w:rPr>
              <w:t>liabilit</w:t>
            </w:r>
            <w:r w:rsidR="001B74FE">
              <w:rPr>
                <w:rFonts w:asciiTheme="majorBidi" w:hAnsiTheme="majorBidi" w:cstheme="majorBidi"/>
                <w:iCs/>
                <w:szCs w:val="22"/>
                <w:lang w:eastAsia="zh-CN"/>
              </w:rPr>
              <w:t>ies</w:t>
            </w:r>
          </w:p>
          <w:p w:rsidR="00A35EC3" w:rsidRPr="00A60452" w:rsidRDefault="00A35EC3" w:rsidP="00D8793C">
            <w:pPr>
              <w:autoSpaceDE w:val="0"/>
              <w:autoSpaceDN w:val="0"/>
              <w:adjustRightInd w:val="0"/>
              <w:spacing w:line="240" w:lineRule="atLeast"/>
              <w:jc w:val="left"/>
              <w:rPr>
                <w:rFonts w:asciiTheme="majorBidi" w:hAnsiTheme="majorBidi" w:cstheme="majorBidi"/>
                <w:iCs/>
                <w:szCs w:val="22"/>
                <w:lang w:eastAsia="zh-CN"/>
              </w:rPr>
            </w:pPr>
          </w:p>
          <w:p w:rsidR="00A35EC3" w:rsidRPr="00A60452" w:rsidRDefault="00A35EC3" w:rsidP="00D8793C">
            <w:pPr>
              <w:autoSpaceDE w:val="0"/>
              <w:autoSpaceDN w:val="0"/>
              <w:adjustRightInd w:val="0"/>
              <w:spacing w:line="240" w:lineRule="atLeast"/>
              <w:jc w:val="left"/>
              <w:rPr>
                <w:rFonts w:asciiTheme="majorBidi" w:hAnsiTheme="majorBidi" w:cstheme="majorBidi"/>
                <w:iCs/>
                <w:szCs w:val="22"/>
                <w:lang w:eastAsia="zh-CN"/>
              </w:rPr>
            </w:pPr>
            <w:r w:rsidRPr="00A60452">
              <w:rPr>
                <w:rFonts w:asciiTheme="majorBidi" w:hAnsiTheme="majorBidi" w:cstheme="majorBidi"/>
                <w:iCs/>
                <w:szCs w:val="22"/>
                <w:lang w:eastAsia="zh-CN"/>
              </w:rPr>
              <w:t>Equity (F51)</w:t>
            </w:r>
            <w:r>
              <w:rPr>
                <w:rFonts w:asciiTheme="majorBidi" w:hAnsiTheme="majorBidi" w:cstheme="majorBidi"/>
                <w:iCs/>
                <w:szCs w:val="22"/>
                <w:lang w:eastAsia="zh-CN"/>
              </w:rPr>
              <w:t xml:space="preserve"> </w:t>
            </w:r>
            <w:r w:rsidRPr="00A60452">
              <w:rPr>
                <w:rFonts w:asciiTheme="majorBidi" w:hAnsiTheme="majorBidi" w:cstheme="majorBidi"/>
                <w:iCs/>
                <w:szCs w:val="22"/>
                <w:lang w:eastAsia="zh-CN"/>
              </w:rPr>
              <w:t>if part of the capital base</w:t>
            </w:r>
          </w:p>
        </w:tc>
        <w:tc>
          <w:tcPr>
            <w:tcW w:w="812" w:type="pct"/>
          </w:tcPr>
          <w:p w:rsidR="00A35EC3" w:rsidRPr="00A60452" w:rsidRDefault="00A35EC3" w:rsidP="00693A4B">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Share of profit</w:t>
            </w:r>
          </w:p>
        </w:tc>
        <w:tc>
          <w:tcPr>
            <w:tcW w:w="718" w:type="pct"/>
          </w:tcPr>
          <w:p w:rsidR="00A35EC3" w:rsidRPr="00A60452" w:rsidRDefault="00A35EC3" w:rsidP="00D8793C">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 xml:space="preserve">Interest (D41) if classified as debt </w:t>
            </w:r>
            <w:r w:rsidR="001B74FE" w:rsidRPr="00A60452">
              <w:rPr>
                <w:rFonts w:asciiTheme="majorBidi" w:hAnsiTheme="majorBidi" w:cstheme="majorBidi"/>
                <w:szCs w:val="22"/>
              </w:rPr>
              <w:t>liabilit</w:t>
            </w:r>
            <w:r w:rsidR="001B74FE">
              <w:rPr>
                <w:rFonts w:asciiTheme="majorBidi" w:hAnsiTheme="majorBidi" w:cstheme="majorBidi"/>
                <w:szCs w:val="22"/>
              </w:rPr>
              <w:t>ies</w:t>
            </w:r>
          </w:p>
          <w:p w:rsidR="00A35EC3" w:rsidRPr="00A60452" w:rsidRDefault="00A35EC3" w:rsidP="00D8793C">
            <w:pPr>
              <w:autoSpaceDE w:val="0"/>
              <w:autoSpaceDN w:val="0"/>
              <w:adjustRightInd w:val="0"/>
              <w:spacing w:line="240" w:lineRule="atLeast"/>
              <w:jc w:val="left"/>
              <w:rPr>
                <w:rFonts w:asciiTheme="majorBidi" w:hAnsiTheme="majorBidi" w:cstheme="majorBidi"/>
                <w:szCs w:val="22"/>
              </w:rPr>
            </w:pPr>
          </w:p>
          <w:p w:rsidR="00A35EC3" w:rsidRPr="00A60452" w:rsidRDefault="00A35EC3" w:rsidP="00D8793C">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Dividend</w:t>
            </w:r>
            <w:r w:rsidR="0085767B">
              <w:rPr>
                <w:rFonts w:asciiTheme="majorBidi" w:hAnsiTheme="majorBidi" w:cstheme="majorBidi"/>
                <w:szCs w:val="22"/>
              </w:rPr>
              <w:t>s</w:t>
            </w:r>
            <w:r w:rsidRPr="00A60452">
              <w:rPr>
                <w:rFonts w:asciiTheme="majorBidi" w:hAnsiTheme="majorBidi" w:cstheme="majorBidi"/>
                <w:szCs w:val="22"/>
              </w:rPr>
              <w:t xml:space="preserve"> (D421) if classified as equity</w:t>
            </w:r>
          </w:p>
        </w:tc>
      </w:tr>
      <w:tr w:rsidR="00A35EC3" w:rsidRPr="00A60452" w:rsidTr="00613CB8">
        <w:trPr>
          <w:trHeight w:val="2060"/>
        </w:trPr>
        <w:tc>
          <w:tcPr>
            <w:tcW w:w="186" w:type="pct"/>
          </w:tcPr>
          <w:p w:rsidR="00A35EC3" w:rsidRPr="00A60452" w:rsidRDefault="008F4186" w:rsidP="00D8793C">
            <w:pPr>
              <w:jc w:val="center"/>
              <w:rPr>
                <w:rFonts w:asciiTheme="majorBidi" w:hAnsiTheme="majorBidi" w:cstheme="majorBidi"/>
                <w:szCs w:val="22"/>
                <w:lang w:eastAsia="zh-CN"/>
              </w:rPr>
            </w:pPr>
            <w:r>
              <w:rPr>
                <w:rFonts w:asciiTheme="majorBidi" w:hAnsiTheme="majorBidi" w:cstheme="majorBidi"/>
                <w:szCs w:val="22"/>
                <w:lang w:eastAsia="zh-CN"/>
              </w:rPr>
              <w:t>5</w:t>
            </w:r>
          </w:p>
        </w:tc>
        <w:tc>
          <w:tcPr>
            <w:tcW w:w="513" w:type="pct"/>
          </w:tcPr>
          <w:p w:rsidR="00A35EC3" w:rsidRPr="00A60452" w:rsidRDefault="00A35EC3" w:rsidP="00D8793C">
            <w:pPr>
              <w:jc w:val="left"/>
              <w:rPr>
                <w:rFonts w:asciiTheme="majorBidi" w:hAnsiTheme="majorBidi" w:cstheme="majorBidi"/>
                <w:bCs/>
                <w:szCs w:val="22"/>
                <w:lang w:eastAsia="zh-CN"/>
              </w:rPr>
            </w:pPr>
            <w:r w:rsidRPr="00A60452">
              <w:rPr>
                <w:rFonts w:asciiTheme="majorBidi" w:hAnsiTheme="majorBidi" w:cstheme="majorBidi"/>
                <w:szCs w:val="22"/>
                <w:lang w:eastAsia="zh-CN"/>
              </w:rPr>
              <w:t>Profit and loss sharing certificates</w:t>
            </w:r>
          </w:p>
        </w:tc>
        <w:tc>
          <w:tcPr>
            <w:tcW w:w="1478" w:type="pct"/>
          </w:tcPr>
          <w:p w:rsidR="00A35EC3" w:rsidRPr="00A60452" w:rsidRDefault="00A35EC3" w:rsidP="003F6E83">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lang w:eastAsia="zh-CN"/>
              </w:rPr>
              <w:t>Investors’ deposits that somewhat resemble shares in a company but do not provide a claim on the residual value of the IFI and participation in its governance.</w:t>
            </w:r>
          </w:p>
        </w:tc>
        <w:tc>
          <w:tcPr>
            <w:tcW w:w="1293" w:type="pct"/>
          </w:tcPr>
          <w:p w:rsidR="00A35EC3" w:rsidRPr="00A60452" w:rsidRDefault="00A35EC3" w:rsidP="00E74CE9">
            <w:pPr>
              <w:autoSpaceDE w:val="0"/>
              <w:autoSpaceDN w:val="0"/>
              <w:adjustRightInd w:val="0"/>
              <w:spacing w:line="240" w:lineRule="atLeast"/>
              <w:jc w:val="left"/>
              <w:rPr>
                <w:rFonts w:asciiTheme="majorBidi" w:hAnsiTheme="majorBidi" w:cstheme="majorBidi"/>
                <w:iCs/>
                <w:szCs w:val="22"/>
                <w:lang w:eastAsia="zh-CN"/>
              </w:rPr>
            </w:pPr>
            <w:r w:rsidRPr="00A60452">
              <w:rPr>
                <w:rFonts w:asciiTheme="majorBidi" w:hAnsiTheme="majorBidi" w:cstheme="majorBidi"/>
                <w:iCs/>
                <w:szCs w:val="22"/>
                <w:lang w:eastAsia="zh-CN"/>
              </w:rPr>
              <w:t xml:space="preserve">Other </w:t>
            </w:r>
            <w:r w:rsidR="00021720">
              <w:rPr>
                <w:rFonts w:asciiTheme="majorBidi" w:hAnsiTheme="majorBidi" w:cstheme="majorBidi"/>
                <w:iCs/>
                <w:szCs w:val="22"/>
                <w:lang w:eastAsia="zh-CN"/>
              </w:rPr>
              <w:t>d</w:t>
            </w:r>
            <w:r w:rsidR="001D00F2" w:rsidRPr="00A60452">
              <w:rPr>
                <w:rFonts w:asciiTheme="majorBidi" w:hAnsiTheme="majorBidi" w:cstheme="majorBidi"/>
                <w:iCs/>
                <w:szCs w:val="22"/>
                <w:lang w:eastAsia="zh-CN"/>
              </w:rPr>
              <w:t xml:space="preserve">eposits </w:t>
            </w:r>
            <w:r w:rsidRPr="00A60452">
              <w:rPr>
                <w:rFonts w:asciiTheme="majorBidi" w:hAnsiTheme="majorBidi" w:cstheme="majorBidi"/>
                <w:iCs/>
                <w:szCs w:val="22"/>
                <w:lang w:eastAsia="zh-CN"/>
              </w:rPr>
              <w:t>(F29)</w:t>
            </w:r>
            <w:r>
              <w:rPr>
                <w:rFonts w:asciiTheme="majorBidi" w:hAnsiTheme="majorBidi" w:cstheme="majorBidi"/>
                <w:iCs/>
                <w:szCs w:val="22"/>
                <w:lang w:eastAsia="zh-CN"/>
              </w:rPr>
              <w:t xml:space="preserve"> </w:t>
            </w:r>
            <w:r w:rsidRPr="00A60452">
              <w:rPr>
                <w:rFonts w:asciiTheme="majorBidi" w:hAnsiTheme="majorBidi" w:cstheme="majorBidi"/>
                <w:iCs/>
                <w:szCs w:val="22"/>
                <w:lang w:eastAsia="zh-CN"/>
              </w:rPr>
              <w:t>if it</w:t>
            </w:r>
            <w:r w:rsidR="009E1FE7">
              <w:rPr>
                <w:rFonts w:asciiTheme="majorBidi" w:hAnsiTheme="majorBidi" w:cstheme="majorBidi"/>
                <w:iCs/>
                <w:szCs w:val="22"/>
                <w:lang w:eastAsia="zh-CN"/>
              </w:rPr>
              <w:t xml:space="preserve"> i</w:t>
            </w:r>
            <w:r w:rsidRPr="00A60452">
              <w:rPr>
                <w:rFonts w:asciiTheme="majorBidi" w:hAnsiTheme="majorBidi" w:cstheme="majorBidi"/>
                <w:iCs/>
                <w:szCs w:val="22"/>
                <w:lang w:eastAsia="zh-CN"/>
              </w:rPr>
              <w:t>s not negotiable</w:t>
            </w:r>
          </w:p>
          <w:p w:rsidR="00A35EC3" w:rsidRPr="00A60452" w:rsidRDefault="00A35EC3" w:rsidP="00E74CE9">
            <w:pPr>
              <w:autoSpaceDE w:val="0"/>
              <w:autoSpaceDN w:val="0"/>
              <w:adjustRightInd w:val="0"/>
              <w:spacing w:line="240" w:lineRule="atLeast"/>
              <w:jc w:val="left"/>
              <w:rPr>
                <w:rFonts w:asciiTheme="majorBidi" w:hAnsiTheme="majorBidi" w:cstheme="majorBidi"/>
                <w:iCs/>
                <w:szCs w:val="22"/>
                <w:lang w:eastAsia="zh-CN"/>
              </w:rPr>
            </w:pPr>
          </w:p>
          <w:p w:rsidR="00A35EC3" w:rsidRPr="00A60452" w:rsidRDefault="00A35EC3" w:rsidP="00E74CE9">
            <w:pPr>
              <w:autoSpaceDE w:val="0"/>
              <w:autoSpaceDN w:val="0"/>
              <w:adjustRightInd w:val="0"/>
              <w:spacing w:line="240" w:lineRule="atLeast"/>
              <w:jc w:val="left"/>
              <w:rPr>
                <w:rFonts w:asciiTheme="majorBidi" w:hAnsiTheme="majorBidi" w:cstheme="majorBidi"/>
                <w:iCs/>
                <w:szCs w:val="22"/>
                <w:lang w:eastAsia="zh-CN"/>
              </w:rPr>
            </w:pPr>
            <w:r w:rsidRPr="00A60452">
              <w:rPr>
                <w:rFonts w:asciiTheme="majorBidi" w:eastAsia="SimSun" w:hAnsiTheme="majorBidi" w:cstheme="majorBidi"/>
                <w:color w:val="000000"/>
                <w:szCs w:val="22"/>
                <w:lang w:eastAsia="zh-CN"/>
              </w:rPr>
              <w:t xml:space="preserve">Debt </w:t>
            </w:r>
            <w:r w:rsidR="00E96AAD">
              <w:rPr>
                <w:rFonts w:asciiTheme="majorBidi" w:eastAsia="SimSun" w:hAnsiTheme="majorBidi" w:cstheme="majorBidi"/>
                <w:color w:val="000000"/>
                <w:szCs w:val="22"/>
                <w:lang w:eastAsia="zh-CN"/>
              </w:rPr>
              <w:t>s</w:t>
            </w:r>
            <w:r w:rsidRPr="00A60452">
              <w:rPr>
                <w:rFonts w:asciiTheme="majorBidi" w:eastAsia="SimSun" w:hAnsiTheme="majorBidi" w:cstheme="majorBidi"/>
                <w:color w:val="000000"/>
                <w:szCs w:val="22"/>
                <w:lang w:eastAsia="zh-CN"/>
              </w:rPr>
              <w:t>ecurit</w:t>
            </w:r>
            <w:r w:rsidR="001B74FE">
              <w:rPr>
                <w:rFonts w:asciiTheme="majorBidi" w:eastAsia="SimSun" w:hAnsiTheme="majorBidi" w:cstheme="majorBidi"/>
                <w:color w:val="000000"/>
                <w:szCs w:val="22"/>
                <w:lang w:eastAsia="zh-CN"/>
              </w:rPr>
              <w:t>ies</w:t>
            </w:r>
            <w:r w:rsidRPr="00A60452">
              <w:rPr>
                <w:rFonts w:asciiTheme="majorBidi" w:eastAsia="SimSun" w:hAnsiTheme="majorBidi" w:cstheme="majorBidi"/>
                <w:color w:val="000000"/>
                <w:szCs w:val="22"/>
                <w:lang w:eastAsia="zh-CN"/>
              </w:rPr>
              <w:t xml:space="preserve"> </w:t>
            </w:r>
            <w:r w:rsidRPr="00A60452">
              <w:rPr>
                <w:rFonts w:asciiTheme="majorBidi" w:hAnsiTheme="majorBidi" w:cstheme="majorBidi"/>
                <w:szCs w:val="22"/>
              </w:rPr>
              <w:t xml:space="preserve">(F3) </w:t>
            </w:r>
            <w:r w:rsidRPr="00A60452">
              <w:rPr>
                <w:rFonts w:asciiTheme="majorBidi" w:eastAsia="SimSun" w:hAnsiTheme="majorBidi" w:cstheme="majorBidi"/>
                <w:color w:val="000000"/>
                <w:szCs w:val="22"/>
                <w:lang w:eastAsia="zh-CN"/>
              </w:rPr>
              <w:t>if it</w:t>
            </w:r>
            <w:r w:rsidR="009E1FE7">
              <w:rPr>
                <w:rFonts w:asciiTheme="majorBidi" w:eastAsia="SimSun" w:hAnsiTheme="majorBidi" w:cstheme="majorBidi"/>
                <w:color w:val="000000"/>
                <w:szCs w:val="22"/>
                <w:lang w:eastAsia="zh-CN"/>
              </w:rPr>
              <w:t xml:space="preserve"> i</w:t>
            </w:r>
            <w:r w:rsidRPr="00A60452">
              <w:rPr>
                <w:rFonts w:asciiTheme="majorBidi" w:eastAsia="SimSun" w:hAnsiTheme="majorBidi" w:cstheme="majorBidi"/>
                <w:color w:val="000000"/>
                <w:szCs w:val="22"/>
                <w:lang w:eastAsia="zh-CN"/>
              </w:rPr>
              <w:t>s negotiable</w:t>
            </w:r>
          </w:p>
          <w:p w:rsidR="00A35EC3" w:rsidRPr="00A60452" w:rsidRDefault="00A35EC3" w:rsidP="00E74CE9">
            <w:pPr>
              <w:autoSpaceDE w:val="0"/>
              <w:autoSpaceDN w:val="0"/>
              <w:adjustRightInd w:val="0"/>
              <w:spacing w:line="240" w:lineRule="atLeast"/>
              <w:jc w:val="left"/>
              <w:rPr>
                <w:rFonts w:asciiTheme="majorBidi" w:hAnsiTheme="majorBidi" w:cstheme="majorBidi"/>
                <w:szCs w:val="22"/>
              </w:rPr>
            </w:pPr>
          </w:p>
        </w:tc>
        <w:tc>
          <w:tcPr>
            <w:tcW w:w="812" w:type="pct"/>
          </w:tcPr>
          <w:p w:rsidR="00A35EC3" w:rsidRPr="00A60452" w:rsidRDefault="00A35EC3" w:rsidP="00693A4B">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Share of profit</w:t>
            </w:r>
          </w:p>
        </w:tc>
        <w:tc>
          <w:tcPr>
            <w:tcW w:w="718" w:type="pct"/>
          </w:tcPr>
          <w:p w:rsidR="00A35EC3" w:rsidRPr="00A60452" w:rsidRDefault="00A35EC3" w:rsidP="00D8793C">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Interest (D41)</w:t>
            </w:r>
            <w:r>
              <w:rPr>
                <w:rFonts w:asciiTheme="majorBidi" w:hAnsiTheme="majorBidi" w:cstheme="majorBidi"/>
                <w:szCs w:val="22"/>
              </w:rPr>
              <w:t xml:space="preserve"> </w:t>
            </w:r>
            <w:r w:rsidRPr="00A60452">
              <w:rPr>
                <w:rFonts w:asciiTheme="majorBidi" w:hAnsiTheme="majorBidi" w:cstheme="majorBidi"/>
                <w:szCs w:val="22"/>
              </w:rPr>
              <w:t>if classified as other deposit</w:t>
            </w:r>
            <w:r>
              <w:rPr>
                <w:rFonts w:asciiTheme="majorBidi" w:hAnsiTheme="majorBidi" w:cstheme="majorBidi"/>
                <w:szCs w:val="22"/>
              </w:rPr>
              <w:t xml:space="preserve"> </w:t>
            </w:r>
          </w:p>
          <w:p w:rsidR="00A35EC3" w:rsidRPr="00A60452" w:rsidRDefault="00A35EC3" w:rsidP="00D8793C">
            <w:pPr>
              <w:autoSpaceDE w:val="0"/>
              <w:autoSpaceDN w:val="0"/>
              <w:adjustRightInd w:val="0"/>
              <w:spacing w:line="240" w:lineRule="atLeast"/>
              <w:jc w:val="left"/>
              <w:rPr>
                <w:rFonts w:asciiTheme="majorBidi" w:hAnsiTheme="majorBidi" w:cstheme="majorBidi"/>
                <w:szCs w:val="22"/>
              </w:rPr>
            </w:pPr>
          </w:p>
          <w:p w:rsidR="00A35EC3" w:rsidRPr="00A60452" w:rsidRDefault="00A35EC3" w:rsidP="00623332">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Interest (D41)</w:t>
            </w:r>
            <w:r>
              <w:rPr>
                <w:rFonts w:asciiTheme="majorBidi" w:hAnsiTheme="majorBidi" w:cstheme="majorBidi"/>
                <w:szCs w:val="22"/>
              </w:rPr>
              <w:t xml:space="preserve"> </w:t>
            </w:r>
            <w:r w:rsidRPr="00A60452">
              <w:rPr>
                <w:rFonts w:asciiTheme="majorBidi" w:hAnsiTheme="majorBidi" w:cstheme="majorBidi"/>
                <w:szCs w:val="22"/>
              </w:rPr>
              <w:t>if classified as debt securit</w:t>
            </w:r>
            <w:r w:rsidR="001B74FE">
              <w:rPr>
                <w:rFonts w:asciiTheme="majorBidi" w:hAnsiTheme="majorBidi" w:cstheme="majorBidi"/>
                <w:szCs w:val="22"/>
              </w:rPr>
              <w:t>ies</w:t>
            </w:r>
            <w:r>
              <w:rPr>
                <w:rFonts w:asciiTheme="majorBidi" w:hAnsiTheme="majorBidi" w:cstheme="majorBidi"/>
                <w:szCs w:val="22"/>
              </w:rPr>
              <w:t xml:space="preserve"> </w:t>
            </w:r>
          </w:p>
        </w:tc>
      </w:tr>
      <w:tr w:rsidR="00F81B40" w:rsidRPr="00A60452" w:rsidTr="00613CB8">
        <w:trPr>
          <w:trHeight w:val="2060"/>
        </w:trPr>
        <w:tc>
          <w:tcPr>
            <w:tcW w:w="186" w:type="pct"/>
          </w:tcPr>
          <w:p w:rsidR="00F81B40" w:rsidRPr="00A60452" w:rsidRDefault="008F4186" w:rsidP="00F81B40">
            <w:pPr>
              <w:jc w:val="center"/>
              <w:rPr>
                <w:rFonts w:asciiTheme="majorBidi" w:hAnsiTheme="majorBidi" w:cstheme="majorBidi"/>
                <w:szCs w:val="22"/>
                <w:lang w:eastAsia="zh-CN"/>
              </w:rPr>
            </w:pPr>
            <w:r>
              <w:rPr>
                <w:rFonts w:asciiTheme="majorBidi" w:hAnsiTheme="majorBidi" w:cstheme="majorBidi"/>
                <w:szCs w:val="22"/>
                <w:lang w:eastAsia="zh-CN"/>
              </w:rPr>
              <w:lastRenderedPageBreak/>
              <w:t>6</w:t>
            </w:r>
          </w:p>
        </w:tc>
        <w:tc>
          <w:tcPr>
            <w:tcW w:w="513" w:type="pct"/>
          </w:tcPr>
          <w:p w:rsidR="00F81B40" w:rsidRPr="00A60452" w:rsidRDefault="00F81B40" w:rsidP="00F81B40">
            <w:pPr>
              <w:jc w:val="left"/>
              <w:rPr>
                <w:rFonts w:asciiTheme="majorBidi" w:hAnsiTheme="majorBidi" w:cstheme="majorBidi"/>
                <w:bCs/>
                <w:szCs w:val="22"/>
                <w:lang w:eastAsia="zh-CN"/>
              </w:rPr>
            </w:pPr>
            <w:r w:rsidRPr="00A60452">
              <w:rPr>
                <w:rFonts w:asciiTheme="majorBidi" w:hAnsiTheme="majorBidi" w:cstheme="majorBidi"/>
                <w:szCs w:val="22"/>
                <w:lang w:eastAsia="zh-CN"/>
              </w:rPr>
              <w:t>Sukūk</w:t>
            </w:r>
          </w:p>
        </w:tc>
        <w:tc>
          <w:tcPr>
            <w:tcW w:w="1478" w:type="pct"/>
          </w:tcPr>
          <w:p w:rsidR="00F81B40" w:rsidRPr="00A60452" w:rsidRDefault="00F81B40" w:rsidP="00F81B40">
            <w:pPr>
              <w:autoSpaceDE w:val="0"/>
              <w:autoSpaceDN w:val="0"/>
              <w:adjustRightInd w:val="0"/>
              <w:spacing w:line="240" w:lineRule="atLeast"/>
              <w:jc w:val="left"/>
              <w:rPr>
                <w:rFonts w:asciiTheme="majorBidi" w:hAnsiTheme="majorBidi" w:cstheme="majorBidi"/>
                <w:noProof/>
                <w:szCs w:val="22"/>
                <w:highlight w:val="yellow"/>
                <w:lang w:eastAsia="zh-TW"/>
              </w:rPr>
            </w:pPr>
            <w:r w:rsidRPr="00A60452">
              <w:rPr>
                <w:rFonts w:asciiTheme="majorBidi" w:hAnsiTheme="majorBidi" w:cstheme="majorBidi"/>
                <w:szCs w:val="22"/>
                <w:lang w:eastAsia="zh-CN"/>
              </w:rPr>
              <w:t xml:space="preserve">Known as Islamic bonds and considered as </w:t>
            </w:r>
            <w:r>
              <w:rPr>
                <w:rFonts w:asciiTheme="majorBidi" w:hAnsiTheme="majorBidi" w:cstheme="majorBidi"/>
                <w:szCs w:val="22"/>
                <w:lang w:eastAsia="zh-CN"/>
              </w:rPr>
              <w:t xml:space="preserve">an </w:t>
            </w:r>
            <w:r w:rsidRPr="00A60452">
              <w:rPr>
                <w:rFonts w:asciiTheme="majorBidi" w:hAnsiTheme="majorBidi" w:cstheme="majorBidi"/>
                <w:szCs w:val="22"/>
                <w:lang w:eastAsia="zh-CN"/>
              </w:rPr>
              <w:t xml:space="preserve">alternative to conventional bonds, are investment certificates issued by IFIs </w:t>
            </w:r>
            <w:proofErr w:type="gramStart"/>
            <w:r w:rsidRPr="00A60452">
              <w:rPr>
                <w:rFonts w:asciiTheme="majorBidi" w:hAnsiTheme="majorBidi" w:cstheme="majorBidi"/>
                <w:szCs w:val="22"/>
                <w:lang w:eastAsia="zh-CN"/>
              </w:rPr>
              <w:t>as a way to</w:t>
            </w:r>
            <w:proofErr w:type="gramEnd"/>
            <w:r w:rsidRPr="00A60452">
              <w:rPr>
                <w:rFonts w:asciiTheme="majorBidi" w:hAnsiTheme="majorBidi" w:cstheme="majorBidi"/>
                <w:szCs w:val="22"/>
                <w:lang w:eastAsia="zh-CN"/>
              </w:rPr>
              <w:t xml:space="preserve"> obtain funding. According to the </w:t>
            </w:r>
            <w:r w:rsidRPr="00A60452">
              <w:rPr>
                <w:rFonts w:asciiTheme="majorBidi" w:hAnsiTheme="majorBidi" w:cstheme="majorBidi"/>
                <w:iCs/>
                <w:szCs w:val="22"/>
                <w:lang w:eastAsia="zh-CN"/>
              </w:rPr>
              <w:t xml:space="preserve">IFSB-15 </w:t>
            </w:r>
            <w:r w:rsidRPr="00A60452">
              <w:rPr>
                <w:rFonts w:asciiTheme="majorBidi" w:hAnsiTheme="majorBidi" w:cstheme="majorBidi"/>
                <w:szCs w:val="22"/>
                <w:lang w:eastAsia="zh-CN"/>
              </w:rPr>
              <w:t>(</w:t>
            </w:r>
            <w:r w:rsidRPr="00A60452">
              <w:rPr>
                <w:rFonts w:asciiTheme="majorBidi" w:hAnsiTheme="majorBidi" w:cstheme="majorBidi"/>
                <w:iCs/>
                <w:szCs w:val="22"/>
                <w:lang w:eastAsia="zh-CN"/>
              </w:rPr>
              <w:t>Revised Capital Adequacy Standard for Institutions Offering Islamic Financial Services</w:t>
            </w:r>
            <w:r w:rsidRPr="00A60452">
              <w:rPr>
                <w:rFonts w:asciiTheme="majorBidi" w:hAnsiTheme="majorBidi" w:cstheme="majorBidi"/>
                <w:szCs w:val="22"/>
                <w:lang w:eastAsia="zh-CN"/>
              </w:rPr>
              <w:t xml:space="preserve">), </w:t>
            </w:r>
            <w:r w:rsidRPr="00A60452">
              <w:rPr>
                <w:rFonts w:asciiTheme="majorBidi" w:hAnsiTheme="majorBidi" w:cstheme="majorBidi"/>
                <w:iCs/>
                <w:szCs w:val="22"/>
                <w:lang w:eastAsia="zh-CN"/>
              </w:rPr>
              <w:t xml:space="preserve">Sukūk </w:t>
            </w:r>
            <w:r w:rsidRPr="00A60452">
              <w:rPr>
                <w:rFonts w:asciiTheme="majorBidi" w:hAnsiTheme="majorBidi" w:cstheme="majorBidi"/>
                <w:szCs w:val="22"/>
                <w:lang w:eastAsia="zh-CN"/>
              </w:rPr>
              <w:t xml:space="preserve">(plural of </w:t>
            </w:r>
            <w:r w:rsidRPr="00A60452">
              <w:rPr>
                <w:rFonts w:asciiTheme="majorBidi" w:hAnsiTheme="majorBidi" w:cstheme="majorBidi"/>
                <w:iCs/>
                <w:szCs w:val="22"/>
                <w:lang w:eastAsia="zh-CN"/>
              </w:rPr>
              <w:t>sakk</w:t>
            </w:r>
            <w:r w:rsidRPr="00A60452">
              <w:rPr>
                <w:rFonts w:asciiTheme="majorBidi" w:hAnsiTheme="majorBidi" w:cstheme="majorBidi"/>
                <w:szCs w:val="22"/>
                <w:lang w:eastAsia="zh-CN"/>
              </w:rPr>
              <w:t xml:space="preserve">) are certificates, with each </w:t>
            </w:r>
            <w:r w:rsidRPr="00A60452">
              <w:rPr>
                <w:rFonts w:asciiTheme="majorBidi" w:hAnsiTheme="majorBidi" w:cstheme="majorBidi"/>
                <w:iCs/>
                <w:szCs w:val="22"/>
                <w:lang w:eastAsia="zh-CN"/>
              </w:rPr>
              <w:t xml:space="preserve">sakk </w:t>
            </w:r>
            <w:r w:rsidRPr="00A60452">
              <w:rPr>
                <w:rFonts w:asciiTheme="majorBidi" w:hAnsiTheme="majorBidi" w:cstheme="majorBidi"/>
                <w:szCs w:val="22"/>
                <w:lang w:eastAsia="zh-CN"/>
              </w:rPr>
              <w:t xml:space="preserve">representing a proportional undivided ownership right in tangible and intangible assets, monetary assets, usufruct, services, debts or a pool of predominantly tangible assets, or a business venture (such as </w:t>
            </w:r>
            <w:r w:rsidRPr="00A60452">
              <w:rPr>
                <w:rFonts w:asciiTheme="majorBidi" w:hAnsiTheme="majorBidi" w:cstheme="majorBidi"/>
                <w:iCs/>
                <w:szCs w:val="22"/>
                <w:lang w:eastAsia="zh-CN"/>
              </w:rPr>
              <w:t xml:space="preserve">Mudaraba </w:t>
            </w:r>
            <w:r w:rsidRPr="00A60452">
              <w:rPr>
                <w:rFonts w:asciiTheme="majorBidi" w:hAnsiTheme="majorBidi" w:cstheme="majorBidi"/>
                <w:szCs w:val="22"/>
                <w:lang w:eastAsia="zh-CN"/>
              </w:rPr>
              <w:t xml:space="preserve">or </w:t>
            </w:r>
            <w:r w:rsidRPr="00A60452">
              <w:rPr>
                <w:rFonts w:asciiTheme="majorBidi" w:hAnsiTheme="majorBidi" w:cstheme="majorBidi"/>
                <w:iCs/>
                <w:szCs w:val="22"/>
                <w:lang w:eastAsia="zh-CN"/>
              </w:rPr>
              <w:t>Musharaka</w:t>
            </w:r>
            <w:r w:rsidRPr="00A60452">
              <w:rPr>
                <w:rFonts w:asciiTheme="majorBidi" w:hAnsiTheme="majorBidi" w:cstheme="majorBidi"/>
                <w:szCs w:val="22"/>
                <w:lang w:eastAsia="zh-CN"/>
              </w:rPr>
              <w:t>)</w:t>
            </w:r>
          </w:p>
        </w:tc>
        <w:tc>
          <w:tcPr>
            <w:tcW w:w="1293" w:type="pct"/>
          </w:tcPr>
          <w:p w:rsidR="00F81B40" w:rsidRPr="00A60452" w:rsidRDefault="001B74FE" w:rsidP="00F81B40">
            <w:pPr>
              <w:autoSpaceDE w:val="0"/>
              <w:autoSpaceDN w:val="0"/>
              <w:adjustRightInd w:val="0"/>
              <w:spacing w:line="240" w:lineRule="atLeast"/>
              <w:jc w:val="left"/>
              <w:rPr>
                <w:rFonts w:asciiTheme="majorBidi" w:hAnsiTheme="majorBidi" w:cstheme="majorBidi"/>
                <w:noProof/>
                <w:szCs w:val="22"/>
                <w:highlight w:val="yellow"/>
                <w:lang w:eastAsia="zh-TW"/>
              </w:rPr>
            </w:pPr>
            <w:r>
              <w:rPr>
                <w:rFonts w:asciiTheme="majorBidi" w:eastAsia="SimSun" w:hAnsiTheme="majorBidi" w:cstheme="majorBidi"/>
                <w:color w:val="000000"/>
                <w:szCs w:val="22"/>
                <w:lang w:eastAsia="zh-CN"/>
              </w:rPr>
              <w:t>D</w:t>
            </w:r>
            <w:r w:rsidRPr="00A60452">
              <w:rPr>
                <w:rFonts w:asciiTheme="majorBidi" w:eastAsia="SimSun" w:hAnsiTheme="majorBidi" w:cstheme="majorBidi"/>
                <w:color w:val="000000"/>
                <w:szCs w:val="22"/>
                <w:lang w:eastAsia="zh-CN"/>
              </w:rPr>
              <w:t xml:space="preserve">ebt </w:t>
            </w:r>
            <w:r w:rsidR="00021720">
              <w:rPr>
                <w:rFonts w:asciiTheme="majorBidi" w:eastAsia="SimSun" w:hAnsiTheme="majorBidi" w:cstheme="majorBidi"/>
                <w:color w:val="000000"/>
                <w:szCs w:val="22"/>
                <w:lang w:eastAsia="zh-CN"/>
              </w:rPr>
              <w:t>s</w:t>
            </w:r>
            <w:r w:rsidRPr="00A60452">
              <w:rPr>
                <w:rFonts w:asciiTheme="majorBidi" w:eastAsia="SimSun" w:hAnsiTheme="majorBidi" w:cstheme="majorBidi"/>
                <w:color w:val="000000"/>
                <w:szCs w:val="22"/>
                <w:lang w:eastAsia="zh-CN"/>
              </w:rPr>
              <w:t>ecurit</w:t>
            </w:r>
            <w:r>
              <w:rPr>
                <w:rFonts w:asciiTheme="majorBidi" w:eastAsia="SimSun" w:hAnsiTheme="majorBidi" w:cstheme="majorBidi"/>
                <w:color w:val="000000"/>
                <w:szCs w:val="22"/>
                <w:lang w:eastAsia="zh-CN"/>
              </w:rPr>
              <w:t>ies</w:t>
            </w:r>
            <w:r w:rsidRPr="00A60452">
              <w:rPr>
                <w:rFonts w:asciiTheme="majorBidi" w:eastAsia="SimSun" w:hAnsiTheme="majorBidi" w:cstheme="majorBidi"/>
                <w:color w:val="000000"/>
                <w:szCs w:val="22"/>
                <w:lang w:eastAsia="zh-CN"/>
              </w:rPr>
              <w:t xml:space="preserve"> (F3) unless it provides a claim on the residual value of the issuing entity, in which case it is classified as </w:t>
            </w:r>
            <w:r w:rsidR="001D00F2">
              <w:rPr>
                <w:rFonts w:asciiTheme="majorBidi" w:eastAsia="SimSun" w:hAnsiTheme="majorBidi" w:cstheme="majorBidi"/>
                <w:color w:val="000000"/>
                <w:szCs w:val="22"/>
                <w:lang w:eastAsia="zh-CN"/>
              </w:rPr>
              <w:t>E</w:t>
            </w:r>
            <w:r w:rsidRPr="00A60452">
              <w:rPr>
                <w:rFonts w:asciiTheme="majorBidi" w:eastAsia="SimSun" w:hAnsiTheme="majorBidi" w:cstheme="majorBidi"/>
                <w:color w:val="000000"/>
                <w:szCs w:val="22"/>
                <w:lang w:eastAsia="zh-CN"/>
              </w:rPr>
              <w:t xml:space="preserve">quity </w:t>
            </w:r>
            <w:r w:rsidRPr="00A60452">
              <w:rPr>
                <w:rFonts w:asciiTheme="majorBidi" w:hAnsiTheme="majorBidi" w:cstheme="majorBidi"/>
                <w:szCs w:val="22"/>
              </w:rPr>
              <w:t>(F51)</w:t>
            </w:r>
          </w:p>
        </w:tc>
        <w:tc>
          <w:tcPr>
            <w:tcW w:w="812" w:type="pct"/>
          </w:tcPr>
          <w:p w:rsidR="00F81B40" w:rsidRPr="00A60452" w:rsidRDefault="00F81B40" w:rsidP="00F81B40">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Share of revenue</w:t>
            </w:r>
          </w:p>
        </w:tc>
        <w:tc>
          <w:tcPr>
            <w:tcW w:w="718" w:type="pct"/>
          </w:tcPr>
          <w:p w:rsidR="00F81B40" w:rsidRDefault="00F81B40" w:rsidP="00F81B40">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Interest (D41)</w:t>
            </w:r>
            <w:r w:rsidR="001B74FE">
              <w:rPr>
                <w:rFonts w:asciiTheme="majorBidi" w:hAnsiTheme="majorBidi" w:cstheme="majorBidi"/>
                <w:szCs w:val="22"/>
              </w:rPr>
              <w:t xml:space="preserve"> if classified as debt securities</w:t>
            </w:r>
          </w:p>
          <w:p w:rsidR="00851E9E" w:rsidRDefault="00851E9E" w:rsidP="00F81B40">
            <w:pPr>
              <w:autoSpaceDE w:val="0"/>
              <w:autoSpaceDN w:val="0"/>
              <w:adjustRightInd w:val="0"/>
              <w:spacing w:line="240" w:lineRule="atLeast"/>
              <w:jc w:val="left"/>
              <w:rPr>
                <w:rFonts w:asciiTheme="majorBidi" w:hAnsiTheme="majorBidi" w:cstheme="majorBidi"/>
                <w:szCs w:val="22"/>
              </w:rPr>
            </w:pPr>
          </w:p>
          <w:p w:rsidR="00851E9E" w:rsidRPr="00A60452" w:rsidRDefault="00851E9E" w:rsidP="00F81B40">
            <w:pPr>
              <w:autoSpaceDE w:val="0"/>
              <w:autoSpaceDN w:val="0"/>
              <w:adjustRightInd w:val="0"/>
              <w:spacing w:line="240" w:lineRule="atLeast"/>
              <w:jc w:val="left"/>
              <w:rPr>
                <w:rFonts w:asciiTheme="majorBidi" w:hAnsiTheme="majorBidi" w:cstheme="majorBidi"/>
                <w:szCs w:val="22"/>
              </w:rPr>
            </w:pPr>
            <w:r>
              <w:rPr>
                <w:rFonts w:asciiTheme="majorBidi" w:hAnsiTheme="majorBidi" w:cstheme="majorBidi"/>
                <w:szCs w:val="22"/>
              </w:rPr>
              <w:t>Dividend</w:t>
            </w:r>
            <w:r w:rsidR="0085767B">
              <w:rPr>
                <w:rFonts w:asciiTheme="majorBidi" w:hAnsiTheme="majorBidi" w:cstheme="majorBidi"/>
                <w:szCs w:val="22"/>
              </w:rPr>
              <w:t>s</w:t>
            </w:r>
            <w:r>
              <w:rPr>
                <w:rFonts w:asciiTheme="majorBidi" w:hAnsiTheme="majorBidi" w:cstheme="majorBidi"/>
                <w:szCs w:val="22"/>
              </w:rPr>
              <w:t xml:space="preserve"> (D421) if classified as equity</w:t>
            </w:r>
          </w:p>
        </w:tc>
      </w:tr>
      <w:tr w:rsidR="00F81B40" w:rsidRPr="00A60452" w:rsidTr="00613CB8">
        <w:trPr>
          <w:trHeight w:val="1215"/>
        </w:trPr>
        <w:tc>
          <w:tcPr>
            <w:tcW w:w="186" w:type="pct"/>
          </w:tcPr>
          <w:p w:rsidR="00F81B40" w:rsidRPr="00A60452" w:rsidRDefault="008F4186" w:rsidP="00F81B40">
            <w:pPr>
              <w:jc w:val="center"/>
              <w:rPr>
                <w:rFonts w:asciiTheme="majorBidi" w:hAnsiTheme="majorBidi" w:cstheme="majorBidi"/>
                <w:szCs w:val="22"/>
                <w:lang w:eastAsia="zh-CN"/>
              </w:rPr>
            </w:pPr>
            <w:r>
              <w:rPr>
                <w:rFonts w:asciiTheme="majorBidi" w:hAnsiTheme="majorBidi" w:cstheme="majorBidi"/>
                <w:szCs w:val="22"/>
                <w:lang w:eastAsia="zh-CN"/>
              </w:rPr>
              <w:t>7</w:t>
            </w:r>
          </w:p>
        </w:tc>
        <w:tc>
          <w:tcPr>
            <w:tcW w:w="513" w:type="pct"/>
          </w:tcPr>
          <w:p w:rsidR="00F81B40" w:rsidRPr="00A60452" w:rsidRDefault="00F81B40" w:rsidP="00F81B40">
            <w:pPr>
              <w:jc w:val="left"/>
              <w:rPr>
                <w:rFonts w:asciiTheme="majorBidi" w:hAnsiTheme="majorBidi" w:cstheme="majorBidi"/>
                <w:szCs w:val="22"/>
                <w:lang w:eastAsia="zh-CN"/>
              </w:rPr>
            </w:pPr>
            <w:r w:rsidRPr="00A60452">
              <w:rPr>
                <w:rFonts w:asciiTheme="majorBidi" w:hAnsiTheme="majorBidi" w:cstheme="majorBidi"/>
                <w:szCs w:val="22"/>
                <w:lang w:eastAsia="zh-CN"/>
              </w:rPr>
              <w:t>Wakalah</w:t>
            </w:r>
          </w:p>
        </w:tc>
        <w:tc>
          <w:tcPr>
            <w:tcW w:w="1478" w:type="pct"/>
          </w:tcPr>
          <w:p w:rsidR="00F81B40" w:rsidRPr="00A60452" w:rsidRDefault="00F81B40" w:rsidP="00F81B40">
            <w:pPr>
              <w:autoSpaceDE w:val="0"/>
              <w:autoSpaceDN w:val="0"/>
              <w:adjustRightInd w:val="0"/>
              <w:spacing w:line="240" w:lineRule="atLeast"/>
              <w:jc w:val="left"/>
              <w:rPr>
                <w:rFonts w:asciiTheme="majorBidi" w:hAnsiTheme="majorBidi" w:cstheme="majorBidi"/>
                <w:szCs w:val="22"/>
                <w:lang w:eastAsia="zh-CN"/>
              </w:rPr>
            </w:pPr>
            <w:r w:rsidRPr="00A60452">
              <w:rPr>
                <w:rFonts w:asciiTheme="majorBidi" w:hAnsiTheme="majorBidi" w:cstheme="majorBidi"/>
                <w:szCs w:val="22"/>
                <w:lang w:eastAsia="zh-CN"/>
              </w:rPr>
              <w:t>The bank acts as an agent for investments of depositor’s funds in exchange for a fee, usually in the 1.5 to 2 percent ra</w:t>
            </w:r>
            <w:r w:rsidR="008F4186">
              <w:rPr>
                <w:rFonts w:asciiTheme="majorBidi" w:hAnsiTheme="majorBidi" w:cstheme="majorBidi"/>
                <w:szCs w:val="22"/>
                <w:lang w:eastAsia="zh-CN"/>
              </w:rPr>
              <w:t>n</w:t>
            </w:r>
            <w:r w:rsidRPr="00A60452">
              <w:rPr>
                <w:rFonts w:asciiTheme="majorBidi" w:hAnsiTheme="majorBidi" w:cstheme="majorBidi"/>
                <w:szCs w:val="22"/>
                <w:lang w:eastAsia="zh-CN"/>
              </w:rPr>
              <w:t>ge.</w:t>
            </w:r>
          </w:p>
          <w:p w:rsidR="00F81B40" w:rsidRPr="00A60452" w:rsidRDefault="00F81B40" w:rsidP="00F81B40">
            <w:pPr>
              <w:autoSpaceDE w:val="0"/>
              <w:autoSpaceDN w:val="0"/>
              <w:adjustRightInd w:val="0"/>
              <w:spacing w:line="240" w:lineRule="atLeast"/>
              <w:jc w:val="left"/>
              <w:rPr>
                <w:rFonts w:asciiTheme="majorBidi" w:hAnsiTheme="majorBidi" w:cstheme="majorBidi"/>
                <w:szCs w:val="22"/>
                <w:lang w:eastAsia="zh-CN"/>
              </w:rPr>
            </w:pPr>
            <w:r w:rsidRPr="00A60452">
              <w:rPr>
                <w:rFonts w:asciiTheme="majorBidi" w:hAnsiTheme="majorBidi" w:cstheme="majorBidi"/>
                <w:szCs w:val="22"/>
                <w:lang w:eastAsia="zh-CN"/>
              </w:rPr>
              <w:t>The depositors are offer</w:t>
            </w:r>
            <w:r>
              <w:rPr>
                <w:rFonts w:asciiTheme="majorBidi" w:hAnsiTheme="majorBidi" w:cstheme="majorBidi"/>
                <w:szCs w:val="22"/>
                <w:lang w:eastAsia="zh-CN"/>
              </w:rPr>
              <w:t>ed</w:t>
            </w:r>
            <w:r w:rsidRPr="00A60452">
              <w:rPr>
                <w:rFonts w:asciiTheme="majorBidi" w:hAnsiTheme="majorBidi" w:cstheme="majorBidi"/>
                <w:szCs w:val="22"/>
                <w:lang w:eastAsia="zh-CN"/>
              </w:rPr>
              <w:t xml:space="preserve"> an indicative</w:t>
            </w:r>
            <w:r>
              <w:rPr>
                <w:rFonts w:asciiTheme="majorBidi" w:hAnsiTheme="majorBidi" w:cstheme="majorBidi"/>
                <w:szCs w:val="22"/>
                <w:lang w:eastAsia="zh-CN"/>
              </w:rPr>
              <w:t xml:space="preserve"> return</w:t>
            </w:r>
            <w:r w:rsidRPr="00A60452">
              <w:rPr>
                <w:rFonts w:asciiTheme="majorBidi" w:hAnsiTheme="majorBidi" w:cstheme="majorBidi"/>
                <w:szCs w:val="22"/>
                <w:lang w:eastAsia="zh-CN"/>
              </w:rPr>
              <w:t>,</w:t>
            </w:r>
            <w:r>
              <w:rPr>
                <w:rFonts w:asciiTheme="majorBidi" w:hAnsiTheme="majorBidi" w:cstheme="majorBidi"/>
                <w:szCs w:val="22"/>
                <w:lang w:eastAsia="zh-CN"/>
              </w:rPr>
              <w:t xml:space="preserve"> </w:t>
            </w:r>
            <w:r w:rsidRPr="00A60452">
              <w:rPr>
                <w:rFonts w:asciiTheme="majorBidi" w:hAnsiTheme="majorBidi" w:cstheme="majorBidi"/>
                <w:szCs w:val="22"/>
                <w:lang w:eastAsia="zh-CN"/>
              </w:rPr>
              <w:t xml:space="preserve">but if the actual return is lower, the depositors will receive </w:t>
            </w:r>
            <w:r>
              <w:rPr>
                <w:rFonts w:asciiTheme="majorBidi" w:hAnsiTheme="majorBidi" w:cstheme="majorBidi"/>
                <w:szCs w:val="22"/>
                <w:lang w:eastAsia="zh-CN"/>
              </w:rPr>
              <w:t xml:space="preserve">only </w:t>
            </w:r>
            <w:r w:rsidRPr="00A60452">
              <w:rPr>
                <w:rFonts w:asciiTheme="majorBidi" w:hAnsiTheme="majorBidi" w:cstheme="majorBidi"/>
                <w:szCs w:val="22"/>
                <w:lang w:eastAsia="zh-CN"/>
              </w:rPr>
              <w:t>the actual return.</w:t>
            </w:r>
            <w:r>
              <w:rPr>
                <w:rFonts w:asciiTheme="majorBidi" w:hAnsiTheme="majorBidi" w:cstheme="majorBidi"/>
                <w:szCs w:val="22"/>
                <w:lang w:eastAsia="zh-CN"/>
              </w:rPr>
              <w:t xml:space="preserve"> </w:t>
            </w:r>
            <w:r w:rsidRPr="00A60452">
              <w:rPr>
                <w:rFonts w:asciiTheme="majorBidi" w:hAnsiTheme="majorBidi" w:cstheme="majorBidi"/>
                <w:szCs w:val="22"/>
                <w:lang w:eastAsia="zh-CN"/>
              </w:rPr>
              <w:t xml:space="preserve">Conversely, if the actual return is higher, the IFI pays only the indicative return and keep any excess as </w:t>
            </w:r>
            <w:r>
              <w:rPr>
                <w:rFonts w:asciiTheme="majorBidi" w:hAnsiTheme="majorBidi" w:cstheme="majorBidi"/>
                <w:szCs w:val="22"/>
                <w:lang w:eastAsia="zh-CN"/>
              </w:rPr>
              <w:t xml:space="preserve">an </w:t>
            </w:r>
            <w:r w:rsidRPr="00A60452">
              <w:rPr>
                <w:rFonts w:asciiTheme="majorBidi" w:hAnsiTheme="majorBidi" w:cstheme="majorBidi"/>
                <w:szCs w:val="22"/>
                <w:lang w:eastAsia="zh-CN"/>
              </w:rPr>
              <w:t>incentive fee.</w:t>
            </w:r>
          </w:p>
        </w:tc>
        <w:tc>
          <w:tcPr>
            <w:tcW w:w="1293" w:type="pct"/>
          </w:tcPr>
          <w:p w:rsidR="00F81B40" w:rsidRPr="00A60452" w:rsidRDefault="00F81B40" w:rsidP="00F81B40">
            <w:pPr>
              <w:autoSpaceDE w:val="0"/>
              <w:autoSpaceDN w:val="0"/>
              <w:adjustRightInd w:val="0"/>
              <w:spacing w:line="240" w:lineRule="atLeast"/>
              <w:jc w:val="left"/>
              <w:rPr>
                <w:rFonts w:asciiTheme="majorBidi" w:hAnsiTheme="majorBidi" w:cstheme="majorBidi"/>
                <w:iCs/>
                <w:szCs w:val="22"/>
                <w:lang w:eastAsia="zh-CN"/>
              </w:rPr>
            </w:pPr>
            <w:r w:rsidRPr="00CA10A7">
              <w:rPr>
                <w:rFonts w:asciiTheme="majorBidi" w:eastAsia="SimSun" w:hAnsiTheme="majorBidi" w:cstheme="majorBidi"/>
                <w:color w:val="000000"/>
                <w:szCs w:val="22"/>
                <w:lang w:eastAsia="zh-CN"/>
              </w:rPr>
              <w:t xml:space="preserve">Other </w:t>
            </w:r>
            <w:r w:rsidR="00021720">
              <w:rPr>
                <w:rFonts w:asciiTheme="majorBidi" w:eastAsia="SimSun" w:hAnsiTheme="majorBidi" w:cstheme="majorBidi"/>
                <w:color w:val="000000"/>
                <w:szCs w:val="22"/>
                <w:lang w:eastAsia="zh-CN"/>
              </w:rPr>
              <w:t>d</w:t>
            </w:r>
            <w:r w:rsidR="001D00F2" w:rsidRPr="00CA10A7">
              <w:rPr>
                <w:rFonts w:asciiTheme="majorBidi" w:eastAsia="SimSun" w:hAnsiTheme="majorBidi" w:cstheme="majorBidi"/>
                <w:color w:val="000000"/>
                <w:szCs w:val="22"/>
                <w:lang w:eastAsia="zh-CN"/>
              </w:rPr>
              <w:t>eposit</w:t>
            </w:r>
            <w:r w:rsidR="00021720">
              <w:rPr>
                <w:rFonts w:asciiTheme="majorBidi" w:eastAsia="SimSun" w:hAnsiTheme="majorBidi" w:cstheme="majorBidi"/>
                <w:color w:val="000000"/>
                <w:szCs w:val="22"/>
                <w:lang w:eastAsia="zh-CN"/>
              </w:rPr>
              <w:t>s</w:t>
            </w:r>
            <w:r w:rsidR="001D00F2" w:rsidRPr="00CA10A7">
              <w:rPr>
                <w:rFonts w:asciiTheme="majorBidi" w:eastAsia="SimSun" w:hAnsiTheme="majorBidi" w:cstheme="majorBidi"/>
                <w:color w:val="000000"/>
                <w:szCs w:val="22"/>
                <w:lang w:eastAsia="zh-CN"/>
              </w:rPr>
              <w:t xml:space="preserve"> </w:t>
            </w:r>
            <w:r w:rsidRPr="00CA10A7">
              <w:rPr>
                <w:rFonts w:asciiTheme="majorBidi" w:eastAsia="SimSun" w:hAnsiTheme="majorBidi" w:cstheme="majorBidi"/>
                <w:color w:val="000000"/>
                <w:szCs w:val="22"/>
                <w:lang w:eastAsia="zh-CN"/>
              </w:rPr>
              <w:t>(F29) – not classified in annex 4.3 of MFSMCG</w:t>
            </w:r>
          </w:p>
        </w:tc>
        <w:tc>
          <w:tcPr>
            <w:tcW w:w="812" w:type="pct"/>
          </w:tcPr>
          <w:p w:rsidR="00F81B40" w:rsidRPr="00A60452" w:rsidRDefault="00F81B40" w:rsidP="00F81B40">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 xml:space="preserve">Return earned from incentive fee </w:t>
            </w:r>
          </w:p>
        </w:tc>
        <w:tc>
          <w:tcPr>
            <w:tcW w:w="718" w:type="pct"/>
          </w:tcPr>
          <w:p w:rsidR="00F81B40" w:rsidRPr="00A60452" w:rsidRDefault="00F81B40" w:rsidP="00F81B40">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Interest (</w:t>
            </w:r>
            <w:r w:rsidR="00851E9E">
              <w:rPr>
                <w:rFonts w:asciiTheme="majorBidi" w:hAnsiTheme="majorBidi" w:cstheme="majorBidi"/>
                <w:szCs w:val="22"/>
              </w:rPr>
              <w:t>D</w:t>
            </w:r>
            <w:r w:rsidRPr="00A60452">
              <w:rPr>
                <w:rFonts w:asciiTheme="majorBidi" w:hAnsiTheme="majorBidi" w:cstheme="majorBidi"/>
                <w:szCs w:val="22"/>
              </w:rPr>
              <w:t>41)</w:t>
            </w:r>
          </w:p>
        </w:tc>
      </w:tr>
      <w:tr w:rsidR="00F81B40" w:rsidRPr="00A60452" w:rsidTr="00613CB8">
        <w:trPr>
          <w:gridAfter w:val="5"/>
          <w:wAfter w:w="4814" w:type="pct"/>
          <w:trHeight w:val="107"/>
        </w:trPr>
        <w:tc>
          <w:tcPr>
            <w:tcW w:w="186" w:type="pct"/>
            <w:tcBorders>
              <w:left w:val="nil"/>
              <w:bottom w:val="nil"/>
              <w:right w:val="nil"/>
            </w:tcBorders>
          </w:tcPr>
          <w:p w:rsidR="00F81B40" w:rsidRPr="00A60452" w:rsidRDefault="00F81B40" w:rsidP="00F81B40">
            <w:pPr>
              <w:jc w:val="center"/>
              <w:rPr>
                <w:rFonts w:asciiTheme="majorBidi" w:hAnsiTheme="majorBidi" w:cstheme="majorBidi"/>
                <w:szCs w:val="22"/>
                <w:lang w:eastAsia="zh-CN"/>
              </w:rPr>
            </w:pPr>
          </w:p>
        </w:tc>
      </w:tr>
    </w:tbl>
    <w:p w:rsidR="00CD4110" w:rsidRDefault="00CD4110" w:rsidP="00D8793C">
      <w:pPr>
        <w:pStyle w:val="BodyText"/>
        <w:jc w:val="left"/>
        <w:rPr>
          <w:rFonts w:asciiTheme="majorBidi" w:hAnsiTheme="majorBidi" w:cstheme="majorBidi"/>
          <w:bCs/>
          <w:szCs w:val="22"/>
        </w:rPr>
      </w:pPr>
    </w:p>
    <w:p w:rsidR="00F81B40" w:rsidRDefault="00F81B40" w:rsidP="00D8793C">
      <w:pPr>
        <w:pStyle w:val="BodyText"/>
        <w:jc w:val="left"/>
        <w:rPr>
          <w:rFonts w:asciiTheme="majorBidi" w:hAnsiTheme="majorBidi" w:cstheme="majorBidi"/>
          <w:bCs/>
          <w:szCs w:val="22"/>
        </w:rPr>
      </w:pPr>
    </w:p>
    <w:p w:rsidR="00F81B40" w:rsidRDefault="00F81B40" w:rsidP="00D8793C">
      <w:pPr>
        <w:pStyle w:val="BodyText"/>
        <w:jc w:val="left"/>
        <w:rPr>
          <w:rFonts w:asciiTheme="majorBidi" w:hAnsiTheme="majorBidi" w:cstheme="majorBidi"/>
          <w:bCs/>
          <w:szCs w:val="22"/>
        </w:rPr>
      </w:pPr>
    </w:p>
    <w:p w:rsidR="00F81B40" w:rsidRDefault="00F81B40" w:rsidP="00D8793C">
      <w:pPr>
        <w:pStyle w:val="BodyText"/>
        <w:jc w:val="left"/>
        <w:rPr>
          <w:rFonts w:asciiTheme="majorBidi" w:hAnsiTheme="majorBidi" w:cstheme="majorBidi"/>
          <w:bCs/>
          <w:szCs w:val="22"/>
        </w:rPr>
      </w:pPr>
    </w:p>
    <w:p w:rsidR="00F81B40" w:rsidRDefault="00F81B40" w:rsidP="00D8793C">
      <w:pPr>
        <w:pStyle w:val="BodyText"/>
        <w:jc w:val="left"/>
        <w:rPr>
          <w:rFonts w:asciiTheme="majorBidi" w:hAnsiTheme="majorBidi" w:cstheme="majorBidi"/>
          <w:bCs/>
          <w:szCs w:val="22"/>
        </w:rPr>
      </w:pPr>
    </w:p>
    <w:p w:rsidR="00AF43E0" w:rsidRPr="00A60452" w:rsidRDefault="00B20D98" w:rsidP="00D8793C">
      <w:pPr>
        <w:pStyle w:val="BodyText"/>
        <w:jc w:val="left"/>
        <w:rPr>
          <w:rFonts w:asciiTheme="majorBidi" w:hAnsiTheme="majorBidi" w:cstheme="majorBidi"/>
          <w:bCs/>
          <w:szCs w:val="22"/>
        </w:rPr>
      </w:pPr>
      <w:r w:rsidRPr="00A60452">
        <w:rPr>
          <w:rFonts w:asciiTheme="majorBidi" w:hAnsiTheme="majorBidi" w:cstheme="majorBidi"/>
          <w:bCs/>
          <w:szCs w:val="22"/>
        </w:rPr>
        <w:lastRenderedPageBreak/>
        <w:t>Uses of funds</w:t>
      </w:r>
    </w:p>
    <w:tbl>
      <w:tblPr>
        <w:tblW w:w="13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398"/>
        <w:gridCol w:w="3797"/>
        <w:gridCol w:w="3420"/>
        <w:gridCol w:w="2070"/>
        <w:gridCol w:w="1890"/>
      </w:tblGrid>
      <w:tr w:rsidR="00616250" w:rsidRPr="00A60452" w:rsidTr="0023515A">
        <w:trPr>
          <w:trHeight w:val="690"/>
          <w:tblHeader/>
        </w:trPr>
        <w:tc>
          <w:tcPr>
            <w:tcW w:w="565" w:type="dxa"/>
          </w:tcPr>
          <w:p w:rsidR="00616250" w:rsidRPr="00A60452" w:rsidRDefault="00616250" w:rsidP="005D7867">
            <w:pPr>
              <w:jc w:val="center"/>
              <w:rPr>
                <w:rFonts w:asciiTheme="majorBidi" w:hAnsiTheme="majorBidi" w:cstheme="majorBidi"/>
                <w:b/>
                <w:szCs w:val="22"/>
              </w:rPr>
            </w:pPr>
            <w:r w:rsidRPr="00A60452">
              <w:rPr>
                <w:rFonts w:asciiTheme="majorBidi" w:hAnsiTheme="majorBidi" w:cstheme="majorBidi"/>
                <w:b/>
                <w:szCs w:val="22"/>
              </w:rPr>
              <w:t>No</w:t>
            </w:r>
          </w:p>
        </w:tc>
        <w:tc>
          <w:tcPr>
            <w:tcW w:w="1398" w:type="dxa"/>
          </w:tcPr>
          <w:p w:rsidR="00616250" w:rsidRPr="00A60452" w:rsidRDefault="00616250" w:rsidP="005D7867">
            <w:pPr>
              <w:jc w:val="center"/>
              <w:rPr>
                <w:rFonts w:asciiTheme="majorBidi" w:hAnsiTheme="majorBidi" w:cstheme="majorBidi"/>
                <w:b/>
                <w:szCs w:val="22"/>
              </w:rPr>
            </w:pPr>
            <w:r w:rsidRPr="00A60452">
              <w:rPr>
                <w:rFonts w:asciiTheme="majorBidi" w:hAnsiTheme="majorBidi" w:cstheme="majorBidi"/>
                <w:b/>
                <w:szCs w:val="22"/>
              </w:rPr>
              <w:t xml:space="preserve">Type of </w:t>
            </w:r>
            <w:r w:rsidRPr="00A60452">
              <w:rPr>
                <w:rFonts w:asciiTheme="majorBidi" w:hAnsiTheme="majorBidi" w:cstheme="majorBidi"/>
                <w:b/>
                <w:color w:val="000000"/>
                <w:szCs w:val="22"/>
              </w:rPr>
              <w:t>Islamic</w:t>
            </w:r>
            <w:r w:rsidRPr="00A60452">
              <w:rPr>
                <w:rFonts w:asciiTheme="majorBidi" w:hAnsiTheme="majorBidi" w:cstheme="majorBidi"/>
                <w:b/>
                <w:szCs w:val="22"/>
              </w:rPr>
              <w:t xml:space="preserve"> financial instrument</w:t>
            </w:r>
          </w:p>
        </w:tc>
        <w:tc>
          <w:tcPr>
            <w:tcW w:w="3797" w:type="dxa"/>
          </w:tcPr>
          <w:p w:rsidR="00616250" w:rsidRPr="00A60452" w:rsidRDefault="00616250" w:rsidP="005D7867">
            <w:pPr>
              <w:jc w:val="center"/>
              <w:rPr>
                <w:rFonts w:asciiTheme="majorBidi" w:hAnsiTheme="majorBidi" w:cstheme="majorBidi"/>
                <w:b/>
                <w:szCs w:val="22"/>
              </w:rPr>
            </w:pPr>
            <w:r w:rsidRPr="00A60452">
              <w:rPr>
                <w:rFonts w:asciiTheme="majorBidi" w:hAnsiTheme="majorBidi" w:cstheme="majorBidi"/>
                <w:b/>
                <w:szCs w:val="22"/>
              </w:rPr>
              <w:t>Description</w:t>
            </w:r>
          </w:p>
        </w:tc>
        <w:tc>
          <w:tcPr>
            <w:tcW w:w="3420" w:type="dxa"/>
          </w:tcPr>
          <w:p w:rsidR="00616250" w:rsidRPr="00A60452" w:rsidRDefault="00616250" w:rsidP="005D7867">
            <w:pPr>
              <w:jc w:val="center"/>
              <w:rPr>
                <w:rFonts w:asciiTheme="majorBidi" w:hAnsiTheme="majorBidi" w:cstheme="majorBidi"/>
                <w:b/>
                <w:szCs w:val="22"/>
              </w:rPr>
            </w:pPr>
            <w:r w:rsidRPr="00A60452">
              <w:rPr>
                <w:rFonts w:asciiTheme="majorBidi" w:hAnsiTheme="majorBidi" w:cstheme="majorBidi"/>
                <w:b/>
                <w:szCs w:val="22"/>
              </w:rPr>
              <w:t>Classification according to annex 4.3 of MFSMCG</w:t>
            </w:r>
          </w:p>
        </w:tc>
        <w:tc>
          <w:tcPr>
            <w:tcW w:w="2070" w:type="dxa"/>
          </w:tcPr>
          <w:p w:rsidR="00616250" w:rsidRPr="00A60452" w:rsidRDefault="00616250" w:rsidP="005D7867">
            <w:pPr>
              <w:jc w:val="center"/>
              <w:rPr>
                <w:rFonts w:asciiTheme="majorBidi" w:hAnsiTheme="majorBidi" w:cstheme="majorBidi"/>
                <w:b/>
                <w:szCs w:val="22"/>
              </w:rPr>
            </w:pPr>
            <w:r w:rsidRPr="00A60452">
              <w:rPr>
                <w:rFonts w:asciiTheme="majorBidi" w:hAnsiTheme="majorBidi" w:cstheme="majorBidi"/>
                <w:b/>
                <w:szCs w:val="22"/>
              </w:rPr>
              <w:t>Type of return</w:t>
            </w:r>
            <w:r w:rsidR="001B74FE">
              <w:rPr>
                <w:rFonts w:asciiTheme="majorBidi" w:hAnsiTheme="majorBidi" w:cstheme="majorBidi"/>
                <w:b/>
                <w:szCs w:val="22"/>
              </w:rPr>
              <w:t xml:space="preserve"> payable to asset holder</w:t>
            </w:r>
          </w:p>
        </w:tc>
        <w:tc>
          <w:tcPr>
            <w:tcW w:w="1890" w:type="dxa"/>
          </w:tcPr>
          <w:p w:rsidR="00616250" w:rsidRPr="00A60452" w:rsidRDefault="00616250" w:rsidP="005D7867">
            <w:pPr>
              <w:jc w:val="center"/>
              <w:rPr>
                <w:rFonts w:asciiTheme="majorBidi" w:hAnsiTheme="majorBidi" w:cstheme="majorBidi"/>
                <w:b/>
                <w:szCs w:val="22"/>
              </w:rPr>
            </w:pPr>
            <w:r w:rsidRPr="00A60452">
              <w:rPr>
                <w:rFonts w:asciiTheme="majorBidi" w:hAnsiTheme="majorBidi" w:cstheme="majorBidi"/>
                <w:b/>
                <w:szCs w:val="22"/>
              </w:rPr>
              <w:t>Classification of property income</w:t>
            </w:r>
          </w:p>
        </w:tc>
      </w:tr>
      <w:tr w:rsidR="00616250" w:rsidRPr="00A60452" w:rsidTr="0023515A">
        <w:tblPrEx>
          <w:tblLook w:val="01E0" w:firstRow="1" w:lastRow="1" w:firstColumn="1" w:lastColumn="1" w:noHBand="0" w:noVBand="0"/>
        </w:tblPrEx>
        <w:tc>
          <w:tcPr>
            <w:tcW w:w="565" w:type="dxa"/>
          </w:tcPr>
          <w:p w:rsidR="00616250" w:rsidRPr="00A60452" w:rsidRDefault="00616250" w:rsidP="000E6EA7">
            <w:pPr>
              <w:jc w:val="center"/>
              <w:rPr>
                <w:rFonts w:asciiTheme="majorBidi" w:hAnsiTheme="majorBidi" w:cstheme="majorBidi"/>
                <w:bCs/>
                <w:szCs w:val="22"/>
              </w:rPr>
            </w:pPr>
            <w:r w:rsidRPr="00A60452">
              <w:rPr>
                <w:rFonts w:asciiTheme="majorBidi" w:hAnsiTheme="majorBidi" w:cstheme="majorBidi"/>
                <w:bCs/>
                <w:szCs w:val="22"/>
              </w:rPr>
              <w:t>1</w:t>
            </w:r>
          </w:p>
        </w:tc>
        <w:tc>
          <w:tcPr>
            <w:tcW w:w="1398" w:type="dxa"/>
          </w:tcPr>
          <w:p w:rsidR="00616250" w:rsidRPr="00A60452" w:rsidRDefault="00616250" w:rsidP="000E6EA7">
            <w:pPr>
              <w:jc w:val="left"/>
              <w:rPr>
                <w:rFonts w:asciiTheme="majorBidi" w:hAnsiTheme="majorBidi" w:cstheme="majorBidi"/>
                <w:bCs/>
                <w:szCs w:val="22"/>
              </w:rPr>
            </w:pPr>
            <w:r w:rsidRPr="00A60452">
              <w:rPr>
                <w:rFonts w:asciiTheme="majorBidi" w:hAnsiTheme="majorBidi" w:cstheme="majorBidi"/>
                <w:bCs/>
                <w:szCs w:val="22"/>
              </w:rPr>
              <w:t>Qard-Hasan</w:t>
            </w:r>
            <w:r w:rsidR="00395362">
              <w:rPr>
                <w:rFonts w:asciiTheme="majorBidi" w:hAnsiTheme="majorBidi" w:cstheme="majorBidi"/>
                <w:bCs/>
                <w:szCs w:val="22"/>
              </w:rPr>
              <w:t xml:space="preserve"> financing</w:t>
            </w:r>
          </w:p>
        </w:tc>
        <w:tc>
          <w:tcPr>
            <w:tcW w:w="3797" w:type="dxa"/>
          </w:tcPr>
          <w:p w:rsidR="00616250" w:rsidRPr="00A60452" w:rsidRDefault="00616250" w:rsidP="003D3AF8">
            <w:pPr>
              <w:autoSpaceDE w:val="0"/>
              <w:autoSpaceDN w:val="0"/>
              <w:adjustRightInd w:val="0"/>
              <w:spacing w:line="240" w:lineRule="atLeast"/>
              <w:jc w:val="left"/>
              <w:rPr>
                <w:rFonts w:asciiTheme="majorBidi" w:hAnsiTheme="majorBidi" w:cstheme="majorBidi"/>
                <w:noProof/>
                <w:szCs w:val="22"/>
                <w:lang w:eastAsia="zh-TW"/>
              </w:rPr>
            </w:pPr>
            <w:r w:rsidRPr="00A60452">
              <w:rPr>
                <w:rFonts w:asciiTheme="majorBidi" w:hAnsiTheme="majorBidi" w:cstheme="majorBidi"/>
                <w:szCs w:val="22"/>
                <w:lang w:eastAsia="zh-CN"/>
              </w:rPr>
              <w:t>Return-free financing that is made to needy individuals or for some social purpose and the debtors are required only to repay the princip</w:t>
            </w:r>
            <w:r w:rsidR="00851E9E">
              <w:rPr>
                <w:rFonts w:asciiTheme="majorBidi" w:hAnsiTheme="majorBidi" w:cstheme="majorBidi"/>
                <w:szCs w:val="22"/>
                <w:lang w:eastAsia="zh-CN"/>
              </w:rPr>
              <w:t>al amount of the financing</w:t>
            </w:r>
            <w:r w:rsidRPr="00A60452">
              <w:rPr>
                <w:rFonts w:asciiTheme="majorBidi" w:hAnsiTheme="majorBidi" w:cstheme="majorBidi"/>
                <w:szCs w:val="22"/>
                <w:lang w:eastAsia="zh-CN"/>
              </w:rPr>
              <w:t>.</w:t>
            </w:r>
          </w:p>
        </w:tc>
        <w:tc>
          <w:tcPr>
            <w:tcW w:w="3420" w:type="dxa"/>
          </w:tcPr>
          <w:p w:rsidR="00616250" w:rsidRPr="00A60452" w:rsidRDefault="00616250" w:rsidP="000E6EA7">
            <w:pPr>
              <w:autoSpaceDE w:val="0"/>
              <w:autoSpaceDN w:val="0"/>
              <w:adjustRightInd w:val="0"/>
              <w:spacing w:line="240" w:lineRule="atLeast"/>
              <w:jc w:val="left"/>
              <w:rPr>
                <w:rFonts w:asciiTheme="majorBidi" w:hAnsiTheme="majorBidi" w:cstheme="majorBidi"/>
                <w:noProof/>
                <w:szCs w:val="22"/>
                <w:lang w:eastAsia="zh-TW"/>
              </w:rPr>
            </w:pPr>
            <w:r w:rsidRPr="00A60452">
              <w:rPr>
                <w:rFonts w:asciiTheme="majorBidi" w:hAnsiTheme="majorBidi" w:cstheme="majorBidi"/>
                <w:noProof/>
                <w:szCs w:val="22"/>
                <w:lang w:eastAsia="zh-TW"/>
              </w:rPr>
              <w:t>Loan</w:t>
            </w:r>
            <w:r w:rsidR="00083D29">
              <w:rPr>
                <w:rFonts w:asciiTheme="majorBidi" w:hAnsiTheme="majorBidi" w:cstheme="majorBidi"/>
                <w:noProof/>
                <w:szCs w:val="22"/>
                <w:lang w:eastAsia="zh-TW"/>
              </w:rPr>
              <w:t xml:space="preserve">s </w:t>
            </w:r>
            <w:r w:rsidRPr="00A60452">
              <w:rPr>
                <w:rFonts w:asciiTheme="majorBidi" w:hAnsiTheme="majorBidi" w:cstheme="majorBidi"/>
                <w:noProof/>
                <w:szCs w:val="22"/>
                <w:lang w:eastAsia="zh-TW"/>
              </w:rPr>
              <w:t>(F4)</w:t>
            </w:r>
          </w:p>
        </w:tc>
        <w:tc>
          <w:tcPr>
            <w:tcW w:w="2070" w:type="dxa"/>
          </w:tcPr>
          <w:p w:rsidR="00616250" w:rsidRPr="00A60452" w:rsidRDefault="00616250" w:rsidP="000E6EA7">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No return</w:t>
            </w:r>
          </w:p>
        </w:tc>
        <w:tc>
          <w:tcPr>
            <w:tcW w:w="1890" w:type="dxa"/>
          </w:tcPr>
          <w:p w:rsidR="00616250" w:rsidRPr="00A60452" w:rsidRDefault="00616250" w:rsidP="000E6EA7">
            <w:pPr>
              <w:autoSpaceDE w:val="0"/>
              <w:autoSpaceDN w:val="0"/>
              <w:adjustRightInd w:val="0"/>
              <w:spacing w:line="240" w:lineRule="atLeast"/>
              <w:jc w:val="left"/>
              <w:rPr>
                <w:rFonts w:asciiTheme="majorBidi" w:hAnsiTheme="majorBidi" w:cstheme="majorBidi"/>
                <w:szCs w:val="22"/>
              </w:rPr>
            </w:pPr>
            <w:r>
              <w:rPr>
                <w:rFonts w:asciiTheme="majorBidi" w:hAnsiTheme="majorBidi" w:cstheme="majorBidi"/>
                <w:szCs w:val="22"/>
              </w:rPr>
              <w:t>Interest (D41)</w:t>
            </w:r>
          </w:p>
        </w:tc>
      </w:tr>
      <w:tr w:rsidR="00616250" w:rsidRPr="00A60452" w:rsidTr="0023515A">
        <w:tblPrEx>
          <w:tblLook w:val="01E0" w:firstRow="1" w:lastRow="1" w:firstColumn="1" w:lastColumn="1" w:noHBand="0" w:noVBand="0"/>
        </w:tblPrEx>
        <w:tc>
          <w:tcPr>
            <w:tcW w:w="565" w:type="dxa"/>
          </w:tcPr>
          <w:p w:rsidR="00616250" w:rsidRPr="00A60452" w:rsidRDefault="00616250" w:rsidP="000E6EA7">
            <w:pPr>
              <w:jc w:val="center"/>
              <w:rPr>
                <w:rFonts w:asciiTheme="majorBidi" w:hAnsiTheme="majorBidi" w:cstheme="majorBidi"/>
                <w:szCs w:val="22"/>
                <w:lang w:eastAsia="zh-CN"/>
              </w:rPr>
            </w:pPr>
            <w:r w:rsidRPr="00A60452">
              <w:rPr>
                <w:rFonts w:asciiTheme="majorBidi" w:hAnsiTheme="majorBidi" w:cstheme="majorBidi"/>
                <w:szCs w:val="22"/>
                <w:lang w:eastAsia="zh-CN"/>
              </w:rPr>
              <w:t>2</w:t>
            </w:r>
          </w:p>
        </w:tc>
        <w:tc>
          <w:tcPr>
            <w:tcW w:w="1398" w:type="dxa"/>
          </w:tcPr>
          <w:p w:rsidR="00616250" w:rsidRPr="00A60452" w:rsidRDefault="00616250" w:rsidP="000E6EA7">
            <w:pPr>
              <w:jc w:val="left"/>
              <w:rPr>
                <w:rFonts w:asciiTheme="majorBidi" w:hAnsiTheme="majorBidi" w:cstheme="majorBidi"/>
                <w:bCs/>
                <w:szCs w:val="22"/>
              </w:rPr>
            </w:pPr>
            <w:r w:rsidRPr="00A60452">
              <w:rPr>
                <w:rFonts w:asciiTheme="majorBidi" w:hAnsiTheme="majorBidi" w:cstheme="majorBidi"/>
                <w:bCs/>
                <w:szCs w:val="22"/>
              </w:rPr>
              <w:t xml:space="preserve">Murabaha </w:t>
            </w:r>
            <w:r w:rsidR="00395362">
              <w:rPr>
                <w:rFonts w:asciiTheme="majorBidi" w:hAnsiTheme="majorBidi" w:cstheme="majorBidi"/>
                <w:bCs/>
                <w:szCs w:val="22"/>
              </w:rPr>
              <w:t>financing</w:t>
            </w:r>
          </w:p>
        </w:tc>
        <w:tc>
          <w:tcPr>
            <w:tcW w:w="3797" w:type="dxa"/>
          </w:tcPr>
          <w:p w:rsidR="00EB56A7" w:rsidRDefault="00EB56A7" w:rsidP="00EB56A7">
            <w:pPr>
              <w:autoSpaceDE w:val="0"/>
              <w:autoSpaceDN w:val="0"/>
              <w:adjustRightInd w:val="0"/>
              <w:spacing w:line="240" w:lineRule="atLeast"/>
              <w:jc w:val="left"/>
              <w:rPr>
                <w:rFonts w:asciiTheme="majorBidi" w:hAnsiTheme="majorBidi" w:cstheme="majorBidi"/>
                <w:szCs w:val="22"/>
                <w:lang w:eastAsia="zh-CN"/>
              </w:rPr>
            </w:pPr>
            <w:r w:rsidRPr="00EB56A7">
              <w:rPr>
                <w:rFonts w:asciiTheme="majorBidi" w:hAnsiTheme="majorBidi" w:cstheme="majorBidi"/>
                <w:szCs w:val="22"/>
                <w:lang w:eastAsia="zh-CN"/>
              </w:rPr>
              <w:t xml:space="preserve">A type of financing provided by an IFI to its client by supplying desired </w:t>
            </w:r>
            <w:r>
              <w:rPr>
                <w:rFonts w:asciiTheme="majorBidi" w:hAnsiTheme="majorBidi" w:cstheme="majorBidi"/>
                <w:szCs w:val="22"/>
                <w:lang w:eastAsia="zh-CN"/>
              </w:rPr>
              <w:t>goods</w:t>
            </w:r>
            <w:r w:rsidRPr="00EB56A7">
              <w:rPr>
                <w:rFonts w:asciiTheme="majorBidi" w:hAnsiTheme="majorBidi" w:cstheme="majorBidi"/>
                <w:szCs w:val="22"/>
                <w:lang w:eastAsia="zh-CN"/>
              </w:rPr>
              <w:t xml:space="preserve"> or services at cost plus an agreed profit margin with deferred payments.</w:t>
            </w:r>
          </w:p>
          <w:p w:rsidR="00851E9E" w:rsidRPr="00EB56A7" w:rsidRDefault="00851E9E" w:rsidP="00EB56A7">
            <w:pPr>
              <w:autoSpaceDE w:val="0"/>
              <w:autoSpaceDN w:val="0"/>
              <w:adjustRightInd w:val="0"/>
              <w:spacing w:line="240" w:lineRule="atLeast"/>
              <w:jc w:val="left"/>
              <w:rPr>
                <w:rFonts w:asciiTheme="majorBidi" w:hAnsiTheme="majorBidi" w:cstheme="majorBidi"/>
                <w:szCs w:val="22"/>
                <w:lang w:eastAsia="zh-CN"/>
              </w:rPr>
            </w:pPr>
            <w:r>
              <w:rPr>
                <w:rFonts w:asciiTheme="majorBidi" w:hAnsiTheme="majorBidi" w:cstheme="majorBidi"/>
                <w:szCs w:val="22"/>
                <w:lang w:eastAsia="zh-CN"/>
              </w:rPr>
              <w:t>In a Murabaha contract, an IFI purchases goods upon the request of a client, who makes deferred payments that cover costs and an agreed-upon profit margin for the IFI. The IFI handles payments to the supplier including direct expenses incurred (delivery, insurance, storage, fees for letter of credit, etc.). Operating expenses of the IFI are not included. Under Murabaha contracts, disclosure of cost of the underlying goods is necessary.</w:t>
            </w:r>
          </w:p>
          <w:p w:rsidR="00CC4C5C" w:rsidRPr="00A60452" w:rsidRDefault="00CC4C5C" w:rsidP="0001322E">
            <w:pPr>
              <w:autoSpaceDE w:val="0"/>
              <w:autoSpaceDN w:val="0"/>
              <w:adjustRightInd w:val="0"/>
              <w:spacing w:line="240" w:lineRule="atLeast"/>
              <w:jc w:val="left"/>
              <w:rPr>
                <w:rFonts w:asciiTheme="majorBidi" w:hAnsiTheme="majorBidi" w:cstheme="majorBidi"/>
                <w:szCs w:val="22"/>
                <w:lang w:eastAsia="zh-TW"/>
              </w:rPr>
            </w:pPr>
          </w:p>
        </w:tc>
        <w:tc>
          <w:tcPr>
            <w:tcW w:w="3420" w:type="dxa"/>
          </w:tcPr>
          <w:p w:rsidR="00616250" w:rsidRPr="00A60452" w:rsidRDefault="00616250" w:rsidP="000E6EA7">
            <w:pPr>
              <w:autoSpaceDE w:val="0"/>
              <w:autoSpaceDN w:val="0"/>
              <w:adjustRightInd w:val="0"/>
              <w:spacing w:line="240" w:lineRule="atLeast"/>
              <w:jc w:val="left"/>
              <w:rPr>
                <w:rFonts w:asciiTheme="majorBidi" w:hAnsiTheme="majorBidi" w:cstheme="majorBidi"/>
                <w:szCs w:val="22"/>
                <w:lang w:eastAsia="zh-TW"/>
              </w:rPr>
            </w:pPr>
            <w:r w:rsidRPr="00A60452">
              <w:rPr>
                <w:rFonts w:asciiTheme="majorBidi" w:hAnsiTheme="majorBidi" w:cstheme="majorBidi"/>
                <w:szCs w:val="22"/>
                <w:lang w:eastAsia="zh-TW"/>
              </w:rPr>
              <w:t>Loan</w:t>
            </w:r>
            <w:r w:rsidR="00083D29">
              <w:rPr>
                <w:rFonts w:asciiTheme="majorBidi" w:hAnsiTheme="majorBidi" w:cstheme="majorBidi"/>
                <w:szCs w:val="22"/>
                <w:lang w:eastAsia="zh-TW"/>
              </w:rPr>
              <w:t>s</w:t>
            </w:r>
            <w:r w:rsidRPr="00A60452">
              <w:rPr>
                <w:rFonts w:asciiTheme="majorBidi" w:hAnsiTheme="majorBidi" w:cstheme="majorBidi"/>
                <w:szCs w:val="22"/>
                <w:lang w:eastAsia="zh-TW"/>
              </w:rPr>
              <w:t xml:space="preserve"> (F4)</w:t>
            </w:r>
          </w:p>
        </w:tc>
        <w:tc>
          <w:tcPr>
            <w:tcW w:w="2070" w:type="dxa"/>
          </w:tcPr>
          <w:p w:rsidR="00616250" w:rsidRPr="00A60452" w:rsidRDefault="00616250" w:rsidP="00E6683B">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 xml:space="preserve">Profit margin </w:t>
            </w:r>
          </w:p>
        </w:tc>
        <w:tc>
          <w:tcPr>
            <w:tcW w:w="1890" w:type="dxa"/>
          </w:tcPr>
          <w:p w:rsidR="00616250" w:rsidRPr="00A60452" w:rsidRDefault="00616250" w:rsidP="00623332">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Interest (D41)</w:t>
            </w:r>
          </w:p>
        </w:tc>
      </w:tr>
      <w:tr w:rsidR="00616250" w:rsidRPr="00A60452" w:rsidTr="00CD4110">
        <w:tblPrEx>
          <w:tblLook w:val="01E0" w:firstRow="1" w:lastRow="1" w:firstColumn="1" w:lastColumn="1" w:noHBand="0" w:noVBand="0"/>
        </w:tblPrEx>
        <w:trPr>
          <w:trHeight w:val="1097"/>
        </w:trPr>
        <w:tc>
          <w:tcPr>
            <w:tcW w:w="565" w:type="dxa"/>
          </w:tcPr>
          <w:p w:rsidR="00616250" w:rsidRPr="00A60452" w:rsidRDefault="00616250" w:rsidP="000E6EA7">
            <w:pPr>
              <w:jc w:val="center"/>
              <w:rPr>
                <w:rFonts w:asciiTheme="majorBidi" w:hAnsiTheme="majorBidi" w:cstheme="majorBidi"/>
                <w:szCs w:val="22"/>
                <w:lang w:eastAsia="zh-CN"/>
              </w:rPr>
            </w:pPr>
            <w:r w:rsidRPr="00A60452">
              <w:rPr>
                <w:rFonts w:asciiTheme="majorBidi" w:hAnsiTheme="majorBidi" w:cstheme="majorBidi"/>
                <w:szCs w:val="22"/>
                <w:lang w:eastAsia="zh-CN"/>
              </w:rPr>
              <w:t>3</w:t>
            </w:r>
          </w:p>
        </w:tc>
        <w:tc>
          <w:tcPr>
            <w:tcW w:w="1398" w:type="dxa"/>
          </w:tcPr>
          <w:p w:rsidR="00616250" w:rsidRPr="00A60452" w:rsidRDefault="00616250" w:rsidP="000E6EA7">
            <w:pPr>
              <w:jc w:val="left"/>
              <w:rPr>
                <w:rFonts w:asciiTheme="majorBidi" w:hAnsiTheme="majorBidi" w:cstheme="majorBidi"/>
                <w:bCs/>
                <w:szCs w:val="22"/>
                <w:lang w:eastAsia="zh-CN"/>
              </w:rPr>
            </w:pPr>
            <w:r w:rsidRPr="00A60452">
              <w:rPr>
                <w:rFonts w:asciiTheme="majorBidi" w:hAnsiTheme="majorBidi" w:cstheme="majorBidi"/>
                <w:szCs w:val="22"/>
                <w:lang w:eastAsia="zh-CN"/>
              </w:rPr>
              <w:t xml:space="preserve"> Bai Muajjal</w:t>
            </w:r>
          </w:p>
        </w:tc>
        <w:tc>
          <w:tcPr>
            <w:tcW w:w="3797" w:type="dxa"/>
          </w:tcPr>
          <w:p w:rsidR="00616250" w:rsidRDefault="00616250" w:rsidP="000E6EA7">
            <w:pPr>
              <w:autoSpaceDE w:val="0"/>
              <w:autoSpaceDN w:val="0"/>
              <w:adjustRightInd w:val="0"/>
              <w:jc w:val="left"/>
              <w:rPr>
                <w:rFonts w:asciiTheme="majorBidi" w:hAnsiTheme="majorBidi" w:cstheme="majorBidi"/>
                <w:szCs w:val="22"/>
                <w:lang w:eastAsia="zh-CN"/>
              </w:rPr>
            </w:pPr>
            <w:r w:rsidRPr="00A60452">
              <w:rPr>
                <w:rFonts w:asciiTheme="majorBidi" w:hAnsiTheme="majorBidi" w:cstheme="majorBidi"/>
                <w:szCs w:val="22"/>
                <w:lang w:eastAsia="zh-CN"/>
              </w:rPr>
              <w:t xml:space="preserve">A type of financing provided by an IFI to its client by supplying desired </w:t>
            </w:r>
            <w:r w:rsidR="00EB56A7">
              <w:rPr>
                <w:rFonts w:asciiTheme="majorBidi" w:hAnsiTheme="majorBidi" w:cstheme="majorBidi"/>
                <w:szCs w:val="22"/>
                <w:lang w:eastAsia="zh-CN"/>
              </w:rPr>
              <w:t>goods</w:t>
            </w:r>
            <w:r w:rsidR="00EB56A7" w:rsidRPr="00A60452">
              <w:rPr>
                <w:rFonts w:asciiTheme="majorBidi" w:hAnsiTheme="majorBidi" w:cstheme="majorBidi"/>
                <w:szCs w:val="22"/>
                <w:lang w:eastAsia="zh-CN"/>
              </w:rPr>
              <w:t xml:space="preserve"> </w:t>
            </w:r>
            <w:r w:rsidRPr="00A60452">
              <w:rPr>
                <w:rFonts w:asciiTheme="majorBidi" w:hAnsiTheme="majorBidi" w:cstheme="majorBidi"/>
                <w:szCs w:val="22"/>
                <w:lang w:eastAsia="zh-CN"/>
              </w:rPr>
              <w:t>or services with deferred payments.</w:t>
            </w:r>
          </w:p>
          <w:p w:rsidR="00234E27" w:rsidRPr="00A60452" w:rsidRDefault="00234E27" w:rsidP="000E6EA7">
            <w:pPr>
              <w:autoSpaceDE w:val="0"/>
              <w:autoSpaceDN w:val="0"/>
              <w:adjustRightInd w:val="0"/>
              <w:jc w:val="left"/>
              <w:rPr>
                <w:rFonts w:asciiTheme="majorBidi" w:hAnsiTheme="majorBidi" w:cstheme="majorBidi"/>
                <w:szCs w:val="22"/>
                <w:lang w:eastAsia="zh-CN"/>
              </w:rPr>
            </w:pPr>
            <w:r>
              <w:rPr>
                <w:rFonts w:asciiTheme="majorBidi" w:hAnsiTheme="majorBidi" w:cstheme="majorBidi"/>
                <w:szCs w:val="22"/>
                <w:lang w:eastAsia="zh-CN"/>
              </w:rPr>
              <w:t xml:space="preserve">The difference </w:t>
            </w:r>
            <w:r w:rsidR="00082ACB">
              <w:rPr>
                <w:rFonts w:asciiTheme="majorBidi" w:hAnsiTheme="majorBidi" w:cstheme="majorBidi"/>
                <w:szCs w:val="22"/>
                <w:lang w:eastAsia="zh-CN"/>
              </w:rPr>
              <w:t>with</w:t>
            </w:r>
            <w:r>
              <w:rPr>
                <w:rFonts w:asciiTheme="majorBidi" w:hAnsiTheme="majorBidi" w:cstheme="majorBidi"/>
                <w:szCs w:val="22"/>
                <w:lang w:eastAsia="zh-CN"/>
              </w:rPr>
              <w:t xml:space="preserve"> Murabaha is that the initial cost of the </w:t>
            </w:r>
            <w:r w:rsidR="0001322E">
              <w:rPr>
                <w:rFonts w:asciiTheme="majorBidi" w:hAnsiTheme="majorBidi" w:cstheme="majorBidi"/>
                <w:szCs w:val="22"/>
                <w:lang w:eastAsia="zh-CN"/>
              </w:rPr>
              <w:t>goods</w:t>
            </w:r>
            <w:r>
              <w:rPr>
                <w:rFonts w:asciiTheme="majorBidi" w:hAnsiTheme="majorBidi" w:cstheme="majorBidi"/>
                <w:szCs w:val="22"/>
                <w:lang w:eastAsia="zh-CN"/>
              </w:rPr>
              <w:t xml:space="preserve"> or service does not need to be disclosed by the IFI.</w:t>
            </w:r>
          </w:p>
          <w:p w:rsidR="00616250" w:rsidRPr="00A60452" w:rsidRDefault="00616250" w:rsidP="000E6EA7">
            <w:pPr>
              <w:autoSpaceDE w:val="0"/>
              <w:autoSpaceDN w:val="0"/>
              <w:adjustRightInd w:val="0"/>
              <w:jc w:val="left"/>
              <w:rPr>
                <w:rFonts w:asciiTheme="majorBidi" w:hAnsiTheme="majorBidi" w:cstheme="majorBidi"/>
                <w:noProof/>
                <w:szCs w:val="22"/>
                <w:lang w:eastAsia="zh-TW"/>
              </w:rPr>
            </w:pPr>
          </w:p>
        </w:tc>
        <w:tc>
          <w:tcPr>
            <w:tcW w:w="3420" w:type="dxa"/>
          </w:tcPr>
          <w:p w:rsidR="00616250" w:rsidRPr="00A60452" w:rsidRDefault="00616250" w:rsidP="000E6EA7">
            <w:pPr>
              <w:rPr>
                <w:rFonts w:asciiTheme="majorBidi" w:hAnsiTheme="majorBidi" w:cstheme="majorBidi"/>
                <w:noProof/>
                <w:szCs w:val="22"/>
                <w:lang w:eastAsia="zh-TW"/>
              </w:rPr>
            </w:pPr>
            <w:r w:rsidRPr="00A60452">
              <w:rPr>
                <w:rFonts w:asciiTheme="majorBidi" w:hAnsiTheme="majorBidi" w:cstheme="majorBidi"/>
                <w:noProof/>
                <w:szCs w:val="22"/>
                <w:lang w:eastAsia="zh-TW"/>
              </w:rPr>
              <w:t>Loan</w:t>
            </w:r>
            <w:r w:rsidR="00083D29">
              <w:rPr>
                <w:rFonts w:asciiTheme="majorBidi" w:hAnsiTheme="majorBidi" w:cstheme="majorBidi"/>
                <w:noProof/>
                <w:szCs w:val="22"/>
                <w:lang w:eastAsia="zh-TW"/>
              </w:rPr>
              <w:t>s</w:t>
            </w:r>
            <w:r w:rsidRPr="00A60452">
              <w:rPr>
                <w:rFonts w:asciiTheme="majorBidi" w:hAnsiTheme="majorBidi" w:cstheme="majorBidi"/>
                <w:noProof/>
                <w:szCs w:val="22"/>
                <w:lang w:eastAsia="zh-TW"/>
              </w:rPr>
              <w:t xml:space="preserve"> (F4)</w:t>
            </w:r>
          </w:p>
        </w:tc>
        <w:tc>
          <w:tcPr>
            <w:tcW w:w="2070" w:type="dxa"/>
          </w:tcPr>
          <w:p w:rsidR="00616250" w:rsidRPr="00A60452" w:rsidRDefault="00616250" w:rsidP="00E6683B">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 xml:space="preserve">Profit from higher </w:t>
            </w:r>
            <w:r w:rsidR="00586BF8">
              <w:rPr>
                <w:rFonts w:asciiTheme="majorBidi" w:hAnsiTheme="majorBidi" w:cstheme="majorBidi"/>
                <w:szCs w:val="22"/>
              </w:rPr>
              <w:t>good</w:t>
            </w:r>
            <w:r w:rsidRPr="00A60452">
              <w:rPr>
                <w:rFonts w:asciiTheme="majorBidi" w:hAnsiTheme="majorBidi" w:cstheme="majorBidi"/>
                <w:szCs w:val="22"/>
              </w:rPr>
              <w:t>/service price</w:t>
            </w:r>
          </w:p>
        </w:tc>
        <w:tc>
          <w:tcPr>
            <w:tcW w:w="1890" w:type="dxa"/>
          </w:tcPr>
          <w:p w:rsidR="00616250" w:rsidRPr="00A60452" w:rsidRDefault="00616250" w:rsidP="00623332">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Interest (D41)</w:t>
            </w:r>
          </w:p>
        </w:tc>
      </w:tr>
      <w:tr w:rsidR="00616250" w:rsidRPr="00A60452" w:rsidTr="0023515A">
        <w:tblPrEx>
          <w:tblLook w:val="01E0" w:firstRow="1" w:lastRow="1" w:firstColumn="1" w:lastColumn="1" w:noHBand="0" w:noVBand="0"/>
        </w:tblPrEx>
        <w:tc>
          <w:tcPr>
            <w:tcW w:w="565" w:type="dxa"/>
            <w:tcBorders>
              <w:top w:val="single" w:sz="4" w:space="0" w:color="auto"/>
              <w:left w:val="single" w:sz="4" w:space="0" w:color="auto"/>
              <w:bottom w:val="single" w:sz="4" w:space="0" w:color="auto"/>
              <w:right w:val="single" w:sz="4" w:space="0" w:color="auto"/>
            </w:tcBorders>
          </w:tcPr>
          <w:p w:rsidR="00616250" w:rsidRPr="00A60452" w:rsidRDefault="00616250" w:rsidP="000E6EA7">
            <w:pPr>
              <w:jc w:val="center"/>
              <w:rPr>
                <w:rFonts w:asciiTheme="majorBidi" w:hAnsiTheme="majorBidi" w:cstheme="majorBidi"/>
                <w:szCs w:val="22"/>
                <w:lang w:val="en-GB" w:eastAsia="zh-CN"/>
              </w:rPr>
            </w:pPr>
            <w:r w:rsidRPr="00A60452">
              <w:rPr>
                <w:rFonts w:asciiTheme="majorBidi" w:hAnsiTheme="majorBidi" w:cstheme="majorBidi"/>
                <w:szCs w:val="22"/>
                <w:lang w:val="en-GB" w:eastAsia="zh-CN"/>
              </w:rPr>
              <w:t>4</w:t>
            </w:r>
          </w:p>
        </w:tc>
        <w:tc>
          <w:tcPr>
            <w:tcW w:w="1398" w:type="dxa"/>
            <w:tcBorders>
              <w:top w:val="single" w:sz="4" w:space="0" w:color="auto"/>
              <w:left w:val="single" w:sz="4" w:space="0" w:color="auto"/>
              <w:bottom w:val="single" w:sz="4" w:space="0" w:color="auto"/>
              <w:right w:val="single" w:sz="4" w:space="0" w:color="auto"/>
            </w:tcBorders>
          </w:tcPr>
          <w:p w:rsidR="00616250" w:rsidRPr="00A60452" w:rsidRDefault="00616250" w:rsidP="000E6EA7">
            <w:pPr>
              <w:jc w:val="left"/>
              <w:rPr>
                <w:rFonts w:asciiTheme="majorBidi" w:hAnsiTheme="majorBidi" w:cstheme="majorBidi"/>
                <w:szCs w:val="22"/>
                <w:lang w:val="en-GB"/>
              </w:rPr>
            </w:pPr>
            <w:r w:rsidRPr="00A60452">
              <w:rPr>
                <w:rFonts w:asciiTheme="majorBidi" w:hAnsiTheme="majorBidi" w:cstheme="majorBidi"/>
                <w:szCs w:val="22"/>
                <w:lang w:val="en-GB"/>
              </w:rPr>
              <w:t xml:space="preserve"> Bai Salam</w:t>
            </w:r>
          </w:p>
        </w:tc>
        <w:tc>
          <w:tcPr>
            <w:tcW w:w="3797" w:type="dxa"/>
            <w:tcBorders>
              <w:top w:val="single" w:sz="4" w:space="0" w:color="auto"/>
              <w:left w:val="single" w:sz="4" w:space="0" w:color="auto"/>
              <w:bottom w:val="single" w:sz="4" w:space="0" w:color="auto"/>
              <w:right w:val="single" w:sz="4" w:space="0" w:color="auto"/>
            </w:tcBorders>
          </w:tcPr>
          <w:p w:rsidR="00616250" w:rsidRDefault="00616250" w:rsidP="00246C61">
            <w:pPr>
              <w:jc w:val="left"/>
              <w:rPr>
                <w:rFonts w:asciiTheme="majorBidi" w:hAnsiTheme="majorBidi" w:cstheme="majorBidi"/>
                <w:szCs w:val="22"/>
                <w:lang w:eastAsia="zh-TW"/>
              </w:rPr>
            </w:pPr>
            <w:r w:rsidRPr="00A60452">
              <w:rPr>
                <w:rFonts w:asciiTheme="majorBidi" w:hAnsiTheme="majorBidi" w:cstheme="majorBidi"/>
                <w:szCs w:val="22"/>
                <w:lang w:eastAsia="zh-TW"/>
              </w:rPr>
              <w:t>A short</w:t>
            </w:r>
            <w:r w:rsidR="007C638A">
              <w:rPr>
                <w:rFonts w:asciiTheme="majorBidi" w:hAnsiTheme="majorBidi" w:cstheme="majorBidi"/>
                <w:szCs w:val="22"/>
                <w:lang w:eastAsia="zh-TW"/>
              </w:rPr>
              <w:t>-</w:t>
            </w:r>
            <w:r w:rsidRPr="00A60452">
              <w:rPr>
                <w:rFonts w:asciiTheme="majorBidi" w:hAnsiTheme="majorBidi" w:cstheme="majorBidi"/>
                <w:szCs w:val="22"/>
                <w:lang w:eastAsia="zh-TW"/>
              </w:rPr>
              <w:t xml:space="preserve">term agreement in which an IFI makes full prepayments (spot payment) </w:t>
            </w:r>
            <w:r w:rsidRPr="00A60452">
              <w:rPr>
                <w:rFonts w:asciiTheme="majorBidi" w:hAnsiTheme="majorBidi" w:cstheme="majorBidi"/>
                <w:szCs w:val="22"/>
                <w:lang w:eastAsia="zh-TW"/>
              </w:rPr>
              <w:lastRenderedPageBreak/>
              <w:t>for future (deferred) delivery of a specified quantity of goods on a specified date.</w:t>
            </w:r>
          </w:p>
          <w:p w:rsidR="00083D29" w:rsidRPr="00A60452" w:rsidRDefault="00083D29" w:rsidP="00246C61">
            <w:pPr>
              <w:jc w:val="left"/>
              <w:rPr>
                <w:rFonts w:asciiTheme="majorBidi" w:hAnsiTheme="majorBidi" w:cstheme="majorBidi"/>
                <w:szCs w:val="22"/>
                <w:lang w:eastAsia="zh-TW"/>
              </w:rPr>
            </w:pPr>
            <w:r>
              <w:rPr>
                <w:rFonts w:asciiTheme="majorBidi" w:hAnsiTheme="majorBidi" w:cstheme="majorBidi"/>
                <w:szCs w:val="22"/>
                <w:lang w:eastAsia="zh-TW"/>
              </w:rPr>
              <w:t>Bai Salam is typically used to provide short-term financing of agricultural products.</w:t>
            </w:r>
          </w:p>
        </w:tc>
        <w:tc>
          <w:tcPr>
            <w:tcW w:w="3420" w:type="dxa"/>
            <w:tcBorders>
              <w:top w:val="single" w:sz="4" w:space="0" w:color="auto"/>
              <w:left w:val="single" w:sz="4" w:space="0" w:color="auto"/>
              <w:bottom w:val="single" w:sz="4" w:space="0" w:color="auto"/>
              <w:right w:val="single" w:sz="4" w:space="0" w:color="auto"/>
            </w:tcBorders>
          </w:tcPr>
          <w:p w:rsidR="00616250" w:rsidRPr="00A60452" w:rsidRDefault="00616250" w:rsidP="000E6EA7">
            <w:pPr>
              <w:rPr>
                <w:rFonts w:asciiTheme="majorBidi" w:hAnsiTheme="majorBidi" w:cstheme="majorBidi"/>
                <w:szCs w:val="22"/>
                <w:lang w:eastAsia="zh-TW"/>
              </w:rPr>
            </w:pPr>
            <w:r w:rsidRPr="00A60452">
              <w:rPr>
                <w:rFonts w:asciiTheme="majorBidi" w:hAnsiTheme="majorBidi" w:cstheme="majorBidi"/>
                <w:szCs w:val="22"/>
                <w:lang w:eastAsia="zh-TW"/>
              </w:rPr>
              <w:lastRenderedPageBreak/>
              <w:t>Loan</w:t>
            </w:r>
            <w:r w:rsidR="00083D29">
              <w:rPr>
                <w:rFonts w:asciiTheme="majorBidi" w:hAnsiTheme="majorBidi" w:cstheme="majorBidi"/>
                <w:szCs w:val="22"/>
                <w:lang w:eastAsia="zh-TW"/>
              </w:rPr>
              <w:t>s</w:t>
            </w:r>
            <w:r w:rsidRPr="00A60452">
              <w:rPr>
                <w:rFonts w:asciiTheme="majorBidi" w:hAnsiTheme="majorBidi" w:cstheme="majorBidi"/>
                <w:szCs w:val="22"/>
                <w:lang w:eastAsia="zh-TW"/>
              </w:rPr>
              <w:t xml:space="preserve"> (F4)</w:t>
            </w:r>
          </w:p>
        </w:tc>
        <w:tc>
          <w:tcPr>
            <w:tcW w:w="2070" w:type="dxa"/>
            <w:tcBorders>
              <w:top w:val="single" w:sz="4" w:space="0" w:color="auto"/>
              <w:left w:val="single" w:sz="4" w:space="0" w:color="auto"/>
              <w:bottom w:val="single" w:sz="4" w:space="0" w:color="auto"/>
              <w:right w:val="single" w:sz="4" w:space="0" w:color="auto"/>
            </w:tcBorders>
          </w:tcPr>
          <w:p w:rsidR="00616250" w:rsidRPr="00A60452" w:rsidRDefault="00616250" w:rsidP="00246C61">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Profit from a higher price</w:t>
            </w:r>
            <w:r w:rsidR="00586BF8">
              <w:rPr>
                <w:rFonts w:asciiTheme="majorBidi" w:hAnsiTheme="majorBidi" w:cstheme="majorBidi"/>
                <w:szCs w:val="22"/>
              </w:rPr>
              <w:t xml:space="preserve"> for the goods</w:t>
            </w:r>
          </w:p>
        </w:tc>
        <w:tc>
          <w:tcPr>
            <w:tcW w:w="1890" w:type="dxa"/>
            <w:tcBorders>
              <w:top w:val="single" w:sz="4" w:space="0" w:color="auto"/>
              <w:left w:val="single" w:sz="4" w:space="0" w:color="auto"/>
              <w:bottom w:val="single" w:sz="4" w:space="0" w:color="auto"/>
              <w:right w:val="single" w:sz="4" w:space="0" w:color="auto"/>
            </w:tcBorders>
          </w:tcPr>
          <w:p w:rsidR="00616250" w:rsidRPr="00A60452" w:rsidRDefault="00616250" w:rsidP="00623332">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Interest (D41)</w:t>
            </w:r>
          </w:p>
        </w:tc>
      </w:tr>
      <w:tr w:rsidR="00616250" w:rsidRPr="00A60452" w:rsidTr="0023515A">
        <w:tblPrEx>
          <w:tblLook w:val="01E0" w:firstRow="1" w:lastRow="1" w:firstColumn="1" w:lastColumn="1" w:noHBand="0" w:noVBand="0"/>
        </w:tblPrEx>
        <w:tc>
          <w:tcPr>
            <w:tcW w:w="565" w:type="dxa"/>
          </w:tcPr>
          <w:p w:rsidR="00616250" w:rsidRPr="00A60452" w:rsidRDefault="00616250" w:rsidP="000E6EA7">
            <w:pPr>
              <w:jc w:val="center"/>
              <w:rPr>
                <w:rFonts w:asciiTheme="majorBidi" w:hAnsiTheme="majorBidi" w:cstheme="majorBidi"/>
                <w:bCs/>
                <w:szCs w:val="22"/>
              </w:rPr>
            </w:pPr>
            <w:r w:rsidRPr="00A60452">
              <w:rPr>
                <w:rFonts w:asciiTheme="majorBidi" w:hAnsiTheme="majorBidi" w:cstheme="majorBidi"/>
                <w:bCs/>
                <w:szCs w:val="22"/>
              </w:rPr>
              <w:t>5</w:t>
            </w:r>
          </w:p>
        </w:tc>
        <w:tc>
          <w:tcPr>
            <w:tcW w:w="1398" w:type="dxa"/>
          </w:tcPr>
          <w:p w:rsidR="00616250" w:rsidRPr="00A60452" w:rsidRDefault="00616250" w:rsidP="000E6EA7">
            <w:pPr>
              <w:jc w:val="left"/>
              <w:rPr>
                <w:rFonts w:asciiTheme="majorBidi" w:hAnsiTheme="majorBidi" w:cstheme="majorBidi"/>
                <w:bCs/>
                <w:szCs w:val="22"/>
              </w:rPr>
            </w:pPr>
            <w:r w:rsidRPr="00A60452">
              <w:rPr>
                <w:rFonts w:asciiTheme="majorBidi" w:hAnsiTheme="majorBidi" w:cstheme="majorBidi"/>
                <w:szCs w:val="22"/>
                <w:lang w:eastAsia="zh-CN"/>
              </w:rPr>
              <w:t xml:space="preserve"> Isti</w:t>
            </w:r>
            <w:r w:rsidR="00C90D4B">
              <w:rPr>
                <w:rFonts w:asciiTheme="majorBidi" w:hAnsiTheme="majorBidi" w:cstheme="majorBidi"/>
                <w:szCs w:val="22"/>
                <w:lang w:eastAsia="zh-CN"/>
              </w:rPr>
              <w:t>s</w:t>
            </w:r>
            <w:r w:rsidRPr="00A60452">
              <w:rPr>
                <w:rFonts w:asciiTheme="majorBidi" w:hAnsiTheme="majorBidi" w:cstheme="majorBidi"/>
                <w:szCs w:val="22"/>
                <w:lang w:eastAsia="zh-CN"/>
              </w:rPr>
              <w:t>na’a</w:t>
            </w:r>
          </w:p>
        </w:tc>
        <w:tc>
          <w:tcPr>
            <w:tcW w:w="3797" w:type="dxa"/>
          </w:tcPr>
          <w:p w:rsidR="00616250" w:rsidRPr="00A60452" w:rsidRDefault="00616250" w:rsidP="000E6EA7">
            <w:pPr>
              <w:autoSpaceDE w:val="0"/>
              <w:autoSpaceDN w:val="0"/>
              <w:adjustRightInd w:val="0"/>
              <w:spacing w:line="240" w:lineRule="atLeast"/>
              <w:jc w:val="left"/>
              <w:rPr>
                <w:rFonts w:asciiTheme="majorBidi" w:hAnsiTheme="majorBidi" w:cstheme="majorBidi"/>
                <w:noProof/>
                <w:szCs w:val="22"/>
                <w:lang w:eastAsia="zh-TW"/>
              </w:rPr>
            </w:pPr>
            <w:r w:rsidRPr="00A60452">
              <w:rPr>
                <w:rFonts w:asciiTheme="majorBidi" w:hAnsiTheme="majorBidi" w:cstheme="majorBidi"/>
                <w:szCs w:val="22"/>
                <w:lang w:eastAsia="zh-CN"/>
              </w:rPr>
              <w:t>A partnership between an IFI and an enterprise, usually manufacturer or construction company, in which the IFI places an order and provides financing to the enterprise to manufacture/construct and or supply certain goods or buildings.</w:t>
            </w:r>
          </w:p>
        </w:tc>
        <w:tc>
          <w:tcPr>
            <w:tcW w:w="3420" w:type="dxa"/>
          </w:tcPr>
          <w:p w:rsidR="00616250" w:rsidRPr="00A60452" w:rsidRDefault="00616250" w:rsidP="000E6EA7">
            <w:pPr>
              <w:autoSpaceDE w:val="0"/>
              <w:autoSpaceDN w:val="0"/>
              <w:adjustRightInd w:val="0"/>
              <w:spacing w:line="240" w:lineRule="atLeast"/>
              <w:jc w:val="left"/>
              <w:rPr>
                <w:rFonts w:asciiTheme="majorBidi" w:hAnsiTheme="majorBidi" w:cstheme="majorBidi"/>
                <w:iCs/>
                <w:szCs w:val="22"/>
                <w:lang w:eastAsia="zh-CN"/>
              </w:rPr>
            </w:pPr>
            <w:r w:rsidRPr="00A60452">
              <w:rPr>
                <w:rFonts w:asciiTheme="majorBidi" w:hAnsiTheme="majorBidi" w:cstheme="majorBidi"/>
                <w:iCs/>
                <w:szCs w:val="22"/>
                <w:lang w:eastAsia="zh-CN"/>
              </w:rPr>
              <w:t>Loan</w:t>
            </w:r>
            <w:r w:rsidR="00083D29">
              <w:rPr>
                <w:rFonts w:asciiTheme="majorBidi" w:hAnsiTheme="majorBidi" w:cstheme="majorBidi"/>
                <w:iCs/>
                <w:szCs w:val="22"/>
                <w:lang w:eastAsia="zh-CN"/>
              </w:rPr>
              <w:t>s</w:t>
            </w:r>
            <w:r w:rsidRPr="00A60452">
              <w:rPr>
                <w:rFonts w:asciiTheme="majorBidi" w:hAnsiTheme="majorBidi" w:cstheme="majorBidi"/>
                <w:iCs/>
                <w:szCs w:val="22"/>
                <w:lang w:eastAsia="zh-CN"/>
              </w:rPr>
              <w:t xml:space="preserve"> (F4) if the produced goods/building are not for IFI’s own use </w:t>
            </w:r>
          </w:p>
          <w:p w:rsidR="00616250" w:rsidRPr="00A60452" w:rsidRDefault="00616250" w:rsidP="000E6EA7">
            <w:pPr>
              <w:autoSpaceDE w:val="0"/>
              <w:autoSpaceDN w:val="0"/>
              <w:adjustRightInd w:val="0"/>
              <w:spacing w:line="240" w:lineRule="atLeast"/>
              <w:jc w:val="left"/>
              <w:rPr>
                <w:rFonts w:asciiTheme="majorBidi" w:hAnsiTheme="majorBidi" w:cstheme="majorBidi"/>
                <w:iCs/>
                <w:szCs w:val="22"/>
                <w:lang w:eastAsia="zh-CN"/>
              </w:rPr>
            </w:pPr>
          </w:p>
          <w:p w:rsidR="00616250" w:rsidRPr="00A60452" w:rsidRDefault="00616250" w:rsidP="000E6EA7">
            <w:pPr>
              <w:autoSpaceDE w:val="0"/>
              <w:autoSpaceDN w:val="0"/>
              <w:adjustRightInd w:val="0"/>
              <w:spacing w:line="240" w:lineRule="atLeast"/>
              <w:jc w:val="left"/>
              <w:rPr>
                <w:rFonts w:asciiTheme="majorBidi" w:hAnsiTheme="majorBidi" w:cstheme="majorBidi"/>
                <w:noProof/>
                <w:szCs w:val="22"/>
                <w:lang w:eastAsia="zh-TW"/>
              </w:rPr>
            </w:pPr>
            <w:r w:rsidRPr="00A60452">
              <w:rPr>
                <w:rFonts w:asciiTheme="majorBidi" w:hAnsiTheme="majorBidi" w:cstheme="majorBidi"/>
                <w:iCs/>
                <w:szCs w:val="22"/>
                <w:lang w:eastAsia="zh-CN"/>
              </w:rPr>
              <w:t xml:space="preserve">Other </w:t>
            </w:r>
            <w:r w:rsidR="00021720">
              <w:rPr>
                <w:rFonts w:asciiTheme="majorBidi" w:hAnsiTheme="majorBidi" w:cstheme="majorBidi"/>
                <w:iCs/>
                <w:szCs w:val="22"/>
                <w:lang w:eastAsia="zh-CN"/>
              </w:rPr>
              <w:t>a</w:t>
            </w:r>
            <w:r w:rsidR="001D00F2" w:rsidRPr="00A60452">
              <w:rPr>
                <w:rFonts w:asciiTheme="majorBidi" w:hAnsiTheme="majorBidi" w:cstheme="majorBidi"/>
                <w:iCs/>
                <w:szCs w:val="22"/>
                <w:lang w:eastAsia="zh-CN"/>
              </w:rPr>
              <w:t xml:space="preserve">ccount </w:t>
            </w:r>
            <w:r w:rsidR="00021720">
              <w:rPr>
                <w:rFonts w:asciiTheme="majorBidi" w:hAnsiTheme="majorBidi" w:cstheme="majorBidi"/>
                <w:iCs/>
                <w:szCs w:val="22"/>
                <w:lang w:eastAsia="zh-CN"/>
              </w:rPr>
              <w:t>r</w:t>
            </w:r>
            <w:r w:rsidR="001D00F2" w:rsidRPr="00A60452">
              <w:rPr>
                <w:rFonts w:asciiTheme="majorBidi" w:hAnsiTheme="majorBidi" w:cstheme="majorBidi"/>
                <w:iCs/>
                <w:szCs w:val="22"/>
                <w:lang w:eastAsia="zh-CN"/>
              </w:rPr>
              <w:t>eceivable</w:t>
            </w:r>
            <w:r w:rsidR="001D00F2">
              <w:rPr>
                <w:rFonts w:asciiTheme="majorBidi" w:hAnsiTheme="majorBidi" w:cstheme="majorBidi"/>
                <w:iCs/>
                <w:szCs w:val="22"/>
                <w:lang w:eastAsia="zh-CN"/>
              </w:rPr>
              <w:t xml:space="preserve"> </w:t>
            </w:r>
            <w:r w:rsidRPr="00A60452">
              <w:rPr>
                <w:rFonts w:asciiTheme="majorBidi" w:hAnsiTheme="majorBidi" w:cstheme="majorBidi"/>
                <w:iCs/>
                <w:szCs w:val="22"/>
                <w:lang w:eastAsia="zh-CN"/>
              </w:rPr>
              <w:t>(F8) if goods or building are for IFI’s own use</w:t>
            </w:r>
          </w:p>
        </w:tc>
        <w:tc>
          <w:tcPr>
            <w:tcW w:w="2070" w:type="dxa"/>
          </w:tcPr>
          <w:p w:rsidR="00616250" w:rsidRPr="00A60452" w:rsidRDefault="00616250" w:rsidP="003957B6">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Profit from a higher price</w:t>
            </w:r>
            <w:r w:rsidR="00586BF8">
              <w:rPr>
                <w:rFonts w:asciiTheme="majorBidi" w:hAnsiTheme="majorBidi" w:cstheme="majorBidi"/>
                <w:szCs w:val="22"/>
              </w:rPr>
              <w:t xml:space="preserve"> for the goods</w:t>
            </w:r>
          </w:p>
        </w:tc>
        <w:tc>
          <w:tcPr>
            <w:tcW w:w="1890" w:type="dxa"/>
          </w:tcPr>
          <w:p w:rsidR="00616250" w:rsidRPr="00A60452" w:rsidRDefault="00616250" w:rsidP="00623332">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Interest (D41)</w:t>
            </w:r>
          </w:p>
        </w:tc>
      </w:tr>
      <w:tr w:rsidR="00616250" w:rsidRPr="00A60452" w:rsidTr="00CD4110">
        <w:tblPrEx>
          <w:tblLook w:val="01E0" w:firstRow="1" w:lastRow="1" w:firstColumn="1" w:lastColumn="1" w:noHBand="0" w:noVBand="0"/>
        </w:tblPrEx>
        <w:trPr>
          <w:trHeight w:val="1673"/>
        </w:trPr>
        <w:tc>
          <w:tcPr>
            <w:tcW w:w="565" w:type="dxa"/>
            <w:tcBorders>
              <w:top w:val="single" w:sz="4" w:space="0" w:color="auto"/>
              <w:left w:val="single" w:sz="4" w:space="0" w:color="auto"/>
              <w:bottom w:val="single" w:sz="4" w:space="0" w:color="auto"/>
              <w:right w:val="single" w:sz="4" w:space="0" w:color="auto"/>
            </w:tcBorders>
          </w:tcPr>
          <w:p w:rsidR="00616250" w:rsidRPr="00A60452" w:rsidRDefault="00616250" w:rsidP="000E6EA7">
            <w:pPr>
              <w:jc w:val="center"/>
              <w:rPr>
                <w:rFonts w:asciiTheme="majorBidi" w:hAnsiTheme="majorBidi" w:cstheme="majorBidi"/>
                <w:szCs w:val="22"/>
                <w:lang w:eastAsia="zh-CN"/>
              </w:rPr>
            </w:pPr>
            <w:r w:rsidRPr="00A60452">
              <w:rPr>
                <w:rFonts w:asciiTheme="majorBidi" w:hAnsiTheme="majorBidi" w:cstheme="majorBidi"/>
                <w:szCs w:val="22"/>
                <w:lang w:eastAsia="zh-CN"/>
              </w:rPr>
              <w:t>6</w:t>
            </w:r>
          </w:p>
        </w:tc>
        <w:tc>
          <w:tcPr>
            <w:tcW w:w="1398" w:type="dxa"/>
            <w:tcBorders>
              <w:top w:val="single" w:sz="4" w:space="0" w:color="auto"/>
              <w:left w:val="single" w:sz="4" w:space="0" w:color="auto"/>
              <w:bottom w:val="single" w:sz="4" w:space="0" w:color="auto"/>
              <w:right w:val="single" w:sz="4" w:space="0" w:color="auto"/>
            </w:tcBorders>
          </w:tcPr>
          <w:p w:rsidR="00616250" w:rsidRPr="00A60452" w:rsidRDefault="00616250" w:rsidP="000E6EA7">
            <w:pPr>
              <w:jc w:val="left"/>
              <w:rPr>
                <w:rFonts w:asciiTheme="majorBidi" w:hAnsiTheme="majorBidi" w:cstheme="majorBidi"/>
                <w:bCs/>
                <w:szCs w:val="22"/>
              </w:rPr>
            </w:pPr>
            <w:r w:rsidRPr="00A60452">
              <w:rPr>
                <w:rFonts w:asciiTheme="majorBidi" w:hAnsiTheme="majorBidi" w:cstheme="majorBidi"/>
                <w:szCs w:val="22"/>
                <w:lang w:eastAsia="zh-CN"/>
              </w:rPr>
              <w:t>Ijarah</w:t>
            </w:r>
          </w:p>
        </w:tc>
        <w:tc>
          <w:tcPr>
            <w:tcW w:w="3797" w:type="dxa"/>
            <w:tcBorders>
              <w:top w:val="single" w:sz="4" w:space="0" w:color="auto"/>
              <w:left w:val="single" w:sz="4" w:space="0" w:color="auto"/>
              <w:bottom w:val="single" w:sz="4" w:space="0" w:color="auto"/>
              <w:right w:val="single" w:sz="4" w:space="0" w:color="auto"/>
            </w:tcBorders>
          </w:tcPr>
          <w:p w:rsidR="00616250" w:rsidRDefault="00616250" w:rsidP="000E6EA7">
            <w:pPr>
              <w:autoSpaceDE w:val="0"/>
              <w:autoSpaceDN w:val="0"/>
              <w:adjustRightInd w:val="0"/>
              <w:spacing w:line="240" w:lineRule="atLeast"/>
              <w:jc w:val="left"/>
              <w:rPr>
                <w:rFonts w:asciiTheme="majorBidi" w:hAnsiTheme="majorBidi" w:cstheme="majorBidi"/>
                <w:szCs w:val="22"/>
                <w:lang w:eastAsia="zh-CN"/>
              </w:rPr>
            </w:pPr>
            <w:r w:rsidRPr="00A60452">
              <w:rPr>
                <w:rFonts w:asciiTheme="majorBidi" w:hAnsiTheme="majorBidi" w:cstheme="majorBidi"/>
                <w:szCs w:val="22"/>
                <w:lang w:eastAsia="zh-CN"/>
              </w:rPr>
              <w:t>A lease-purchase contract in which an IFI purchases capital equipment or property and leases it to an enterprise. The IFI may either rent the equipment or receive a share of the profits earned through its use.</w:t>
            </w:r>
          </w:p>
          <w:p w:rsidR="00083D29" w:rsidRDefault="00083D29" w:rsidP="000E6EA7">
            <w:pPr>
              <w:autoSpaceDE w:val="0"/>
              <w:autoSpaceDN w:val="0"/>
              <w:adjustRightInd w:val="0"/>
              <w:spacing w:line="240" w:lineRule="atLeast"/>
              <w:jc w:val="left"/>
              <w:rPr>
                <w:rFonts w:asciiTheme="majorBidi" w:hAnsiTheme="majorBidi" w:cstheme="majorBidi"/>
                <w:szCs w:val="22"/>
                <w:lang w:eastAsia="zh-CN"/>
              </w:rPr>
            </w:pPr>
            <w:r>
              <w:rPr>
                <w:rFonts w:asciiTheme="majorBidi" w:hAnsiTheme="majorBidi" w:cstheme="majorBidi"/>
                <w:szCs w:val="22"/>
                <w:lang w:eastAsia="zh-CN"/>
              </w:rPr>
              <w:t>Under Operating Ijarah the title for the underlying asset is not transferred to the client (lessee).</w:t>
            </w:r>
          </w:p>
          <w:p w:rsidR="00083D29" w:rsidRPr="00A60452" w:rsidRDefault="00083D29" w:rsidP="000E6EA7">
            <w:pPr>
              <w:autoSpaceDE w:val="0"/>
              <w:autoSpaceDN w:val="0"/>
              <w:adjustRightInd w:val="0"/>
              <w:spacing w:line="240" w:lineRule="atLeast"/>
              <w:jc w:val="left"/>
              <w:rPr>
                <w:rFonts w:asciiTheme="majorBidi" w:hAnsiTheme="majorBidi" w:cstheme="majorBidi"/>
                <w:szCs w:val="22"/>
                <w:lang w:eastAsia="zh-TW"/>
              </w:rPr>
            </w:pPr>
            <w:r>
              <w:rPr>
                <w:rFonts w:asciiTheme="majorBidi" w:hAnsiTheme="majorBidi" w:cstheme="majorBidi"/>
                <w:szCs w:val="22"/>
                <w:lang w:eastAsia="zh-CN"/>
              </w:rPr>
              <w:t>A financing Ijarah involves two contracts (i.e., a lease over the lease period and transfer of ownership at the end of the contract).</w:t>
            </w:r>
          </w:p>
        </w:tc>
        <w:tc>
          <w:tcPr>
            <w:tcW w:w="3420" w:type="dxa"/>
            <w:tcBorders>
              <w:top w:val="single" w:sz="4" w:space="0" w:color="auto"/>
              <w:left w:val="single" w:sz="4" w:space="0" w:color="auto"/>
              <w:bottom w:val="single" w:sz="4" w:space="0" w:color="auto"/>
              <w:right w:val="single" w:sz="4" w:space="0" w:color="auto"/>
            </w:tcBorders>
          </w:tcPr>
          <w:p w:rsidR="00616250" w:rsidRPr="00A60452" w:rsidRDefault="00616250" w:rsidP="00F246B1">
            <w:pPr>
              <w:autoSpaceDE w:val="0"/>
              <w:autoSpaceDN w:val="0"/>
              <w:adjustRightInd w:val="0"/>
              <w:spacing w:line="240" w:lineRule="atLeast"/>
              <w:jc w:val="left"/>
              <w:rPr>
                <w:rFonts w:asciiTheme="majorBidi" w:hAnsiTheme="majorBidi" w:cstheme="majorBidi"/>
                <w:szCs w:val="22"/>
                <w:lang w:eastAsia="zh-CN"/>
              </w:rPr>
            </w:pPr>
            <w:r w:rsidRPr="00A60452">
              <w:rPr>
                <w:rFonts w:asciiTheme="majorBidi" w:hAnsiTheme="majorBidi" w:cstheme="majorBidi"/>
                <w:iCs/>
                <w:szCs w:val="22"/>
                <w:lang w:eastAsia="zh-CN"/>
              </w:rPr>
              <w:t xml:space="preserve">Operating </w:t>
            </w:r>
            <w:r w:rsidR="00083D29">
              <w:rPr>
                <w:rFonts w:asciiTheme="majorBidi" w:hAnsiTheme="majorBidi" w:cstheme="majorBidi"/>
                <w:iCs/>
                <w:szCs w:val="22"/>
                <w:lang w:eastAsia="zh-CN"/>
              </w:rPr>
              <w:t>Ijarah</w:t>
            </w:r>
            <w:r w:rsidR="00083D29" w:rsidRPr="00A60452">
              <w:rPr>
                <w:rFonts w:asciiTheme="majorBidi" w:hAnsiTheme="majorBidi" w:cstheme="majorBidi"/>
                <w:iCs/>
                <w:szCs w:val="22"/>
                <w:lang w:eastAsia="zh-CN"/>
              </w:rPr>
              <w:t xml:space="preserve"> </w:t>
            </w:r>
            <w:r w:rsidR="001D00F2">
              <w:rPr>
                <w:rFonts w:asciiTheme="majorBidi" w:hAnsiTheme="majorBidi" w:cstheme="majorBidi"/>
                <w:iCs/>
                <w:szCs w:val="22"/>
                <w:lang w:eastAsia="zh-CN"/>
              </w:rPr>
              <w:t>– operating lease</w:t>
            </w:r>
          </w:p>
          <w:p w:rsidR="00616250" w:rsidRPr="00A60452" w:rsidRDefault="00616250" w:rsidP="00F246B1">
            <w:pPr>
              <w:autoSpaceDE w:val="0"/>
              <w:autoSpaceDN w:val="0"/>
              <w:adjustRightInd w:val="0"/>
              <w:spacing w:line="240" w:lineRule="atLeast"/>
              <w:jc w:val="left"/>
              <w:rPr>
                <w:rFonts w:asciiTheme="majorBidi" w:hAnsiTheme="majorBidi" w:cstheme="majorBidi"/>
                <w:szCs w:val="22"/>
                <w:lang w:eastAsia="zh-CN"/>
              </w:rPr>
            </w:pPr>
          </w:p>
          <w:p w:rsidR="00616250" w:rsidRPr="00A60452" w:rsidRDefault="00616250" w:rsidP="00F246B1">
            <w:pPr>
              <w:autoSpaceDE w:val="0"/>
              <w:autoSpaceDN w:val="0"/>
              <w:adjustRightInd w:val="0"/>
              <w:spacing w:line="240" w:lineRule="atLeast"/>
              <w:jc w:val="left"/>
              <w:rPr>
                <w:rFonts w:asciiTheme="majorBidi" w:hAnsiTheme="majorBidi" w:cstheme="majorBidi"/>
                <w:szCs w:val="22"/>
                <w:lang w:eastAsia="zh-CN"/>
              </w:rPr>
            </w:pPr>
            <w:r w:rsidRPr="00A60452">
              <w:rPr>
                <w:rFonts w:asciiTheme="majorBidi" w:hAnsiTheme="majorBidi" w:cstheme="majorBidi"/>
                <w:iCs/>
                <w:szCs w:val="22"/>
                <w:lang w:eastAsia="zh-CN"/>
              </w:rPr>
              <w:t xml:space="preserve">Financing </w:t>
            </w:r>
            <w:r w:rsidR="00083D29">
              <w:rPr>
                <w:rFonts w:asciiTheme="majorBidi" w:hAnsiTheme="majorBidi" w:cstheme="majorBidi"/>
                <w:iCs/>
                <w:szCs w:val="22"/>
                <w:lang w:eastAsia="zh-CN"/>
              </w:rPr>
              <w:t>Ijarah</w:t>
            </w:r>
            <w:r w:rsidR="00083D29" w:rsidRPr="00A60452">
              <w:rPr>
                <w:rFonts w:asciiTheme="majorBidi" w:hAnsiTheme="majorBidi" w:cstheme="majorBidi"/>
                <w:iCs/>
                <w:szCs w:val="22"/>
                <w:lang w:eastAsia="zh-CN"/>
              </w:rPr>
              <w:t xml:space="preserve"> </w:t>
            </w:r>
            <w:r w:rsidRPr="00A60452">
              <w:rPr>
                <w:rFonts w:asciiTheme="majorBidi" w:hAnsiTheme="majorBidi" w:cstheme="majorBidi"/>
                <w:iCs/>
                <w:szCs w:val="22"/>
                <w:lang w:eastAsia="zh-CN"/>
              </w:rPr>
              <w:t xml:space="preserve">– </w:t>
            </w:r>
            <w:r w:rsidR="001B74FE">
              <w:rPr>
                <w:rFonts w:asciiTheme="majorBidi" w:hAnsiTheme="majorBidi" w:cstheme="majorBidi"/>
                <w:iCs/>
                <w:szCs w:val="22"/>
                <w:lang w:eastAsia="zh-CN"/>
              </w:rPr>
              <w:t>L</w:t>
            </w:r>
            <w:r w:rsidRPr="00A60452">
              <w:rPr>
                <w:rFonts w:asciiTheme="majorBidi" w:hAnsiTheme="majorBidi" w:cstheme="majorBidi"/>
                <w:iCs/>
                <w:szCs w:val="22"/>
                <w:lang w:eastAsia="zh-CN"/>
              </w:rPr>
              <w:t>oan</w:t>
            </w:r>
            <w:r w:rsidR="001B74FE">
              <w:rPr>
                <w:rFonts w:asciiTheme="majorBidi" w:hAnsiTheme="majorBidi" w:cstheme="majorBidi"/>
                <w:iCs/>
                <w:szCs w:val="22"/>
                <w:lang w:eastAsia="zh-CN"/>
              </w:rPr>
              <w:t>s</w:t>
            </w:r>
            <w:r w:rsidRPr="00A60452">
              <w:rPr>
                <w:rFonts w:asciiTheme="majorBidi" w:hAnsiTheme="majorBidi" w:cstheme="majorBidi"/>
                <w:iCs/>
                <w:szCs w:val="22"/>
                <w:lang w:eastAsia="zh-CN"/>
              </w:rPr>
              <w:t xml:space="preserve"> (F4)</w:t>
            </w:r>
          </w:p>
        </w:tc>
        <w:tc>
          <w:tcPr>
            <w:tcW w:w="2070" w:type="dxa"/>
            <w:tcBorders>
              <w:top w:val="single" w:sz="4" w:space="0" w:color="auto"/>
              <w:left w:val="single" w:sz="4" w:space="0" w:color="auto"/>
              <w:bottom w:val="single" w:sz="4" w:space="0" w:color="auto"/>
              <w:right w:val="single" w:sz="4" w:space="0" w:color="auto"/>
            </w:tcBorders>
          </w:tcPr>
          <w:p w:rsidR="00616250" w:rsidRPr="00A60452" w:rsidRDefault="00616250" w:rsidP="000E6EA7">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Benefit from using the assets in productive activity</w:t>
            </w:r>
          </w:p>
          <w:p w:rsidR="00616250" w:rsidRPr="00A60452" w:rsidRDefault="00616250" w:rsidP="000E6EA7">
            <w:pPr>
              <w:autoSpaceDE w:val="0"/>
              <w:autoSpaceDN w:val="0"/>
              <w:adjustRightInd w:val="0"/>
              <w:spacing w:line="240" w:lineRule="atLeast"/>
              <w:jc w:val="left"/>
              <w:rPr>
                <w:rFonts w:asciiTheme="majorBidi" w:hAnsiTheme="majorBidi" w:cstheme="majorBidi"/>
                <w:szCs w:val="22"/>
              </w:rPr>
            </w:pPr>
          </w:p>
          <w:p w:rsidR="00616250" w:rsidRPr="00A60452" w:rsidRDefault="008C30D1" w:rsidP="00A85018">
            <w:pPr>
              <w:autoSpaceDE w:val="0"/>
              <w:autoSpaceDN w:val="0"/>
              <w:adjustRightInd w:val="0"/>
              <w:spacing w:line="240" w:lineRule="atLeast"/>
              <w:jc w:val="left"/>
              <w:rPr>
                <w:rFonts w:asciiTheme="majorBidi" w:hAnsiTheme="majorBidi" w:cstheme="majorBidi"/>
                <w:szCs w:val="22"/>
              </w:rPr>
            </w:pPr>
            <w:r>
              <w:rPr>
                <w:rFonts w:asciiTheme="majorBidi" w:hAnsiTheme="majorBidi" w:cstheme="majorBidi"/>
                <w:szCs w:val="22"/>
              </w:rPr>
              <w:t>Share of</w:t>
            </w:r>
            <w:r w:rsidR="00616250" w:rsidRPr="00A60452">
              <w:rPr>
                <w:rFonts w:asciiTheme="majorBidi" w:hAnsiTheme="majorBidi" w:cstheme="majorBidi"/>
                <w:szCs w:val="22"/>
              </w:rPr>
              <w:t xml:space="preserve"> profi</w:t>
            </w:r>
            <w:r w:rsidR="00616250">
              <w:rPr>
                <w:rFonts w:asciiTheme="majorBidi" w:hAnsiTheme="majorBidi" w:cstheme="majorBidi"/>
                <w:szCs w:val="22"/>
              </w:rPr>
              <w:t>t</w:t>
            </w:r>
            <w:r w:rsidR="00616250" w:rsidRPr="00A60452">
              <w:rPr>
                <w:rFonts w:asciiTheme="majorBidi" w:hAnsiTheme="majorBidi" w:cstheme="majorBidi"/>
                <w:szCs w:val="22"/>
              </w:rPr>
              <w:t xml:space="preserve"> earned through using assets</w:t>
            </w:r>
          </w:p>
          <w:p w:rsidR="00616250" w:rsidRPr="00A60452" w:rsidRDefault="00616250" w:rsidP="000E6EA7">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 xml:space="preserve"> </w:t>
            </w:r>
          </w:p>
        </w:tc>
        <w:tc>
          <w:tcPr>
            <w:tcW w:w="1890" w:type="dxa"/>
            <w:tcBorders>
              <w:top w:val="single" w:sz="4" w:space="0" w:color="auto"/>
              <w:left w:val="single" w:sz="4" w:space="0" w:color="auto"/>
              <w:bottom w:val="single" w:sz="4" w:space="0" w:color="auto"/>
              <w:right w:val="single" w:sz="4" w:space="0" w:color="auto"/>
            </w:tcBorders>
          </w:tcPr>
          <w:p w:rsidR="00616250" w:rsidRDefault="00616250" w:rsidP="00097947">
            <w:pPr>
              <w:autoSpaceDE w:val="0"/>
              <w:autoSpaceDN w:val="0"/>
              <w:adjustRightInd w:val="0"/>
              <w:spacing w:line="240" w:lineRule="atLeast"/>
              <w:jc w:val="left"/>
              <w:rPr>
                <w:rFonts w:asciiTheme="majorBidi" w:hAnsiTheme="majorBidi" w:cstheme="majorBidi"/>
                <w:szCs w:val="22"/>
              </w:rPr>
            </w:pPr>
          </w:p>
          <w:p w:rsidR="00616250" w:rsidRDefault="00616250" w:rsidP="00097947">
            <w:pPr>
              <w:autoSpaceDE w:val="0"/>
              <w:autoSpaceDN w:val="0"/>
              <w:adjustRightInd w:val="0"/>
              <w:spacing w:line="240" w:lineRule="atLeast"/>
              <w:jc w:val="left"/>
              <w:rPr>
                <w:rFonts w:asciiTheme="majorBidi" w:hAnsiTheme="majorBidi" w:cstheme="majorBidi"/>
                <w:szCs w:val="22"/>
              </w:rPr>
            </w:pPr>
          </w:p>
          <w:p w:rsidR="00616250" w:rsidRDefault="00616250" w:rsidP="00097947">
            <w:pPr>
              <w:autoSpaceDE w:val="0"/>
              <w:autoSpaceDN w:val="0"/>
              <w:adjustRightInd w:val="0"/>
              <w:spacing w:line="240" w:lineRule="atLeast"/>
              <w:jc w:val="left"/>
              <w:rPr>
                <w:rFonts w:asciiTheme="majorBidi" w:hAnsiTheme="majorBidi" w:cstheme="majorBidi"/>
                <w:szCs w:val="22"/>
              </w:rPr>
            </w:pPr>
          </w:p>
          <w:p w:rsidR="00616250" w:rsidRPr="00A60452" w:rsidRDefault="00616250" w:rsidP="00097947">
            <w:pPr>
              <w:autoSpaceDE w:val="0"/>
              <w:autoSpaceDN w:val="0"/>
              <w:adjustRightInd w:val="0"/>
              <w:spacing w:line="240" w:lineRule="atLeast"/>
              <w:jc w:val="left"/>
              <w:rPr>
                <w:rFonts w:asciiTheme="majorBidi" w:hAnsiTheme="majorBidi" w:cstheme="majorBidi"/>
                <w:szCs w:val="22"/>
              </w:rPr>
            </w:pPr>
          </w:p>
          <w:p w:rsidR="00616250" w:rsidRPr="00A60452" w:rsidRDefault="00616250" w:rsidP="00623332">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 xml:space="preserve"> Interest (D41)</w:t>
            </w:r>
          </w:p>
        </w:tc>
      </w:tr>
      <w:tr w:rsidR="00616250" w:rsidRPr="00A60452" w:rsidTr="0023515A">
        <w:tblPrEx>
          <w:tblLook w:val="01E0" w:firstRow="1" w:lastRow="1" w:firstColumn="1" w:lastColumn="1" w:noHBand="0" w:noVBand="0"/>
        </w:tblPrEx>
        <w:tc>
          <w:tcPr>
            <w:tcW w:w="565" w:type="dxa"/>
            <w:tcBorders>
              <w:top w:val="single" w:sz="4" w:space="0" w:color="auto"/>
              <w:left w:val="single" w:sz="4" w:space="0" w:color="auto"/>
              <w:bottom w:val="single" w:sz="4" w:space="0" w:color="auto"/>
              <w:right w:val="single" w:sz="4" w:space="0" w:color="auto"/>
            </w:tcBorders>
          </w:tcPr>
          <w:p w:rsidR="00616250" w:rsidRPr="00A60452" w:rsidRDefault="00616250" w:rsidP="000E6EA7">
            <w:pPr>
              <w:jc w:val="center"/>
              <w:rPr>
                <w:rFonts w:asciiTheme="majorBidi" w:hAnsiTheme="majorBidi" w:cstheme="majorBidi"/>
                <w:szCs w:val="22"/>
                <w:lang w:val="en-GB" w:eastAsia="zh-CN"/>
              </w:rPr>
            </w:pPr>
            <w:r w:rsidRPr="00A60452">
              <w:rPr>
                <w:rFonts w:asciiTheme="majorBidi" w:hAnsiTheme="majorBidi" w:cstheme="majorBidi"/>
                <w:szCs w:val="22"/>
                <w:lang w:val="en-GB" w:eastAsia="zh-CN"/>
              </w:rPr>
              <w:t>7</w:t>
            </w:r>
          </w:p>
        </w:tc>
        <w:tc>
          <w:tcPr>
            <w:tcW w:w="1398" w:type="dxa"/>
            <w:tcBorders>
              <w:top w:val="single" w:sz="4" w:space="0" w:color="auto"/>
              <w:left w:val="single" w:sz="4" w:space="0" w:color="auto"/>
              <w:bottom w:val="single" w:sz="4" w:space="0" w:color="auto"/>
              <w:right w:val="single" w:sz="4" w:space="0" w:color="auto"/>
            </w:tcBorders>
          </w:tcPr>
          <w:p w:rsidR="00616250" w:rsidRPr="00A60452" w:rsidRDefault="00616250" w:rsidP="000E6EA7">
            <w:pPr>
              <w:jc w:val="left"/>
              <w:rPr>
                <w:rFonts w:asciiTheme="majorBidi" w:hAnsiTheme="majorBidi" w:cstheme="majorBidi"/>
                <w:bCs/>
                <w:szCs w:val="22"/>
              </w:rPr>
            </w:pPr>
            <w:r w:rsidRPr="00A60452">
              <w:rPr>
                <w:rFonts w:asciiTheme="majorBidi" w:hAnsiTheme="majorBidi" w:cstheme="majorBidi"/>
                <w:szCs w:val="22"/>
                <w:lang w:eastAsia="zh-CN"/>
              </w:rPr>
              <w:t>Musharaka</w:t>
            </w:r>
          </w:p>
        </w:tc>
        <w:tc>
          <w:tcPr>
            <w:tcW w:w="3797" w:type="dxa"/>
            <w:tcBorders>
              <w:top w:val="single" w:sz="4" w:space="0" w:color="auto"/>
              <w:left w:val="single" w:sz="4" w:space="0" w:color="auto"/>
              <w:bottom w:val="single" w:sz="4" w:space="0" w:color="auto"/>
              <w:right w:val="single" w:sz="4" w:space="0" w:color="auto"/>
            </w:tcBorders>
          </w:tcPr>
          <w:p w:rsidR="00616250" w:rsidRPr="00A60452" w:rsidRDefault="00616250" w:rsidP="00E362B6">
            <w:pPr>
              <w:jc w:val="left"/>
              <w:rPr>
                <w:rFonts w:asciiTheme="majorBidi" w:hAnsiTheme="majorBidi" w:cstheme="majorBidi"/>
                <w:szCs w:val="22"/>
                <w:lang w:eastAsia="zh-TW"/>
              </w:rPr>
            </w:pPr>
            <w:r w:rsidRPr="00A60452">
              <w:rPr>
                <w:rFonts w:asciiTheme="majorBidi" w:hAnsiTheme="majorBidi" w:cstheme="majorBidi"/>
                <w:szCs w:val="22"/>
                <w:lang w:eastAsia="zh-CN"/>
              </w:rPr>
              <w:t>A partnership between an IFI and an enterprise in which both parties contribute to the capital (</w:t>
            </w:r>
            <w:r w:rsidRPr="00A60452">
              <w:rPr>
                <w:rFonts w:asciiTheme="majorBidi" w:hAnsiTheme="majorBidi" w:cstheme="majorBidi"/>
                <w:i/>
                <w:iCs/>
                <w:szCs w:val="22"/>
                <w:lang w:eastAsia="zh-CN"/>
              </w:rPr>
              <w:t>rab al maal</w:t>
            </w:r>
            <w:r w:rsidRPr="00A60452">
              <w:rPr>
                <w:rFonts w:asciiTheme="majorBidi" w:hAnsiTheme="majorBidi" w:cstheme="majorBidi"/>
                <w:szCs w:val="22"/>
                <w:lang w:eastAsia="zh-CN"/>
              </w:rPr>
              <w:t>) of partnership</w:t>
            </w:r>
            <w:r w:rsidR="00CD4110">
              <w:rPr>
                <w:rFonts w:asciiTheme="majorBidi" w:hAnsiTheme="majorBidi" w:cstheme="majorBidi"/>
                <w:szCs w:val="22"/>
                <w:lang w:eastAsia="zh-CN"/>
              </w:rPr>
              <w:t>.</w:t>
            </w:r>
          </w:p>
        </w:tc>
        <w:tc>
          <w:tcPr>
            <w:tcW w:w="3420" w:type="dxa"/>
            <w:tcBorders>
              <w:top w:val="single" w:sz="4" w:space="0" w:color="auto"/>
              <w:left w:val="single" w:sz="4" w:space="0" w:color="auto"/>
              <w:bottom w:val="single" w:sz="4" w:space="0" w:color="auto"/>
              <w:right w:val="single" w:sz="4" w:space="0" w:color="auto"/>
            </w:tcBorders>
          </w:tcPr>
          <w:p w:rsidR="00616250" w:rsidRPr="00A60452" w:rsidRDefault="00616250" w:rsidP="000E6EA7">
            <w:pPr>
              <w:rPr>
                <w:rFonts w:asciiTheme="majorBidi" w:hAnsiTheme="majorBidi" w:cstheme="majorBidi"/>
                <w:szCs w:val="22"/>
                <w:lang w:eastAsia="zh-TW"/>
              </w:rPr>
            </w:pPr>
            <w:r w:rsidRPr="00A60452">
              <w:rPr>
                <w:rFonts w:asciiTheme="majorBidi" w:hAnsiTheme="majorBidi" w:cstheme="majorBidi"/>
                <w:szCs w:val="22"/>
                <w:lang w:eastAsia="zh-TW"/>
              </w:rPr>
              <w:t>Loan</w:t>
            </w:r>
            <w:r w:rsidR="00083D29">
              <w:rPr>
                <w:rFonts w:asciiTheme="majorBidi" w:hAnsiTheme="majorBidi" w:cstheme="majorBidi"/>
                <w:szCs w:val="22"/>
                <w:lang w:eastAsia="zh-TW"/>
              </w:rPr>
              <w:t>s</w:t>
            </w:r>
            <w:r w:rsidRPr="00A60452">
              <w:rPr>
                <w:rFonts w:asciiTheme="majorBidi" w:hAnsiTheme="majorBidi" w:cstheme="majorBidi"/>
                <w:szCs w:val="22"/>
                <w:lang w:eastAsia="zh-TW"/>
              </w:rPr>
              <w:t xml:space="preserve"> </w:t>
            </w:r>
            <w:r w:rsidRPr="00A60452">
              <w:rPr>
                <w:rFonts w:asciiTheme="majorBidi" w:hAnsiTheme="majorBidi" w:cstheme="majorBidi"/>
                <w:iCs/>
                <w:szCs w:val="22"/>
                <w:lang w:eastAsia="zh-CN"/>
              </w:rPr>
              <w:t>(F4)</w:t>
            </w:r>
            <w:r w:rsidR="00083D29">
              <w:rPr>
                <w:rFonts w:asciiTheme="majorBidi" w:hAnsiTheme="majorBidi" w:cstheme="majorBidi"/>
                <w:iCs/>
                <w:szCs w:val="22"/>
                <w:lang w:eastAsia="zh-CN"/>
              </w:rPr>
              <w:t xml:space="preserve"> unless the IFI acquires a claim on the residual value of the enterprise, in which case it is classified as </w:t>
            </w:r>
            <w:r w:rsidR="001D00F2">
              <w:rPr>
                <w:rFonts w:asciiTheme="majorBidi" w:hAnsiTheme="majorBidi" w:cstheme="majorBidi"/>
                <w:iCs/>
                <w:szCs w:val="22"/>
                <w:lang w:eastAsia="zh-CN"/>
              </w:rPr>
              <w:t>E</w:t>
            </w:r>
            <w:r w:rsidR="00083D29">
              <w:rPr>
                <w:rFonts w:asciiTheme="majorBidi" w:hAnsiTheme="majorBidi" w:cstheme="majorBidi"/>
                <w:iCs/>
                <w:szCs w:val="22"/>
                <w:lang w:eastAsia="zh-CN"/>
              </w:rPr>
              <w:t>quity (F51)</w:t>
            </w:r>
          </w:p>
        </w:tc>
        <w:tc>
          <w:tcPr>
            <w:tcW w:w="2070" w:type="dxa"/>
            <w:tcBorders>
              <w:top w:val="single" w:sz="4" w:space="0" w:color="auto"/>
              <w:left w:val="single" w:sz="4" w:space="0" w:color="auto"/>
              <w:bottom w:val="single" w:sz="4" w:space="0" w:color="auto"/>
              <w:right w:val="single" w:sz="4" w:space="0" w:color="auto"/>
            </w:tcBorders>
          </w:tcPr>
          <w:p w:rsidR="00616250" w:rsidRPr="00A60452" w:rsidRDefault="00616250" w:rsidP="00CE73E0">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 xml:space="preserve">Share of profit </w:t>
            </w:r>
          </w:p>
        </w:tc>
        <w:tc>
          <w:tcPr>
            <w:tcW w:w="1890" w:type="dxa"/>
            <w:tcBorders>
              <w:top w:val="single" w:sz="4" w:space="0" w:color="auto"/>
              <w:left w:val="single" w:sz="4" w:space="0" w:color="auto"/>
              <w:bottom w:val="single" w:sz="4" w:space="0" w:color="auto"/>
              <w:right w:val="single" w:sz="4" w:space="0" w:color="auto"/>
            </w:tcBorders>
          </w:tcPr>
          <w:p w:rsidR="00616250" w:rsidRDefault="00616250" w:rsidP="00623332">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Interest (D41)</w:t>
            </w:r>
            <w:r w:rsidR="00083D29">
              <w:rPr>
                <w:rFonts w:asciiTheme="majorBidi" w:hAnsiTheme="majorBidi" w:cstheme="majorBidi"/>
                <w:szCs w:val="22"/>
              </w:rPr>
              <w:t xml:space="preserve"> if classified as </w:t>
            </w:r>
            <w:r w:rsidR="001D00F2">
              <w:rPr>
                <w:rFonts w:asciiTheme="majorBidi" w:hAnsiTheme="majorBidi" w:cstheme="majorBidi"/>
                <w:szCs w:val="22"/>
              </w:rPr>
              <w:t>l</w:t>
            </w:r>
            <w:r w:rsidR="00083D29">
              <w:rPr>
                <w:rFonts w:asciiTheme="majorBidi" w:hAnsiTheme="majorBidi" w:cstheme="majorBidi"/>
                <w:szCs w:val="22"/>
              </w:rPr>
              <w:t>oans</w:t>
            </w:r>
          </w:p>
          <w:p w:rsidR="00083D29" w:rsidRDefault="00083D29" w:rsidP="00623332">
            <w:pPr>
              <w:autoSpaceDE w:val="0"/>
              <w:autoSpaceDN w:val="0"/>
              <w:adjustRightInd w:val="0"/>
              <w:spacing w:line="240" w:lineRule="atLeast"/>
              <w:jc w:val="left"/>
              <w:rPr>
                <w:rFonts w:asciiTheme="majorBidi" w:hAnsiTheme="majorBidi" w:cstheme="majorBidi"/>
                <w:szCs w:val="22"/>
              </w:rPr>
            </w:pPr>
          </w:p>
          <w:p w:rsidR="00083D29" w:rsidRPr="00A60452" w:rsidRDefault="00083D29" w:rsidP="004134F5">
            <w:pPr>
              <w:autoSpaceDE w:val="0"/>
              <w:autoSpaceDN w:val="0"/>
              <w:adjustRightInd w:val="0"/>
              <w:spacing w:line="240" w:lineRule="atLeast"/>
              <w:jc w:val="left"/>
              <w:rPr>
                <w:rFonts w:asciiTheme="majorBidi" w:hAnsiTheme="majorBidi" w:cstheme="majorBidi"/>
                <w:szCs w:val="22"/>
              </w:rPr>
            </w:pPr>
            <w:r>
              <w:rPr>
                <w:rFonts w:asciiTheme="majorBidi" w:hAnsiTheme="majorBidi" w:cstheme="majorBidi"/>
                <w:szCs w:val="22"/>
              </w:rPr>
              <w:t>Dividend</w:t>
            </w:r>
            <w:r w:rsidR="0085767B">
              <w:rPr>
                <w:rFonts w:asciiTheme="majorBidi" w:hAnsiTheme="majorBidi" w:cstheme="majorBidi"/>
                <w:szCs w:val="22"/>
              </w:rPr>
              <w:t>s</w:t>
            </w:r>
            <w:r>
              <w:rPr>
                <w:rFonts w:asciiTheme="majorBidi" w:hAnsiTheme="majorBidi" w:cstheme="majorBidi"/>
                <w:szCs w:val="22"/>
              </w:rPr>
              <w:t xml:space="preserve"> (D421) if classified as </w:t>
            </w:r>
            <w:r w:rsidR="00051575">
              <w:rPr>
                <w:rFonts w:asciiTheme="majorBidi" w:hAnsiTheme="majorBidi" w:cstheme="majorBidi"/>
                <w:szCs w:val="22"/>
              </w:rPr>
              <w:t>e</w:t>
            </w:r>
            <w:r>
              <w:rPr>
                <w:rFonts w:asciiTheme="majorBidi" w:hAnsiTheme="majorBidi" w:cstheme="majorBidi"/>
                <w:szCs w:val="22"/>
              </w:rPr>
              <w:t>quity</w:t>
            </w:r>
          </w:p>
        </w:tc>
      </w:tr>
      <w:tr w:rsidR="00616250" w:rsidRPr="00A60452" w:rsidTr="0023515A">
        <w:tblPrEx>
          <w:tblLook w:val="01E0" w:firstRow="1" w:lastRow="1" w:firstColumn="1" w:lastColumn="1" w:noHBand="0" w:noVBand="0"/>
        </w:tblPrEx>
        <w:tc>
          <w:tcPr>
            <w:tcW w:w="565" w:type="dxa"/>
            <w:tcBorders>
              <w:top w:val="single" w:sz="4" w:space="0" w:color="auto"/>
              <w:left w:val="single" w:sz="4" w:space="0" w:color="auto"/>
              <w:bottom w:val="single" w:sz="4" w:space="0" w:color="auto"/>
              <w:right w:val="single" w:sz="4" w:space="0" w:color="auto"/>
            </w:tcBorders>
          </w:tcPr>
          <w:p w:rsidR="00616250" w:rsidRPr="00A60452" w:rsidRDefault="00616250" w:rsidP="000E6EA7">
            <w:pPr>
              <w:jc w:val="center"/>
              <w:rPr>
                <w:rFonts w:asciiTheme="majorBidi" w:hAnsiTheme="majorBidi" w:cstheme="majorBidi"/>
                <w:bCs/>
                <w:szCs w:val="22"/>
              </w:rPr>
            </w:pPr>
            <w:r w:rsidRPr="00A60452">
              <w:rPr>
                <w:rFonts w:asciiTheme="majorBidi" w:hAnsiTheme="majorBidi" w:cstheme="majorBidi"/>
                <w:bCs/>
                <w:szCs w:val="22"/>
              </w:rPr>
              <w:lastRenderedPageBreak/>
              <w:t>8</w:t>
            </w:r>
          </w:p>
        </w:tc>
        <w:tc>
          <w:tcPr>
            <w:tcW w:w="1398" w:type="dxa"/>
            <w:tcBorders>
              <w:top w:val="single" w:sz="4" w:space="0" w:color="auto"/>
              <w:left w:val="single" w:sz="4" w:space="0" w:color="auto"/>
              <w:bottom w:val="single" w:sz="4" w:space="0" w:color="auto"/>
              <w:right w:val="single" w:sz="4" w:space="0" w:color="auto"/>
            </w:tcBorders>
          </w:tcPr>
          <w:p w:rsidR="00616250" w:rsidRPr="00A60452" w:rsidRDefault="00616250" w:rsidP="000E6EA7">
            <w:pPr>
              <w:jc w:val="left"/>
              <w:rPr>
                <w:rFonts w:asciiTheme="majorBidi" w:hAnsiTheme="majorBidi" w:cstheme="majorBidi"/>
                <w:bCs/>
                <w:szCs w:val="22"/>
              </w:rPr>
            </w:pPr>
            <w:r w:rsidRPr="00A60452">
              <w:rPr>
                <w:rFonts w:asciiTheme="majorBidi" w:hAnsiTheme="majorBidi" w:cstheme="majorBidi"/>
                <w:szCs w:val="22"/>
                <w:lang w:eastAsia="zh-CN"/>
              </w:rPr>
              <w:t>Mudaraba</w:t>
            </w:r>
            <w:r w:rsidR="00395362">
              <w:rPr>
                <w:rFonts w:asciiTheme="majorBidi" w:hAnsiTheme="majorBidi" w:cstheme="majorBidi"/>
                <w:szCs w:val="22"/>
                <w:lang w:eastAsia="zh-CN"/>
              </w:rPr>
              <w:t xml:space="preserve"> financing</w:t>
            </w:r>
          </w:p>
        </w:tc>
        <w:tc>
          <w:tcPr>
            <w:tcW w:w="3797" w:type="dxa"/>
            <w:tcBorders>
              <w:top w:val="single" w:sz="4" w:space="0" w:color="auto"/>
              <w:left w:val="single" w:sz="4" w:space="0" w:color="auto"/>
              <w:bottom w:val="single" w:sz="4" w:space="0" w:color="auto"/>
              <w:right w:val="single" w:sz="4" w:space="0" w:color="auto"/>
            </w:tcBorders>
          </w:tcPr>
          <w:p w:rsidR="00616250" w:rsidRPr="00A60452" w:rsidRDefault="00616250" w:rsidP="00CE73E0">
            <w:pPr>
              <w:autoSpaceDE w:val="0"/>
              <w:autoSpaceDN w:val="0"/>
              <w:adjustRightInd w:val="0"/>
              <w:spacing w:line="240" w:lineRule="atLeast"/>
              <w:jc w:val="left"/>
              <w:rPr>
                <w:rFonts w:asciiTheme="majorBidi" w:hAnsiTheme="majorBidi" w:cstheme="majorBidi"/>
                <w:noProof/>
                <w:szCs w:val="22"/>
                <w:lang w:eastAsia="zh-TW"/>
              </w:rPr>
            </w:pPr>
            <w:r w:rsidRPr="00A60452">
              <w:rPr>
                <w:rFonts w:asciiTheme="majorBidi" w:hAnsiTheme="majorBidi" w:cstheme="majorBidi"/>
                <w:szCs w:val="22"/>
                <w:lang w:eastAsia="zh-CN"/>
              </w:rPr>
              <w:t>A partnership between an IFI and a client in which the IFI provides capital (</w:t>
            </w:r>
            <w:r w:rsidRPr="00A60452">
              <w:rPr>
                <w:rFonts w:asciiTheme="majorBidi" w:hAnsiTheme="majorBidi" w:cstheme="majorBidi"/>
                <w:i/>
                <w:iCs/>
                <w:szCs w:val="22"/>
                <w:lang w:eastAsia="zh-CN"/>
              </w:rPr>
              <w:t>rab al maal</w:t>
            </w:r>
            <w:r w:rsidRPr="00A60452">
              <w:rPr>
                <w:rFonts w:asciiTheme="majorBidi" w:hAnsiTheme="majorBidi" w:cstheme="majorBidi"/>
                <w:szCs w:val="22"/>
                <w:lang w:eastAsia="zh-CN"/>
              </w:rPr>
              <w:t>) and the client provides skillful labor whereby skill and money are brought together to conduct business.</w:t>
            </w:r>
            <w:r w:rsidR="001C6812">
              <w:rPr>
                <w:rFonts w:asciiTheme="majorBidi" w:hAnsiTheme="majorBidi" w:cstheme="majorBidi"/>
                <w:szCs w:val="22"/>
                <w:lang w:eastAsia="zh-CN"/>
              </w:rPr>
              <w:t xml:space="preserve"> Profits generated from the business are shared according to the agreement, while losses are borne fully by the IFI as the capital provider, except when losses were due to misconduct, negligence or violation of the agreed conditions by the client.</w:t>
            </w:r>
          </w:p>
        </w:tc>
        <w:tc>
          <w:tcPr>
            <w:tcW w:w="3420" w:type="dxa"/>
            <w:tcBorders>
              <w:top w:val="single" w:sz="4" w:space="0" w:color="auto"/>
              <w:left w:val="single" w:sz="4" w:space="0" w:color="auto"/>
              <w:bottom w:val="single" w:sz="4" w:space="0" w:color="auto"/>
              <w:right w:val="single" w:sz="4" w:space="0" w:color="auto"/>
            </w:tcBorders>
          </w:tcPr>
          <w:p w:rsidR="00616250" w:rsidRDefault="00616250" w:rsidP="000E6EA7">
            <w:pPr>
              <w:autoSpaceDE w:val="0"/>
              <w:autoSpaceDN w:val="0"/>
              <w:adjustRightInd w:val="0"/>
              <w:spacing w:line="240" w:lineRule="atLeast"/>
              <w:jc w:val="left"/>
              <w:rPr>
                <w:rFonts w:asciiTheme="majorBidi" w:hAnsiTheme="majorBidi" w:cstheme="majorBidi"/>
                <w:iCs/>
                <w:szCs w:val="22"/>
                <w:lang w:eastAsia="zh-CN"/>
              </w:rPr>
            </w:pPr>
            <w:r w:rsidRPr="00A60452">
              <w:rPr>
                <w:rFonts w:asciiTheme="majorBidi" w:hAnsiTheme="majorBidi" w:cstheme="majorBidi"/>
                <w:noProof/>
                <w:szCs w:val="22"/>
                <w:lang w:eastAsia="zh-TW"/>
              </w:rPr>
              <w:t>Loan</w:t>
            </w:r>
            <w:r w:rsidR="00083D29">
              <w:rPr>
                <w:rFonts w:asciiTheme="majorBidi" w:hAnsiTheme="majorBidi" w:cstheme="majorBidi"/>
                <w:noProof/>
                <w:szCs w:val="22"/>
                <w:lang w:eastAsia="zh-TW"/>
              </w:rPr>
              <w:t>s</w:t>
            </w:r>
            <w:r w:rsidRPr="00A60452">
              <w:rPr>
                <w:rFonts w:asciiTheme="majorBidi" w:hAnsiTheme="majorBidi" w:cstheme="majorBidi"/>
                <w:noProof/>
                <w:szCs w:val="22"/>
                <w:lang w:eastAsia="zh-TW"/>
              </w:rPr>
              <w:t xml:space="preserve"> </w:t>
            </w:r>
            <w:r w:rsidRPr="00A60452">
              <w:rPr>
                <w:rFonts w:asciiTheme="majorBidi" w:hAnsiTheme="majorBidi" w:cstheme="majorBidi"/>
                <w:iCs/>
                <w:szCs w:val="22"/>
                <w:lang w:eastAsia="zh-CN"/>
              </w:rPr>
              <w:t>(F4)</w:t>
            </w:r>
          </w:p>
          <w:p w:rsidR="001C6812" w:rsidRPr="00A60452" w:rsidRDefault="001C6812" w:rsidP="000E6EA7">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iCs/>
                <w:szCs w:val="22"/>
                <w:lang w:eastAsia="zh-CN"/>
              </w:rPr>
              <w:t>Although Mudaraba financing has features of equity, it has a fixed-term claim on the client rather than a claim on any residual value.</w:t>
            </w:r>
          </w:p>
        </w:tc>
        <w:tc>
          <w:tcPr>
            <w:tcW w:w="2070" w:type="dxa"/>
            <w:tcBorders>
              <w:top w:val="single" w:sz="4" w:space="0" w:color="auto"/>
              <w:left w:val="single" w:sz="4" w:space="0" w:color="auto"/>
              <w:bottom w:val="single" w:sz="4" w:space="0" w:color="auto"/>
              <w:right w:val="single" w:sz="4" w:space="0" w:color="auto"/>
            </w:tcBorders>
          </w:tcPr>
          <w:p w:rsidR="00616250" w:rsidRPr="00A60452" w:rsidRDefault="00616250" w:rsidP="000E6EA7">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Share of profit</w:t>
            </w:r>
          </w:p>
        </w:tc>
        <w:tc>
          <w:tcPr>
            <w:tcW w:w="1890" w:type="dxa"/>
            <w:tcBorders>
              <w:top w:val="single" w:sz="4" w:space="0" w:color="auto"/>
              <w:left w:val="single" w:sz="4" w:space="0" w:color="auto"/>
              <w:bottom w:val="single" w:sz="4" w:space="0" w:color="auto"/>
              <w:right w:val="single" w:sz="4" w:space="0" w:color="auto"/>
            </w:tcBorders>
          </w:tcPr>
          <w:p w:rsidR="00616250" w:rsidRPr="00A60452" w:rsidRDefault="00616250" w:rsidP="00623332">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Interest (D41)</w:t>
            </w:r>
          </w:p>
        </w:tc>
      </w:tr>
      <w:tr w:rsidR="00616250" w:rsidRPr="00A60452" w:rsidTr="0023515A">
        <w:tblPrEx>
          <w:tblLook w:val="01E0" w:firstRow="1" w:lastRow="1" w:firstColumn="1" w:lastColumn="1" w:noHBand="0" w:noVBand="0"/>
        </w:tblPrEx>
        <w:tc>
          <w:tcPr>
            <w:tcW w:w="565" w:type="dxa"/>
            <w:tcBorders>
              <w:top w:val="single" w:sz="4" w:space="0" w:color="auto"/>
              <w:left w:val="single" w:sz="4" w:space="0" w:color="auto"/>
              <w:bottom w:val="single" w:sz="4" w:space="0" w:color="auto"/>
              <w:right w:val="single" w:sz="4" w:space="0" w:color="auto"/>
            </w:tcBorders>
          </w:tcPr>
          <w:p w:rsidR="00616250" w:rsidRPr="00A60452" w:rsidRDefault="00616250" w:rsidP="00A60452">
            <w:pPr>
              <w:jc w:val="center"/>
              <w:rPr>
                <w:rFonts w:asciiTheme="majorBidi" w:hAnsiTheme="majorBidi" w:cstheme="majorBidi"/>
                <w:bCs/>
                <w:szCs w:val="22"/>
              </w:rPr>
            </w:pPr>
            <w:r w:rsidRPr="00A60452">
              <w:rPr>
                <w:rFonts w:asciiTheme="majorBidi" w:hAnsiTheme="majorBidi" w:cstheme="majorBidi"/>
                <w:bCs/>
                <w:szCs w:val="22"/>
              </w:rPr>
              <w:t>9</w:t>
            </w:r>
          </w:p>
        </w:tc>
        <w:tc>
          <w:tcPr>
            <w:tcW w:w="1398" w:type="dxa"/>
            <w:tcBorders>
              <w:top w:val="single" w:sz="4" w:space="0" w:color="auto"/>
              <w:left w:val="single" w:sz="4" w:space="0" w:color="auto"/>
              <w:bottom w:val="single" w:sz="4" w:space="0" w:color="auto"/>
              <w:right w:val="single" w:sz="4" w:space="0" w:color="auto"/>
            </w:tcBorders>
          </w:tcPr>
          <w:p w:rsidR="00E72267" w:rsidRPr="00A60452" w:rsidRDefault="00616250" w:rsidP="001F78C6">
            <w:pPr>
              <w:jc w:val="left"/>
              <w:rPr>
                <w:rFonts w:asciiTheme="majorBidi" w:hAnsiTheme="majorBidi" w:cstheme="majorBidi"/>
                <w:szCs w:val="22"/>
                <w:lang w:eastAsia="zh-CN"/>
              </w:rPr>
            </w:pPr>
            <w:r w:rsidRPr="00A60452">
              <w:rPr>
                <w:rFonts w:asciiTheme="majorBidi" w:hAnsiTheme="majorBidi" w:cstheme="majorBidi"/>
                <w:szCs w:val="22"/>
                <w:lang w:eastAsia="zh-CN"/>
              </w:rPr>
              <w:t>Tawarruq</w:t>
            </w:r>
          </w:p>
        </w:tc>
        <w:tc>
          <w:tcPr>
            <w:tcW w:w="3797" w:type="dxa"/>
            <w:tcBorders>
              <w:top w:val="single" w:sz="4" w:space="0" w:color="auto"/>
              <w:left w:val="single" w:sz="4" w:space="0" w:color="auto"/>
              <w:bottom w:val="single" w:sz="4" w:space="0" w:color="auto"/>
              <w:right w:val="single" w:sz="4" w:space="0" w:color="auto"/>
            </w:tcBorders>
          </w:tcPr>
          <w:p w:rsidR="008136B7" w:rsidRDefault="001F78C6" w:rsidP="001268B5">
            <w:pPr>
              <w:autoSpaceDE w:val="0"/>
              <w:autoSpaceDN w:val="0"/>
              <w:adjustRightInd w:val="0"/>
              <w:spacing w:line="240" w:lineRule="atLeast"/>
              <w:rPr>
                <w:rFonts w:asciiTheme="majorBidi" w:hAnsiTheme="majorBidi" w:cstheme="majorBidi"/>
                <w:szCs w:val="22"/>
                <w:lang w:eastAsia="zh-CN"/>
              </w:rPr>
            </w:pPr>
            <w:r>
              <w:rPr>
                <w:rFonts w:asciiTheme="majorBidi" w:hAnsiTheme="majorBidi" w:cstheme="majorBidi"/>
                <w:szCs w:val="22"/>
                <w:lang w:eastAsia="zh-CN"/>
              </w:rPr>
              <w:t>A type of financing provided by an IFI with the intent to supply cash</w:t>
            </w:r>
            <w:r w:rsidR="008136B7">
              <w:rPr>
                <w:rFonts w:asciiTheme="majorBidi" w:hAnsiTheme="majorBidi" w:cstheme="majorBidi"/>
                <w:szCs w:val="22"/>
                <w:lang w:eastAsia="zh-CN"/>
              </w:rPr>
              <w:t xml:space="preserve"> to its client</w:t>
            </w:r>
            <w:r>
              <w:rPr>
                <w:rFonts w:asciiTheme="majorBidi" w:hAnsiTheme="majorBidi" w:cstheme="majorBidi"/>
                <w:szCs w:val="22"/>
                <w:lang w:eastAsia="zh-CN"/>
              </w:rPr>
              <w:t xml:space="preserve">. </w:t>
            </w:r>
          </w:p>
          <w:p w:rsidR="008136B7" w:rsidRDefault="001F78C6" w:rsidP="001268B5">
            <w:pPr>
              <w:autoSpaceDE w:val="0"/>
              <w:autoSpaceDN w:val="0"/>
              <w:adjustRightInd w:val="0"/>
              <w:spacing w:line="240" w:lineRule="atLeast"/>
              <w:rPr>
                <w:rFonts w:asciiTheme="majorBidi" w:hAnsiTheme="majorBidi" w:cstheme="majorBidi"/>
                <w:szCs w:val="22"/>
                <w:lang w:eastAsia="zh-CN"/>
              </w:rPr>
            </w:pPr>
            <w:r>
              <w:rPr>
                <w:rFonts w:asciiTheme="majorBidi" w:hAnsiTheme="majorBidi" w:cstheme="majorBidi"/>
                <w:szCs w:val="22"/>
                <w:lang w:eastAsia="zh-CN"/>
              </w:rPr>
              <w:t>Tawa</w:t>
            </w:r>
            <w:r w:rsidR="008136B7">
              <w:rPr>
                <w:rFonts w:asciiTheme="majorBidi" w:hAnsiTheme="majorBidi" w:cstheme="majorBidi"/>
                <w:szCs w:val="22"/>
                <w:lang w:eastAsia="zh-CN"/>
              </w:rPr>
              <w:t>rruq</w:t>
            </w:r>
            <w:r w:rsidR="006E256A">
              <w:rPr>
                <w:rFonts w:asciiTheme="majorBidi" w:hAnsiTheme="majorBidi" w:cstheme="majorBidi"/>
                <w:szCs w:val="22"/>
                <w:lang w:eastAsia="zh-CN"/>
              </w:rPr>
              <w:t xml:space="preserve"> contracts are comprised</w:t>
            </w:r>
            <w:r w:rsidR="008136B7">
              <w:rPr>
                <w:rFonts w:asciiTheme="majorBidi" w:hAnsiTheme="majorBidi" w:cstheme="majorBidi"/>
                <w:szCs w:val="22"/>
                <w:lang w:eastAsia="zh-CN"/>
              </w:rPr>
              <w:t xml:space="preserve"> of two parts:</w:t>
            </w:r>
            <w:r>
              <w:rPr>
                <w:rFonts w:asciiTheme="majorBidi" w:hAnsiTheme="majorBidi" w:cstheme="majorBidi"/>
                <w:szCs w:val="22"/>
                <w:lang w:eastAsia="zh-CN"/>
              </w:rPr>
              <w:t xml:space="preserve"> </w:t>
            </w:r>
          </w:p>
          <w:p w:rsidR="001F78C6" w:rsidRDefault="001F78C6" w:rsidP="001268B5">
            <w:pPr>
              <w:autoSpaceDE w:val="0"/>
              <w:autoSpaceDN w:val="0"/>
              <w:adjustRightInd w:val="0"/>
              <w:spacing w:line="240" w:lineRule="atLeast"/>
              <w:rPr>
                <w:rFonts w:asciiTheme="majorBidi" w:hAnsiTheme="majorBidi" w:cstheme="majorBidi"/>
                <w:szCs w:val="22"/>
                <w:lang w:eastAsia="zh-CN"/>
              </w:rPr>
            </w:pPr>
            <w:r>
              <w:rPr>
                <w:rFonts w:asciiTheme="majorBidi" w:hAnsiTheme="majorBidi" w:cstheme="majorBidi"/>
                <w:szCs w:val="22"/>
                <w:lang w:eastAsia="zh-CN"/>
              </w:rPr>
              <w:t>1) A Murabaha contract where the client purchases a product from the IFI for a marked-up price</w:t>
            </w:r>
            <w:r w:rsidR="0074278C">
              <w:rPr>
                <w:rFonts w:asciiTheme="majorBidi" w:hAnsiTheme="majorBidi" w:cstheme="majorBidi"/>
                <w:szCs w:val="22"/>
                <w:lang w:eastAsia="zh-CN"/>
              </w:rPr>
              <w:t xml:space="preserve"> on a deferred payment basis.</w:t>
            </w:r>
          </w:p>
          <w:p w:rsidR="001F78C6" w:rsidRDefault="001F78C6" w:rsidP="001268B5">
            <w:pPr>
              <w:autoSpaceDE w:val="0"/>
              <w:autoSpaceDN w:val="0"/>
              <w:adjustRightInd w:val="0"/>
              <w:spacing w:line="240" w:lineRule="atLeast"/>
              <w:rPr>
                <w:rFonts w:asciiTheme="majorBidi" w:hAnsiTheme="majorBidi" w:cstheme="majorBidi"/>
                <w:szCs w:val="22"/>
                <w:lang w:eastAsia="zh-CN"/>
              </w:rPr>
            </w:pPr>
            <w:r>
              <w:rPr>
                <w:rFonts w:asciiTheme="majorBidi" w:hAnsiTheme="majorBidi" w:cstheme="majorBidi"/>
                <w:szCs w:val="22"/>
                <w:lang w:eastAsia="zh-CN"/>
              </w:rPr>
              <w:t>2) The client sells</w:t>
            </w:r>
            <w:r w:rsidR="008136B7">
              <w:rPr>
                <w:rFonts w:asciiTheme="majorBidi" w:hAnsiTheme="majorBidi" w:cstheme="majorBidi"/>
                <w:szCs w:val="22"/>
                <w:lang w:eastAsia="zh-CN"/>
              </w:rPr>
              <w:t xml:space="preserve"> the </w:t>
            </w:r>
            <w:r w:rsidR="00464A22">
              <w:rPr>
                <w:rFonts w:asciiTheme="majorBidi" w:hAnsiTheme="majorBidi" w:cstheme="majorBidi"/>
                <w:szCs w:val="22"/>
                <w:lang w:eastAsia="zh-CN"/>
              </w:rPr>
              <w:t>good</w:t>
            </w:r>
            <w:r>
              <w:rPr>
                <w:rFonts w:asciiTheme="majorBidi" w:hAnsiTheme="majorBidi" w:cstheme="majorBidi"/>
                <w:szCs w:val="22"/>
                <w:lang w:eastAsia="zh-CN"/>
              </w:rPr>
              <w:t xml:space="preserve"> to a thir</w:t>
            </w:r>
            <w:r w:rsidR="008136B7">
              <w:rPr>
                <w:rFonts w:asciiTheme="majorBidi" w:hAnsiTheme="majorBidi" w:cstheme="majorBidi"/>
                <w:szCs w:val="22"/>
                <w:lang w:eastAsia="zh-CN"/>
              </w:rPr>
              <w:t>d party on a spot payment basis. In prac</w:t>
            </w:r>
            <w:r w:rsidR="00464A22">
              <w:rPr>
                <w:rFonts w:asciiTheme="majorBidi" w:hAnsiTheme="majorBidi" w:cstheme="majorBidi"/>
                <w:szCs w:val="22"/>
                <w:lang w:eastAsia="zh-CN"/>
              </w:rPr>
              <w:t>tice the IFI sells the good</w:t>
            </w:r>
            <w:r w:rsidR="008136B7">
              <w:rPr>
                <w:rFonts w:asciiTheme="majorBidi" w:hAnsiTheme="majorBidi" w:cstheme="majorBidi"/>
                <w:szCs w:val="22"/>
                <w:lang w:eastAsia="zh-CN"/>
              </w:rPr>
              <w:t xml:space="preserve"> to the third party on behalf of the customer.</w:t>
            </w:r>
          </w:p>
          <w:p w:rsidR="00616250" w:rsidRPr="00A60452" w:rsidRDefault="008136B7" w:rsidP="00F81B40">
            <w:pPr>
              <w:autoSpaceDE w:val="0"/>
              <w:autoSpaceDN w:val="0"/>
              <w:adjustRightInd w:val="0"/>
              <w:spacing w:line="240" w:lineRule="atLeast"/>
              <w:rPr>
                <w:rFonts w:asciiTheme="majorBidi" w:hAnsiTheme="majorBidi" w:cstheme="majorBidi"/>
                <w:szCs w:val="22"/>
                <w:lang w:eastAsia="zh-CN"/>
              </w:rPr>
            </w:pPr>
            <w:r>
              <w:rPr>
                <w:rFonts w:asciiTheme="majorBidi" w:hAnsiTheme="majorBidi" w:cstheme="majorBidi"/>
                <w:szCs w:val="22"/>
                <w:lang w:eastAsia="zh-CN"/>
              </w:rPr>
              <w:t xml:space="preserve">This results in the client receiving cash on the spot with the obligation to pay the initial marked-up price of the </w:t>
            </w:r>
            <w:r w:rsidR="00464A22">
              <w:rPr>
                <w:rFonts w:asciiTheme="majorBidi" w:hAnsiTheme="majorBidi" w:cstheme="majorBidi"/>
                <w:szCs w:val="22"/>
                <w:lang w:eastAsia="zh-CN"/>
              </w:rPr>
              <w:t>good</w:t>
            </w:r>
            <w:r>
              <w:rPr>
                <w:rFonts w:asciiTheme="majorBidi" w:hAnsiTheme="majorBidi" w:cstheme="majorBidi"/>
                <w:szCs w:val="22"/>
                <w:lang w:eastAsia="zh-CN"/>
              </w:rPr>
              <w:t xml:space="preserve"> either in installments or as a deferred lump sum payment to the </w:t>
            </w:r>
            <w:r w:rsidR="00090245">
              <w:rPr>
                <w:rFonts w:asciiTheme="majorBidi" w:hAnsiTheme="majorBidi" w:cstheme="majorBidi"/>
                <w:szCs w:val="22"/>
                <w:lang w:eastAsia="zh-CN"/>
              </w:rPr>
              <w:t>IFI</w:t>
            </w:r>
            <w:r>
              <w:rPr>
                <w:rFonts w:asciiTheme="majorBidi" w:hAnsiTheme="majorBidi" w:cstheme="majorBidi"/>
                <w:szCs w:val="22"/>
                <w:lang w:eastAsia="zh-CN"/>
              </w:rPr>
              <w:t xml:space="preserve">. </w:t>
            </w:r>
          </w:p>
        </w:tc>
        <w:tc>
          <w:tcPr>
            <w:tcW w:w="3420" w:type="dxa"/>
            <w:tcBorders>
              <w:top w:val="single" w:sz="4" w:space="0" w:color="auto"/>
              <w:left w:val="single" w:sz="4" w:space="0" w:color="auto"/>
              <w:bottom w:val="single" w:sz="4" w:space="0" w:color="auto"/>
              <w:right w:val="single" w:sz="4" w:space="0" w:color="auto"/>
            </w:tcBorders>
          </w:tcPr>
          <w:p w:rsidR="00616250" w:rsidRPr="00A60452" w:rsidRDefault="00616250" w:rsidP="00A60452">
            <w:pPr>
              <w:autoSpaceDE w:val="0"/>
              <w:autoSpaceDN w:val="0"/>
              <w:adjustRightInd w:val="0"/>
              <w:spacing w:line="240" w:lineRule="atLeast"/>
              <w:jc w:val="left"/>
              <w:rPr>
                <w:rFonts w:asciiTheme="majorBidi" w:hAnsiTheme="majorBidi" w:cstheme="majorBidi"/>
                <w:noProof/>
                <w:szCs w:val="22"/>
                <w:lang w:eastAsia="zh-TW"/>
              </w:rPr>
            </w:pPr>
            <w:r w:rsidRPr="00A60452">
              <w:rPr>
                <w:rFonts w:asciiTheme="majorBidi" w:hAnsiTheme="majorBidi" w:cstheme="majorBidi"/>
                <w:szCs w:val="22"/>
                <w:lang w:eastAsia="zh-TW"/>
              </w:rPr>
              <w:t>Loan</w:t>
            </w:r>
            <w:r w:rsidR="00083D29">
              <w:rPr>
                <w:rFonts w:asciiTheme="majorBidi" w:hAnsiTheme="majorBidi" w:cstheme="majorBidi"/>
                <w:szCs w:val="22"/>
                <w:lang w:eastAsia="zh-TW"/>
              </w:rPr>
              <w:t>s</w:t>
            </w:r>
            <w:r w:rsidRPr="00A60452">
              <w:rPr>
                <w:rFonts w:asciiTheme="majorBidi" w:hAnsiTheme="majorBidi" w:cstheme="majorBidi"/>
                <w:szCs w:val="22"/>
                <w:lang w:eastAsia="zh-TW"/>
              </w:rPr>
              <w:t xml:space="preserve"> (F4)</w:t>
            </w:r>
          </w:p>
        </w:tc>
        <w:tc>
          <w:tcPr>
            <w:tcW w:w="2070" w:type="dxa"/>
            <w:tcBorders>
              <w:top w:val="single" w:sz="4" w:space="0" w:color="auto"/>
              <w:left w:val="single" w:sz="4" w:space="0" w:color="auto"/>
              <w:bottom w:val="single" w:sz="4" w:space="0" w:color="auto"/>
              <w:right w:val="single" w:sz="4" w:space="0" w:color="auto"/>
            </w:tcBorders>
          </w:tcPr>
          <w:p w:rsidR="00616250" w:rsidRPr="00A60452" w:rsidRDefault="00616250" w:rsidP="00A60452">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 xml:space="preserve">Profit margin </w:t>
            </w:r>
          </w:p>
        </w:tc>
        <w:tc>
          <w:tcPr>
            <w:tcW w:w="1890" w:type="dxa"/>
            <w:tcBorders>
              <w:top w:val="single" w:sz="4" w:space="0" w:color="auto"/>
              <w:left w:val="single" w:sz="4" w:space="0" w:color="auto"/>
              <w:bottom w:val="single" w:sz="4" w:space="0" w:color="auto"/>
              <w:right w:val="single" w:sz="4" w:space="0" w:color="auto"/>
            </w:tcBorders>
          </w:tcPr>
          <w:p w:rsidR="00616250" w:rsidRPr="00A60452" w:rsidRDefault="00616250" w:rsidP="00A60452">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Interest (D41)</w:t>
            </w:r>
          </w:p>
        </w:tc>
      </w:tr>
    </w:tbl>
    <w:p w:rsidR="002403DC" w:rsidRDefault="002403DC" w:rsidP="00D8793C">
      <w:pPr>
        <w:pStyle w:val="BodyText"/>
        <w:jc w:val="left"/>
        <w:rPr>
          <w:rFonts w:asciiTheme="majorBidi" w:hAnsiTheme="majorBidi" w:cstheme="majorBidi"/>
          <w:b w:val="0"/>
          <w:szCs w:val="22"/>
        </w:rPr>
      </w:pPr>
    </w:p>
    <w:p w:rsidR="002403DC" w:rsidRDefault="002403DC" w:rsidP="00D8793C">
      <w:pPr>
        <w:pStyle w:val="BodyText"/>
        <w:jc w:val="left"/>
        <w:rPr>
          <w:rFonts w:asciiTheme="majorBidi" w:hAnsiTheme="majorBidi" w:cstheme="majorBidi"/>
          <w:b w:val="0"/>
          <w:szCs w:val="22"/>
        </w:rPr>
      </w:pPr>
    </w:p>
    <w:p w:rsidR="002415BF" w:rsidRPr="00A60452" w:rsidRDefault="002415BF" w:rsidP="00D8793C">
      <w:pPr>
        <w:pStyle w:val="BodyText"/>
        <w:jc w:val="left"/>
        <w:rPr>
          <w:rFonts w:asciiTheme="majorBidi" w:hAnsiTheme="majorBidi" w:cstheme="majorBidi"/>
          <w:b w:val="0"/>
          <w:szCs w:val="22"/>
        </w:rPr>
      </w:pPr>
    </w:p>
    <w:p w:rsidR="00015726" w:rsidRPr="00A60452" w:rsidRDefault="00262164" w:rsidP="00D8793C">
      <w:pPr>
        <w:pStyle w:val="BodyText"/>
        <w:jc w:val="left"/>
        <w:rPr>
          <w:rFonts w:asciiTheme="majorBidi" w:hAnsiTheme="majorBidi" w:cstheme="majorBidi"/>
          <w:bCs/>
          <w:szCs w:val="22"/>
        </w:rPr>
      </w:pPr>
      <w:r w:rsidRPr="00A60452">
        <w:rPr>
          <w:rFonts w:asciiTheme="majorBidi" w:hAnsiTheme="majorBidi" w:cstheme="majorBidi"/>
          <w:bCs/>
          <w:szCs w:val="22"/>
        </w:rPr>
        <w:t xml:space="preserve">Takaful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1272"/>
        <w:gridCol w:w="3870"/>
        <w:gridCol w:w="3420"/>
        <w:gridCol w:w="2070"/>
        <w:gridCol w:w="1890"/>
      </w:tblGrid>
      <w:tr w:rsidR="00F07DD1" w:rsidRPr="00A60452" w:rsidTr="00F81B40">
        <w:trPr>
          <w:trHeight w:val="1275"/>
        </w:trPr>
        <w:tc>
          <w:tcPr>
            <w:tcW w:w="546" w:type="dxa"/>
            <w:tcBorders>
              <w:bottom w:val="single" w:sz="4" w:space="0" w:color="auto"/>
            </w:tcBorders>
          </w:tcPr>
          <w:p w:rsidR="00F07DD1" w:rsidRPr="00A60452" w:rsidRDefault="00F07DD1" w:rsidP="005D7867">
            <w:pPr>
              <w:jc w:val="center"/>
              <w:rPr>
                <w:rFonts w:asciiTheme="majorBidi" w:hAnsiTheme="majorBidi" w:cstheme="majorBidi"/>
                <w:b/>
                <w:szCs w:val="22"/>
              </w:rPr>
            </w:pPr>
            <w:r w:rsidRPr="00A60452">
              <w:rPr>
                <w:rFonts w:asciiTheme="majorBidi" w:hAnsiTheme="majorBidi" w:cstheme="majorBidi"/>
                <w:b/>
                <w:szCs w:val="22"/>
              </w:rPr>
              <w:t>NO</w:t>
            </w:r>
          </w:p>
        </w:tc>
        <w:tc>
          <w:tcPr>
            <w:tcW w:w="1272" w:type="dxa"/>
            <w:tcBorders>
              <w:bottom w:val="single" w:sz="4" w:space="0" w:color="auto"/>
            </w:tcBorders>
          </w:tcPr>
          <w:p w:rsidR="00F07DD1" w:rsidRPr="00A60452" w:rsidRDefault="00F07DD1" w:rsidP="005D7867">
            <w:pPr>
              <w:jc w:val="center"/>
              <w:rPr>
                <w:rFonts w:asciiTheme="majorBidi" w:hAnsiTheme="majorBidi" w:cstheme="majorBidi"/>
                <w:b/>
                <w:szCs w:val="22"/>
              </w:rPr>
            </w:pPr>
            <w:r w:rsidRPr="00A60452">
              <w:rPr>
                <w:rFonts w:asciiTheme="majorBidi" w:hAnsiTheme="majorBidi" w:cstheme="majorBidi"/>
                <w:b/>
                <w:szCs w:val="22"/>
              </w:rPr>
              <w:t>Type of Islamic financial instrument</w:t>
            </w:r>
          </w:p>
        </w:tc>
        <w:tc>
          <w:tcPr>
            <w:tcW w:w="3870" w:type="dxa"/>
            <w:tcBorders>
              <w:bottom w:val="single" w:sz="4" w:space="0" w:color="auto"/>
            </w:tcBorders>
          </w:tcPr>
          <w:p w:rsidR="00F07DD1" w:rsidRPr="00A60452" w:rsidRDefault="00F07DD1" w:rsidP="005D7867">
            <w:pPr>
              <w:jc w:val="center"/>
              <w:rPr>
                <w:rFonts w:asciiTheme="majorBidi" w:hAnsiTheme="majorBidi" w:cstheme="majorBidi"/>
                <w:b/>
                <w:szCs w:val="22"/>
              </w:rPr>
            </w:pPr>
            <w:r w:rsidRPr="00A60452">
              <w:rPr>
                <w:rFonts w:asciiTheme="majorBidi" w:hAnsiTheme="majorBidi" w:cstheme="majorBidi"/>
                <w:b/>
                <w:szCs w:val="22"/>
              </w:rPr>
              <w:t>Description</w:t>
            </w:r>
          </w:p>
        </w:tc>
        <w:tc>
          <w:tcPr>
            <w:tcW w:w="3420" w:type="dxa"/>
            <w:tcBorders>
              <w:bottom w:val="single" w:sz="4" w:space="0" w:color="auto"/>
            </w:tcBorders>
          </w:tcPr>
          <w:p w:rsidR="00F07DD1" w:rsidRPr="00A60452" w:rsidRDefault="00F07DD1" w:rsidP="005D7867">
            <w:pPr>
              <w:jc w:val="center"/>
              <w:rPr>
                <w:rFonts w:asciiTheme="majorBidi" w:hAnsiTheme="majorBidi" w:cstheme="majorBidi"/>
                <w:b/>
                <w:szCs w:val="22"/>
              </w:rPr>
            </w:pPr>
            <w:r w:rsidRPr="00A60452">
              <w:rPr>
                <w:rFonts w:asciiTheme="majorBidi" w:hAnsiTheme="majorBidi" w:cstheme="majorBidi"/>
                <w:b/>
                <w:szCs w:val="22"/>
              </w:rPr>
              <w:t>Classification according to annex 4.3 of MFSMCG</w:t>
            </w:r>
          </w:p>
        </w:tc>
        <w:tc>
          <w:tcPr>
            <w:tcW w:w="2070" w:type="dxa"/>
            <w:tcBorders>
              <w:bottom w:val="single" w:sz="4" w:space="0" w:color="auto"/>
            </w:tcBorders>
          </w:tcPr>
          <w:p w:rsidR="00F07DD1" w:rsidRPr="00A60452" w:rsidRDefault="00F07DD1" w:rsidP="005D7867">
            <w:pPr>
              <w:jc w:val="center"/>
              <w:rPr>
                <w:rFonts w:asciiTheme="majorBidi" w:hAnsiTheme="majorBidi" w:cstheme="majorBidi"/>
                <w:b/>
                <w:szCs w:val="22"/>
              </w:rPr>
            </w:pPr>
            <w:r w:rsidRPr="00A60452">
              <w:rPr>
                <w:rFonts w:asciiTheme="majorBidi" w:hAnsiTheme="majorBidi" w:cstheme="majorBidi"/>
                <w:b/>
                <w:szCs w:val="22"/>
              </w:rPr>
              <w:t>Type of return</w:t>
            </w:r>
            <w:r w:rsidR="001B74FE">
              <w:rPr>
                <w:rFonts w:asciiTheme="majorBidi" w:hAnsiTheme="majorBidi" w:cstheme="majorBidi"/>
                <w:b/>
                <w:szCs w:val="22"/>
              </w:rPr>
              <w:t xml:space="preserve"> payable to asset holder</w:t>
            </w:r>
          </w:p>
        </w:tc>
        <w:tc>
          <w:tcPr>
            <w:tcW w:w="1890" w:type="dxa"/>
            <w:tcBorders>
              <w:bottom w:val="single" w:sz="4" w:space="0" w:color="auto"/>
            </w:tcBorders>
          </w:tcPr>
          <w:p w:rsidR="00F07DD1" w:rsidRPr="00A60452" w:rsidRDefault="00F07DD1" w:rsidP="005D7867">
            <w:pPr>
              <w:jc w:val="center"/>
              <w:rPr>
                <w:rFonts w:asciiTheme="majorBidi" w:hAnsiTheme="majorBidi" w:cstheme="majorBidi"/>
                <w:b/>
                <w:szCs w:val="22"/>
              </w:rPr>
            </w:pPr>
            <w:r w:rsidRPr="00A60452">
              <w:rPr>
                <w:rFonts w:asciiTheme="majorBidi" w:hAnsiTheme="majorBidi" w:cstheme="majorBidi"/>
                <w:b/>
                <w:szCs w:val="22"/>
              </w:rPr>
              <w:t>Classification of property income</w:t>
            </w:r>
          </w:p>
        </w:tc>
      </w:tr>
      <w:tr w:rsidR="00F07DD1" w:rsidRPr="00A60452" w:rsidTr="00F81B40">
        <w:tblPrEx>
          <w:tblLook w:val="01E0" w:firstRow="1" w:lastRow="1" w:firstColumn="1" w:lastColumn="1" w:noHBand="0" w:noVBand="0"/>
        </w:tblPrEx>
        <w:tc>
          <w:tcPr>
            <w:tcW w:w="546" w:type="dxa"/>
            <w:tcBorders>
              <w:bottom w:val="single" w:sz="4" w:space="0" w:color="auto"/>
            </w:tcBorders>
          </w:tcPr>
          <w:p w:rsidR="00F07DD1" w:rsidRPr="00A60452" w:rsidRDefault="00F07DD1" w:rsidP="000E6EA7">
            <w:pPr>
              <w:jc w:val="center"/>
              <w:rPr>
                <w:rFonts w:asciiTheme="majorBidi" w:hAnsiTheme="majorBidi" w:cstheme="majorBidi"/>
                <w:bCs/>
                <w:szCs w:val="22"/>
              </w:rPr>
            </w:pPr>
            <w:r w:rsidRPr="00A60452">
              <w:rPr>
                <w:rFonts w:asciiTheme="majorBidi" w:hAnsiTheme="majorBidi" w:cstheme="majorBidi"/>
                <w:bCs/>
                <w:szCs w:val="22"/>
              </w:rPr>
              <w:t>1</w:t>
            </w:r>
          </w:p>
        </w:tc>
        <w:tc>
          <w:tcPr>
            <w:tcW w:w="1272" w:type="dxa"/>
            <w:tcBorders>
              <w:bottom w:val="single" w:sz="4" w:space="0" w:color="auto"/>
            </w:tcBorders>
          </w:tcPr>
          <w:p w:rsidR="00F07DD1" w:rsidRPr="00A60452" w:rsidRDefault="00F07DD1" w:rsidP="000E6EA7">
            <w:pPr>
              <w:jc w:val="left"/>
              <w:rPr>
                <w:rFonts w:asciiTheme="majorBidi" w:hAnsiTheme="majorBidi" w:cstheme="majorBidi"/>
                <w:bCs/>
                <w:szCs w:val="22"/>
              </w:rPr>
            </w:pPr>
            <w:r w:rsidRPr="00A60452">
              <w:rPr>
                <w:rFonts w:asciiTheme="majorBidi" w:hAnsiTheme="majorBidi" w:cstheme="majorBidi"/>
                <w:bCs/>
                <w:szCs w:val="22"/>
              </w:rPr>
              <w:t xml:space="preserve">Takaful </w:t>
            </w:r>
          </w:p>
        </w:tc>
        <w:tc>
          <w:tcPr>
            <w:tcW w:w="3870" w:type="dxa"/>
            <w:tcBorders>
              <w:bottom w:val="single" w:sz="4" w:space="0" w:color="auto"/>
            </w:tcBorders>
          </w:tcPr>
          <w:p w:rsidR="00F07DD1" w:rsidRPr="00A60452" w:rsidRDefault="00F07DD1" w:rsidP="00262164">
            <w:pPr>
              <w:autoSpaceDE w:val="0"/>
              <w:autoSpaceDN w:val="0"/>
              <w:adjustRightInd w:val="0"/>
              <w:spacing w:line="240" w:lineRule="atLeast"/>
              <w:jc w:val="left"/>
              <w:rPr>
                <w:rFonts w:asciiTheme="majorBidi" w:hAnsiTheme="majorBidi" w:cstheme="majorBidi"/>
                <w:szCs w:val="22"/>
                <w:lang w:eastAsia="zh-CN"/>
              </w:rPr>
            </w:pPr>
            <w:r w:rsidRPr="00A60452">
              <w:rPr>
                <w:rFonts w:asciiTheme="majorBidi" w:hAnsiTheme="majorBidi" w:cstheme="majorBidi"/>
                <w:szCs w:val="22"/>
                <w:lang w:eastAsia="zh-CN"/>
              </w:rPr>
              <w:t xml:space="preserve">An agreement between persons exposed to specific risks </w:t>
            </w:r>
            <w:proofErr w:type="gramStart"/>
            <w:r w:rsidRPr="00A60452">
              <w:rPr>
                <w:rFonts w:asciiTheme="majorBidi" w:hAnsiTheme="majorBidi" w:cstheme="majorBidi"/>
                <w:szCs w:val="22"/>
                <w:lang w:eastAsia="zh-CN"/>
              </w:rPr>
              <w:t>in order to</w:t>
            </w:r>
            <w:proofErr w:type="gramEnd"/>
            <w:r w:rsidRPr="00A60452">
              <w:rPr>
                <w:rFonts w:asciiTheme="majorBidi" w:hAnsiTheme="majorBidi" w:cstheme="majorBidi"/>
                <w:szCs w:val="22"/>
                <w:lang w:eastAsia="zh-CN"/>
              </w:rPr>
              <w:t xml:space="preserve"> avoid damages through creating a fund in which contributions are deposited on a voluntary basis</w:t>
            </w:r>
            <w:r w:rsidR="001C6812">
              <w:rPr>
                <w:rFonts w:asciiTheme="majorBidi" w:hAnsiTheme="majorBidi" w:cstheme="majorBidi"/>
                <w:szCs w:val="22"/>
                <w:lang w:eastAsia="zh-CN"/>
              </w:rPr>
              <w:t xml:space="preserve">. Participants receive </w:t>
            </w:r>
            <w:r w:rsidRPr="00A60452">
              <w:rPr>
                <w:rFonts w:asciiTheme="majorBidi" w:hAnsiTheme="majorBidi" w:cstheme="majorBidi"/>
                <w:szCs w:val="22"/>
                <w:lang w:eastAsia="zh-CN"/>
              </w:rPr>
              <w:t>compensation for damages from the occurrence of the insured risk.</w:t>
            </w:r>
          </w:p>
          <w:p w:rsidR="00F07DD1" w:rsidRPr="00A60452" w:rsidRDefault="00F07DD1" w:rsidP="00262164">
            <w:pPr>
              <w:autoSpaceDE w:val="0"/>
              <w:autoSpaceDN w:val="0"/>
              <w:adjustRightInd w:val="0"/>
              <w:spacing w:line="240" w:lineRule="atLeast"/>
              <w:jc w:val="left"/>
              <w:rPr>
                <w:rFonts w:asciiTheme="majorBidi" w:hAnsiTheme="majorBidi" w:cstheme="majorBidi"/>
                <w:noProof/>
                <w:szCs w:val="22"/>
                <w:lang w:eastAsia="zh-TW"/>
              </w:rPr>
            </w:pPr>
          </w:p>
        </w:tc>
        <w:tc>
          <w:tcPr>
            <w:tcW w:w="3420" w:type="dxa"/>
            <w:tcBorders>
              <w:bottom w:val="single" w:sz="4" w:space="0" w:color="auto"/>
            </w:tcBorders>
          </w:tcPr>
          <w:p w:rsidR="00F07DD1" w:rsidRPr="00A60452" w:rsidRDefault="00F07DD1" w:rsidP="00262164">
            <w:pPr>
              <w:autoSpaceDE w:val="0"/>
              <w:autoSpaceDN w:val="0"/>
              <w:adjustRightInd w:val="0"/>
              <w:jc w:val="left"/>
              <w:rPr>
                <w:rFonts w:asciiTheme="majorBidi" w:hAnsiTheme="majorBidi" w:cstheme="majorBidi"/>
                <w:szCs w:val="22"/>
                <w:lang w:eastAsia="zh-CN"/>
              </w:rPr>
            </w:pPr>
            <w:r w:rsidRPr="00A60452">
              <w:rPr>
                <w:rFonts w:asciiTheme="majorBidi" w:hAnsiTheme="majorBidi" w:cstheme="majorBidi"/>
                <w:szCs w:val="22"/>
                <w:lang w:eastAsia="zh-CN"/>
              </w:rPr>
              <w:t>Insurance, pension and standardized guarantee schemes (F6)</w:t>
            </w:r>
          </w:p>
          <w:p w:rsidR="00F07DD1" w:rsidRPr="00A60452" w:rsidRDefault="00F07DD1" w:rsidP="00262164">
            <w:pPr>
              <w:autoSpaceDE w:val="0"/>
              <w:autoSpaceDN w:val="0"/>
              <w:adjustRightInd w:val="0"/>
              <w:spacing w:line="240" w:lineRule="atLeast"/>
              <w:jc w:val="left"/>
              <w:rPr>
                <w:rFonts w:asciiTheme="majorBidi" w:hAnsiTheme="majorBidi" w:cstheme="majorBidi"/>
                <w:noProof/>
                <w:szCs w:val="22"/>
                <w:lang w:eastAsia="zh-TW"/>
              </w:rPr>
            </w:pPr>
          </w:p>
        </w:tc>
        <w:tc>
          <w:tcPr>
            <w:tcW w:w="2070" w:type="dxa"/>
            <w:tcBorders>
              <w:bottom w:val="single" w:sz="4" w:space="0" w:color="auto"/>
            </w:tcBorders>
          </w:tcPr>
          <w:p w:rsidR="00F07DD1" w:rsidRPr="00A60452" w:rsidRDefault="00F07DD1" w:rsidP="000E6EA7">
            <w:pPr>
              <w:autoSpaceDE w:val="0"/>
              <w:autoSpaceDN w:val="0"/>
              <w:adjustRightInd w:val="0"/>
              <w:spacing w:line="240" w:lineRule="atLeast"/>
              <w:jc w:val="left"/>
              <w:rPr>
                <w:rFonts w:asciiTheme="majorBidi" w:hAnsiTheme="majorBidi" w:cstheme="majorBidi"/>
                <w:szCs w:val="22"/>
              </w:rPr>
            </w:pPr>
            <w:r w:rsidRPr="00A60452">
              <w:rPr>
                <w:rFonts w:asciiTheme="majorBidi" w:hAnsiTheme="majorBidi" w:cstheme="majorBidi"/>
                <w:szCs w:val="22"/>
              </w:rPr>
              <w:t>Investment income</w:t>
            </w:r>
          </w:p>
        </w:tc>
        <w:tc>
          <w:tcPr>
            <w:tcW w:w="1890" w:type="dxa"/>
            <w:tcBorders>
              <w:bottom w:val="single" w:sz="4" w:space="0" w:color="auto"/>
            </w:tcBorders>
          </w:tcPr>
          <w:p w:rsidR="00F07DD1" w:rsidRPr="00A60452" w:rsidRDefault="00F07DD1" w:rsidP="00E901B4">
            <w:pPr>
              <w:autoSpaceDE w:val="0"/>
              <w:autoSpaceDN w:val="0"/>
              <w:adjustRightInd w:val="0"/>
              <w:spacing w:line="240" w:lineRule="atLeast"/>
              <w:jc w:val="left"/>
              <w:rPr>
                <w:rFonts w:asciiTheme="majorBidi" w:hAnsiTheme="majorBidi" w:cstheme="majorBidi"/>
                <w:szCs w:val="22"/>
              </w:rPr>
            </w:pPr>
            <w:r>
              <w:rPr>
                <w:rFonts w:asciiTheme="majorBidi" w:hAnsiTheme="majorBidi" w:cstheme="majorBidi"/>
                <w:szCs w:val="22"/>
                <w:lang w:eastAsia="zh-CN"/>
              </w:rPr>
              <w:t>Investment income a</w:t>
            </w:r>
            <w:r w:rsidRPr="00A60452">
              <w:rPr>
                <w:rFonts w:asciiTheme="majorBidi" w:hAnsiTheme="majorBidi" w:cstheme="majorBidi"/>
                <w:szCs w:val="22"/>
                <w:lang w:eastAsia="zh-CN"/>
              </w:rPr>
              <w:t>ttributable to insurance policy holders (D441)</w:t>
            </w:r>
          </w:p>
        </w:tc>
      </w:tr>
    </w:tbl>
    <w:p w:rsidR="002409A0" w:rsidRPr="00A60452" w:rsidRDefault="002409A0" w:rsidP="00D8793C">
      <w:pPr>
        <w:pStyle w:val="BodyText"/>
        <w:jc w:val="left"/>
        <w:rPr>
          <w:rFonts w:asciiTheme="majorBidi" w:hAnsiTheme="majorBidi" w:cstheme="majorBidi"/>
          <w:b w:val="0"/>
          <w:szCs w:val="22"/>
        </w:rPr>
      </w:pPr>
    </w:p>
    <w:p w:rsidR="002409A0" w:rsidRDefault="008844D8" w:rsidP="00D8793C">
      <w:pPr>
        <w:pStyle w:val="BodyText"/>
        <w:jc w:val="left"/>
        <w:rPr>
          <w:rFonts w:asciiTheme="majorBidi" w:hAnsiTheme="majorBidi" w:cstheme="majorBidi"/>
          <w:b w:val="0"/>
          <w:szCs w:val="22"/>
        </w:rPr>
      </w:pPr>
      <w:r>
        <w:rPr>
          <w:rFonts w:asciiTheme="majorBidi" w:hAnsiTheme="majorBidi" w:cstheme="majorBidi"/>
          <w:b w:val="0"/>
          <w:szCs w:val="22"/>
        </w:rPr>
        <w:t>Notes</w:t>
      </w:r>
    </w:p>
    <w:p w:rsidR="002409A0" w:rsidRPr="00A60452" w:rsidRDefault="008844D8" w:rsidP="00D8793C">
      <w:pPr>
        <w:pStyle w:val="BodyText"/>
        <w:jc w:val="left"/>
        <w:rPr>
          <w:rFonts w:asciiTheme="majorBidi" w:hAnsiTheme="majorBidi" w:cstheme="majorBidi"/>
          <w:b w:val="0"/>
          <w:szCs w:val="22"/>
        </w:rPr>
      </w:pPr>
      <w:r>
        <w:rPr>
          <w:rFonts w:asciiTheme="majorBidi" w:hAnsiTheme="majorBidi" w:cstheme="majorBidi"/>
          <w:b w:val="0"/>
          <w:szCs w:val="22"/>
        </w:rPr>
        <w:t>1.</w:t>
      </w:r>
      <w:r>
        <w:rPr>
          <w:rFonts w:asciiTheme="majorBidi" w:hAnsiTheme="majorBidi" w:cstheme="majorBidi"/>
          <w:b w:val="0"/>
          <w:szCs w:val="22"/>
        </w:rPr>
        <w:tab/>
        <w:t xml:space="preserve">Interest (D41) on deposits and loans refers to SNA interest in the allocation of primary account and actual interest in the </w:t>
      </w:r>
      <w:r w:rsidRPr="008844D8">
        <w:rPr>
          <w:rFonts w:asciiTheme="majorBidi" w:hAnsiTheme="majorBidi" w:cstheme="majorBidi"/>
          <w:b w:val="0"/>
          <w:szCs w:val="22"/>
        </w:rPr>
        <w:t>financial</w:t>
      </w:r>
      <w:r>
        <w:rPr>
          <w:rFonts w:asciiTheme="majorBidi" w:hAnsiTheme="majorBidi" w:cstheme="majorBidi"/>
          <w:b w:val="0"/>
          <w:szCs w:val="22"/>
        </w:rPr>
        <w:t xml:space="preserve"> </w:t>
      </w:r>
      <w:r w:rsidRPr="008844D8">
        <w:rPr>
          <w:rFonts w:asciiTheme="majorBidi" w:hAnsiTheme="majorBidi" w:cstheme="majorBidi"/>
          <w:b w:val="0"/>
          <w:szCs w:val="22"/>
        </w:rPr>
        <w:t>account</w:t>
      </w:r>
      <w:r>
        <w:rPr>
          <w:rFonts w:asciiTheme="majorBidi" w:hAnsiTheme="majorBidi" w:cstheme="majorBidi"/>
          <w:b w:val="0"/>
          <w:szCs w:val="22"/>
        </w:rPr>
        <w:t>.</w:t>
      </w:r>
    </w:p>
    <w:sectPr w:rsidR="002409A0" w:rsidRPr="00A60452" w:rsidSect="008413B5">
      <w:headerReference w:type="default" r:id="rId8"/>
      <w:footerReference w:type="even" r:id="rId9"/>
      <w:footerReference w:type="default" r:id="rId10"/>
      <w:endnotePr>
        <w:numRestart w:val="eachSect"/>
      </w:endnotePr>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CBD" w:rsidRDefault="002A6CBD">
      <w:r>
        <w:separator/>
      </w:r>
    </w:p>
  </w:endnote>
  <w:endnote w:type="continuationSeparator" w:id="0">
    <w:p w:rsidR="002A6CBD" w:rsidRDefault="002A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BB" w:rsidRDefault="006760BB" w:rsidP="000A6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60BB" w:rsidRDefault="006760BB" w:rsidP="007D34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BB" w:rsidRPr="00E4607A" w:rsidRDefault="006760BB" w:rsidP="000A6B4C">
    <w:pPr>
      <w:pStyle w:val="Footer"/>
      <w:framePr w:wrap="around" w:vAnchor="text" w:hAnchor="margin" w:xAlign="right" w:y="1"/>
      <w:rPr>
        <w:rStyle w:val="PageNumber"/>
        <w:rFonts w:ascii="Times New Roman" w:hAnsi="Times New Roman"/>
      </w:rPr>
    </w:pPr>
    <w:r w:rsidRPr="00E4607A">
      <w:rPr>
        <w:rStyle w:val="PageNumber"/>
        <w:rFonts w:ascii="Times New Roman" w:hAnsi="Times New Roman"/>
      </w:rPr>
      <w:fldChar w:fldCharType="begin"/>
    </w:r>
    <w:r w:rsidRPr="00E4607A">
      <w:rPr>
        <w:rStyle w:val="PageNumber"/>
        <w:rFonts w:ascii="Times New Roman" w:hAnsi="Times New Roman"/>
      </w:rPr>
      <w:instrText xml:space="preserve">PAGE  </w:instrText>
    </w:r>
    <w:r w:rsidRPr="00E4607A">
      <w:rPr>
        <w:rStyle w:val="PageNumber"/>
        <w:rFonts w:ascii="Times New Roman" w:hAnsi="Times New Roman"/>
      </w:rPr>
      <w:fldChar w:fldCharType="separate"/>
    </w:r>
    <w:r w:rsidR="004C74D3">
      <w:rPr>
        <w:rStyle w:val="PageNumber"/>
        <w:rFonts w:ascii="Times New Roman" w:hAnsi="Times New Roman"/>
        <w:noProof/>
      </w:rPr>
      <w:t>8</w:t>
    </w:r>
    <w:r w:rsidRPr="00E4607A">
      <w:rPr>
        <w:rStyle w:val="PageNumber"/>
        <w:rFonts w:ascii="Times New Roman" w:hAnsi="Times New Roman"/>
      </w:rPr>
      <w:fldChar w:fldCharType="end"/>
    </w:r>
  </w:p>
  <w:p w:rsidR="006760BB" w:rsidRPr="00600753" w:rsidRDefault="006760BB" w:rsidP="00054882">
    <w:pPr>
      <w:pStyle w:val="Footer"/>
      <w:ind w:right="360"/>
      <w:rPr>
        <w:rFonts w:ascii="Times New Roman" w:hAnsi="Times New Roman"/>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CBD" w:rsidRDefault="002A6CBD">
      <w:r>
        <w:separator/>
      </w:r>
    </w:p>
  </w:footnote>
  <w:footnote w:type="continuationSeparator" w:id="0">
    <w:p w:rsidR="002A6CBD" w:rsidRDefault="002A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BB" w:rsidRPr="005B5EB8" w:rsidRDefault="006760BB" w:rsidP="00054882">
    <w:pPr>
      <w:pStyle w:val="Header"/>
      <w:tabs>
        <w:tab w:val="clear" w:pos="8640"/>
      </w:tabs>
      <w:rPr>
        <w:rFonts w:ascii="Times New Roman" w:hAnsi="Times New Roman"/>
        <w:sz w:val="24"/>
        <w:szCs w:val="24"/>
      </w:rPr>
    </w:pPr>
    <w:r>
      <w:rPr>
        <w:rFonts w:ascii="Times New Roman" w:hAnsi="Times New Roman"/>
        <w:b/>
        <w:sz w:val="24"/>
        <w:szCs w:val="24"/>
      </w:rPr>
      <w:t>Classification of Islamic financial instruments</w:t>
    </w:r>
    <w:r w:rsidR="00D62E74">
      <w:rPr>
        <w:rFonts w:ascii="Times New Roman" w:hAnsi="Times New Roman"/>
        <w:b/>
        <w:sz w:val="24"/>
        <w:szCs w:val="24"/>
      </w:rPr>
      <w:t xml:space="preserve"> and corresponding property income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015301A8"/>
    <w:multiLevelType w:val="hybridMultilevel"/>
    <w:tmpl w:val="5F12A8B8"/>
    <w:lvl w:ilvl="0" w:tplc="FCF27642">
      <w:start w:val="2"/>
      <w:numFmt w:val="bullet"/>
      <w:lvlText w:val="-"/>
      <w:lvlJc w:val="left"/>
      <w:pPr>
        <w:ind w:left="360" w:hanging="360"/>
      </w:pPr>
      <w:rPr>
        <w:rFonts w:ascii="Calibri" w:eastAsia="Calibri" w:hAnsi="Calibri"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151B15"/>
    <w:multiLevelType w:val="hybridMultilevel"/>
    <w:tmpl w:val="3DE29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564FD"/>
    <w:multiLevelType w:val="hybridMultilevel"/>
    <w:tmpl w:val="28C6B898"/>
    <w:lvl w:ilvl="0" w:tplc="0409000F">
      <w:start w:val="1"/>
      <w:numFmt w:val="decimal"/>
      <w:lvlText w:val="%1."/>
      <w:lvlJc w:val="left"/>
      <w:pPr>
        <w:tabs>
          <w:tab w:val="num" w:pos="720"/>
        </w:tabs>
        <w:ind w:left="720" w:hanging="360"/>
      </w:pPr>
      <w:rPr>
        <w:rFonts w:hint="default"/>
      </w:rPr>
    </w:lvl>
    <w:lvl w:ilvl="1" w:tplc="ABE28600">
      <w:start w:val="2"/>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A528BE"/>
    <w:multiLevelType w:val="multilevel"/>
    <w:tmpl w:val="30ACB9F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704564"/>
    <w:multiLevelType w:val="hybridMultilevel"/>
    <w:tmpl w:val="6ECAAD48"/>
    <w:lvl w:ilvl="0" w:tplc="0409000F">
      <w:start w:val="1"/>
      <w:numFmt w:val="decimal"/>
      <w:lvlText w:val="%1."/>
      <w:lvlJc w:val="left"/>
      <w:pPr>
        <w:tabs>
          <w:tab w:val="num" w:pos="720"/>
        </w:tabs>
        <w:ind w:left="720" w:hanging="360"/>
      </w:pPr>
      <w:rPr>
        <w:rFonts w:hint="default"/>
      </w:rPr>
    </w:lvl>
    <w:lvl w:ilvl="1" w:tplc="2AFC8C46">
      <w:start w:val="4"/>
      <w:numFmt w:val="bullet"/>
      <w:lvlText w:val=""/>
      <w:lvlJc w:val="left"/>
      <w:pPr>
        <w:tabs>
          <w:tab w:val="num" w:pos="1440"/>
        </w:tabs>
        <w:ind w:left="1440" w:hanging="360"/>
      </w:pPr>
      <w:rPr>
        <w:rFonts w:ascii="Wingdings" w:eastAsia="Times New Roman" w:hAnsi="Wingdings" w:cs="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B57BDD"/>
    <w:multiLevelType w:val="hybridMultilevel"/>
    <w:tmpl w:val="3D007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DA5AB7"/>
    <w:multiLevelType w:val="hybridMultilevel"/>
    <w:tmpl w:val="FBDA9E1A"/>
    <w:lvl w:ilvl="0" w:tplc="8D906C9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9D53B9"/>
    <w:multiLevelType w:val="hybridMultilevel"/>
    <w:tmpl w:val="32961DA2"/>
    <w:lvl w:ilvl="0" w:tplc="ABE28600">
      <w:start w:val="2"/>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FF795C"/>
    <w:multiLevelType w:val="hybridMultilevel"/>
    <w:tmpl w:val="138C6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E107CC"/>
    <w:multiLevelType w:val="hybridMultilevel"/>
    <w:tmpl w:val="9F0C3F2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BB514C"/>
    <w:multiLevelType w:val="hybridMultilevel"/>
    <w:tmpl w:val="E21E4208"/>
    <w:lvl w:ilvl="0" w:tplc="6C7EAF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A85973"/>
    <w:multiLevelType w:val="hybridMultilevel"/>
    <w:tmpl w:val="956014C8"/>
    <w:lvl w:ilvl="0" w:tplc="5DE80198">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704B7"/>
    <w:multiLevelType w:val="hybridMultilevel"/>
    <w:tmpl w:val="EB8CF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6C2B8C"/>
    <w:multiLevelType w:val="hybridMultilevel"/>
    <w:tmpl w:val="AC8CF998"/>
    <w:lvl w:ilvl="0" w:tplc="ABE28600">
      <w:start w:val="2"/>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2E106E"/>
    <w:multiLevelType w:val="hybridMultilevel"/>
    <w:tmpl w:val="02CE1B70"/>
    <w:lvl w:ilvl="0" w:tplc="0746427C">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6" w15:restartNumberingAfterBreak="0">
    <w:nsid w:val="34B23E9F"/>
    <w:multiLevelType w:val="hybridMultilevel"/>
    <w:tmpl w:val="08B8F378"/>
    <w:lvl w:ilvl="0" w:tplc="B9B6091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33AC1"/>
    <w:multiLevelType w:val="hybridMultilevel"/>
    <w:tmpl w:val="574428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37B33"/>
    <w:multiLevelType w:val="hybridMultilevel"/>
    <w:tmpl w:val="9500BDC2"/>
    <w:lvl w:ilvl="0" w:tplc="93161C22">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7312A"/>
    <w:multiLevelType w:val="hybridMultilevel"/>
    <w:tmpl w:val="BD8E75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F4434"/>
    <w:multiLevelType w:val="hybridMultilevel"/>
    <w:tmpl w:val="7674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37CD7"/>
    <w:multiLevelType w:val="hybridMultilevel"/>
    <w:tmpl w:val="C4D840E6"/>
    <w:lvl w:ilvl="0" w:tplc="1F2649D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E0ADF"/>
    <w:multiLevelType w:val="hybridMultilevel"/>
    <w:tmpl w:val="11540914"/>
    <w:lvl w:ilvl="0" w:tplc="DB922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9F5BB1"/>
    <w:multiLevelType w:val="hybridMultilevel"/>
    <w:tmpl w:val="D49E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94AE2"/>
    <w:multiLevelType w:val="hybridMultilevel"/>
    <w:tmpl w:val="C6D20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1A167E"/>
    <w:multiLevelType w:val="hybridMultilevel"/>
    <w:tmpl w:val="E020AB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F522DA"/>
    <w:multiLevelType w:val="hybridMultilevel"/>
    <w:tmpl w:val="B1520AFA"/>
    <w:lvl w:ilvl="0" w:tplc="8BEEA7AA">
      <w:start w:val="1"/>
      <w:numFmt w:val="upperRoman"/>
      <w:lvlText w:val="%1."/>
      <w:lvlJc w:val="left"/>
      <w:pPr>
        <w:tabs>
          <w:tab w:val="num" w:pos="1080"/>
        </w:tabs>
        <w:ind w:left="1080" w:hanging="720"/>
      </w:pPr>
      <w:rPr>
        <w:rFonts w:hint="default"/>
        <w:b/>
      </w:rPr>
    </w:lvl>
    <w:lvl w:ilvl="1" w:tplc="85CA3768">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9B7709"/>
    <w:multiLevelType w:val="hybridMultilevel"/>
    <w:tmpl w:val="DE82B4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3159EE"/>
    <w:multiLevelType w:val="hybridMultilevel"/>
    <w:tmpl w:val="8FF65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4851A18"/>
    <w:multiLevelType w:val="hybridMultilevel"/>
    <w:tmpl w:val="3350CF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91442D"/>
    <w:multiLevelType w:val="hybridMultilevel"/>
    <w:tmpl w:val="455078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090E39"/>
    <w:multiLevelType w:val="hybridMultilevel"/>
    <w:tmpl w:val="CBFC1D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F23002"/>
    <w:multiLevelType w:val="hybridMultilevel"/>
    <w:tmpl w:val="4B126252"/>
    <w:lvl w:ilvl="0" w:tplc="927AEA54">
      <w:start w:val="1"/>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672E1E"/>
    <w:multiLevelType w:val="hybridMultilevel"/>
    <w:tmpl w:val="7974C87C"/>
    <w:lvl w:ilvl="0" w:tplc="DAD263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EF51A1"/>
    <w:multiLevelType w:val="hybridMultilevel"/>
    <w:tmpl w:val="9C0AAFD6"/>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4"/>
  </w:num>
  <w:num w:numId="11">
    <w:abstractNumId w:val="29"/>
  </w:num>
  <w:num w:numId="12">
    <w:abstractNumId w:val="32"/>
  </w:num>
  <w:num w:numId="13">
    <w:abstractNumId w:val="15"/>
  </w:num>
  <w:num w:numId="14">
    <w:abstractNumId w:val="35"/>
  </w:num>
  <w:num w:numId="15">
    <w:abstractNumId w:val="30"/>
  </w:num>
  <w:num w:numId="16">
    <w:abstractNumId w:val="22"/>
  </w:num>
  <w:num w:numId="17">
    <w:abstractNumId w:val="25"/>
  </w:num>
  <w:num w:numId="18">
    <w:abstractNumId w:val="3"/>
  </w:num>
  <w:num w:numId="19">
    <w:abstractNumId w:val="8"/>
  </w:num>
  <w:num w:numId="20">
    <w:abstractNumId w:val="14"/>
  </w:num>
  <w:num w:numId="21">
    <w:abstractNumId w:val="11"/>
  </w:num>
  <w:num w:numId="22">
    <w:abstractNumId w:val="6"/>
  </w:num>
  <w:num w:numId="23">
    <w:abstractNumId w:val="28"/>
  </w:num>
  <w:num w:numId="24">
    <w:abstractNumId w:val="24"/>
  </w:num>
  <w:num w:numId="25">
    <w:abstractNumId w:val="5"/>
  </w:num>
  <w:num w:numId="26">
    <w:abstractNumId w:val="2"/>
  </w:num>
  <w:num w:numId="27">
    <w:abstractNumId w:val="13"/>
  </w:num>
  <w:num w:numId="28">
    <w:abstractNumId w:val="27"/>
  </w:num>
  <w:num w:numId="29">
    <w:abstractNumId w:val="19"/>
  </w:num>
  <w:num w:numId="30">
    <w:abstractNumId w:val="36"/>
  </w:num>
  <w:num w:numId="31">
    <w:abstractNumId w:val="10"/>
  </w:num>
  <w:num w:numId="32">
    <w:abstractNumId w:val="17"/>
  </w:num>
  <w:num w:numId="33">
    <w:abstractNumId w:val="31"/>
  </w:num>
  <w:num w:numId="34">
    <w:abstractNumId w:val="9"/>
  </w:num>
  <w:num w:numId="35">
    <w:abstractNumId w:val="26"/>
  </w:num>
  <w:num w:numId="36">
    <w:abstractNumId w:val="7"/>
  </w:num>
  <w:num w:numId="37">
    <w:abstractNumId w:val="4"/>
  </w:num>
  <w:num w:numId="38">
    <w:abstractNumId w:val="1"/>
  </w:num>
  <w:num w:numId="39">
    <w:abstractNumId w:val="20"/>
  </w:num>
  <w:num w:numId="40">
    <w:abstractNumId w:val="23"/>
  </w:num>
  <w:num w:numId="41">
    <w:abstractNumId w:val="21"/>
  </w:num>
  <w:num w:numId="42">
    <w:abstractNumId w:val="12"/>
  </w:num>
  <w:num w:numId="43">
    <w:abstractNumId w:val="18"/>
  </w:num>
  <w:num w:numId="44">
    <w:abstractNumId w:val="3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Pr>
  <w:endnotePr>
    <w:numRestart w:val="eachSect"/>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1CE"/>
    <w:rsid w:val="00000061"/>
    <w:rsid w:val="00001783"/>
    <w:rsid w:val="00002073"/>
    <w:rsid w:val="000028C3"/>
    <w:rsid w:val="00003162"/>
    <w:rsid w:val="0000321C"/>
    <w:rsid w:val="00003C05"/>
    <w:rsid w:val="000061E4"/>
    <w:rsid w:val="00006698"/>
    <w:rsid w:val="00007A29"/>
    <w:rsid w:val="000114C0"/>
    <w:rsid w:val="00011B5A"/>
    <w:rsid w:val="0001322E"/>
    <w:rsid w:val="0001340B"/>
    <w:rsid w:val="00013E60"/>
    <w:rsid w:val="00013FB5"/>
    <w:rsid w:val="00014593"/>
    <w:rsid w:val="0001475B"/>
    <w:rsid w:val="00014ACD"/>
    <w:rsid w:val="00015726"/>
    <w:rsid w:val="0001644D"/>
    <w:rsid w:val="00016647"/>
    <w:rsid w:val="000176F7"/>
    <w:rsid w:val="00017BD9"/>
    <w:rsid w:val="00017C52"/>
    <w:rsid w:val="0002018A"/>
    <w:rsid w:val="0002118C"/>
    <w:rsid w:val="00021720"/>
    <w:rsid w:val="000217C9"/>
    <w:rsid w:val="000220AC"/>
    <w:rsid w:val="00022EF6"/>
    <w:rsid w:val="00023AB3"/>
    <w:rsid w:val="00024CC1"/>
    <w:rsid w:val="00025002"/>
    <w:rsid w:val="00030080"/>
    <w:rsid w:val="00030276"/>
    <w:rsid w:val="0003078A"/>
    <w:rsid w:val="000319B1"/>
    <w:rsid w:val="00031BF2"/>
    <w:rsid w:val="00032097"/>
    <w:rsid w:val="00032D82"/>
    <w:rsid w:val="00032E72"/>
    <w:rsid w:val="000330B7"/>
    <w:rsid w:val="000339EF"/>
    <w:rsid w:val="00033FFE"/>
    <w:rsid w:val="0003782D"/>
    <w:rsid w:val="000421F2"/>
    <w:rsid w:val="0004359F"/>
    <w:rsid w:val="000437DC"/>
    <w:rsid w:val="000468DF"/>
    <w:rsid w:val="000505A1"/>
    <w:rsid w:val="00051262"/>
    <w:rsid w:val="00051575"/>
    <w:rsid w:val="0005178F"/>
    <w:rsid w:val="00051A5E"/>
    <w:rsid w:val="000537F9"/>
    <w:rsid w:val="00053A34"/>
    <w:rsid w:val="0005439C"/>
    <w:rsid w:val="00054882"/>
    <w:rsid w:val="00054C2A"/>
    <w:rsid w:val="00056E04"/>
    <w:rsid w:val="00056F1A"/>
    <w:rsid w:val="00060C7E"/>
    <w:rsid w:val="00063F54"/>
    <w:rsid w:val="0006503E"/>
    <w:rsid w:val="00065C4F"/>
    <w:rsid w:val="00065F38"/>
    <w:rsid w:val="000672D3"/>
    <w:rsid w:val="0006780E"/>
    <w:rsid w:val="000702D0"/>
    <w:rsid w:val="00073117"/>
    <w:rsid w:val="00074832"/>
    <w:rsid w:val="0007541C"/>
    <w:rsid w:val="00076098"/>
    <w:rsid w:val="00077D0E"/>
    <w:rsid w:val="00077F92"/>
    <w:rsid w:val="000807A4"/>
    <w:rsid w:val="000827D8"/>
    <w:rsid w:val="00082ACB"/>
    <w:rsid w:val="00082FE1"/>
    <w:rsid w:val="000831A3"/>
    <w:rsid w:val="00083D29"/>
    <w:rsid w:val="00085A3C"/>
    <w:rsid w:val="00085EC3"/>
    <w:rsid w:val="00086B84"/>
    <w:rsid w:val="0008711B"/>
    <w:rsid w:val="00087BCB"/>
    <w:rsid w:val="00087CA1"/>
    <w:rsid w:val="00090245"/>
    <w:rsid w:val="00090A57"/>
    <w:rsid w:val="00090ACA"/>
    <w:rsid w:val="000916B0"/>
    <w:rsid w:val="0009303C"/>
    <w:rsid w:val="00093092"/>
    <w:rsid w:val="00093326"/>
    <w:rsid w:val="0009375D"/>
    <w:rsid w:val="00094129"/>
    <w:rsid w:val="00094243"/>
    <w:rsid w:val="000943D5"/>
    <w:rsid w:val="000946E8"/>
    <w:rsid w:val="000947F4"/>
    <w:rsid w:val="0009660D"/>
    <w:rsid w:val="00096DB9"/>
    <w:rsid w:val="00097735"/>
    <w:rsid w:val="00097947"/>
    <w:rsid w:val="00097C47"/>
    <w:rsid w:val="000A27F4"/>
    <w:rsid w:val="000A32E8"/>
    <w:rsid w:val="000A3ADA"/>
    <w:rsid w:val="000A3DCA"/>
    <w:rsid w:val="000A4119"/>
    <w:rsid w:val="000A42A8"/>
    <w:rsid w:val="000A4906"/>
    <w:rsid w:val="000A525E"/>
    <w:rsid w:val="000A549F"/>
    <w:rsid w:val="000A6409"/>
    <w:rsid w:val="000A6B4C"/>
    <w:rsid w:val="000A78A4"/>
    <w:rsid w:val="000B2C91"/>
    <w:rsid w:val="000B4409"/>
    <w:rsid w:val="000B5900"/>
    <w:rsid w:val="000B5BE4"/>
    <w:rsid w:val="000B7A21"/>
    <w:rsid w:val="000B7C6D"/>
    <w:rsid w:val="000C0904"/>
    <w:rsid w:val="000C0D68"/>
    <w:rsid w:val="000C28D1"/>
    <w:rsid w:val="000C2949"/>
    <w:rsid w:val="000C2979"/>
    <w:rsid w:val="000C2E58"/>
    <w:rsid w:val="000C30A1"/>
    <w:rsid w:val="000C323D"/>
    <w:rsid w:val="000C3A2B"/>
    <w:rsid w:val="000C474E"/>
    <w:rsid w:val="000C4814"/>
    <w:rsid w:val="000C4E04"/>
    <w:rsid w:val="000C53A7"/>
    <w:rsid w:val="000C5525"/>
    <w:rsid w:val="000C5A95"/>
    <w:rsid w:val="000C5FBC"/>
    <w:rsid w:val="000C62D6"/>
    <w:rsid w:val="000C66D7"/>
    <w:rsid w:val="000C78BC"/>
    <w:rsid w:val="000C7CC0"/>
    <w:rsid w:val="000D08EF"/>
    <w:rsid w:val="000D1BD1"/>
    <w:rsid w:val="000D1F88"/>
    <w:rsid w:val="000D522A"/>
    <w:rsid w:val="000D5A49"/>
    <w:rsid w:val="000D5D64"/>
    <w:rsid w:val="000D69A3"/>
    <w:rsid w:val="000D7C6C"/>
    <w:rsid w:val="000E0E9B"/>
    <w:rsid w:val="000E348B"/>
    <w:rsid w:val="000E3B5A"/>
    <w:rsid w:val="000E4CAE"/>
    <w:rsid w:val="000E4F66"/>
    <w:rsid w:val="000E5CDA"/>
    <w:rsid w:val="000E6EA7"/>
    <w:rsid w:val="000E7236"/>
    <w:rsid w:val="000E76F5"/>
    <w:rsid w:val="000F0C41"/>
    <w:rsid w:val="000F256A"/>
    <w:rsid w:val="000F278F"/>
    <w:rsid w:val="000F30EE"/>
    <w:rsid w:val="000F404C"/>
    <w:rsid w:val="000F53DA"/>
    <w:rsid w:val="000F7256"/>
    <w:rsid w:val="000F766E"/>
    <w:rsid w:val="001003D6"/>
    <w:rsid w:val="00102C36"/>
    <w:rsid w:val="00103A12"/>
    <w:rsid w:val="0010471A"/>
    <w:rsid w:val="00107020"/>
    <w:rsid w:val="001075FE"/>
    <w:rsid w:val="00110D97"/>
    <w:rsid w:val="00111DC1"/>
    <w:rsid w:val="00112435"/>
    <w:rsid w:val="00112D0C"/>
    <w:rsid w:val="00117526"/>
    <w:rsid w:val="00117746"/>
    <w:rsid w:val="0011790A"/>
    <w:rsid w:val="00117B1B"/>
    <w:rsid w:val="001206CB"/>
    <w:rsid w:val="001212ED"/>
    <w:rsid w:val="00122066"/>
    <w:rsid w:val="0012361F"/>
    <w:rsid w:val="0012525E"/>
    <w:rsid w:val="00125EE6"/>
    <w:rsid w:val="001268B5"/>
    <w:rsid w:val="00127AAD"/>
    <w:rsid w:val="00132992"/>
    <w:rsid w:val="00133943"/>
    <w:rsid w:val="00134A33"/>
    <w:rsid w:val="00135FD8"/>
    <w:rsid w:val="00140178"/>
    <w:rsid w:val="0014323D"/>
    <w:rsid w:val="00143A45"/>
    <w:rsid w:val="001443AF"/>
    <w:rsid w:val="001456EA"/>
    <w:rsid w:val="00146DE2"/>
    <w:rsid w:val="001472DF"/>
    <w:rsid w:val="00147BFF"/>
    <w:rsid w:val="0015034B"/>
    <w:rsid w:val="00151996"/>
    <w:rsid w:val="00152737"/>
    <w:rsid w:val="001537E4"/>
    <w:rsid w:val="00154EBB"/>
    <w:rsid w:val="0015511B"/>
    <w:rsid w:val="00156DA5"/>
    <w:rsid w:val="00161737"/>
    <w:rsid w:val="00161D18"/>
    <w:rsid w:val="00165131"/>
    <w:rsid w:val="0016543F"/>
    <w:rsid w:val="001657F1"/>
    <w:rsid w:val="00166DC3"/>
    <w:rsid w:val="00166E56"/>
    <w:rsid w:val="001672A7"/>
    <w:rsid w:val="001708C3"/>
    <w:rsid w:val="00171275"/>
    <w:rsid w:val="00171836"/>
    <w:rsid w:val="00172EAD"/>
    <w:rsid w:val="00174C31"/>
    <w:rsid w:val="00174D00"/>
    <w:rsid w:val="00174F42"/>
    <w:rsid w:val="001763A9"/>
    <w:rsid w:val="00180C6A"/>
    <w:rsid w:val="00181CAE"/>
    <w:rsid w:val="00182A29"/>
    <w:rsid w:val="00182AFC"/>
    <w:rsid w:val="00185A58"/>
    <w:rsid w:val="00186CCB"/>
    <w:rsid w:val="001873F4"/>
    <w:rsid w:val="00191B2B"/>
    <w:rsid w:val="00191E4E"/>
    <w:rsid w:val="001921F9"/>
    <w:rsid w:val="0019747E"/>
    <w:rsid w:val="00197E0F"/>
    <w:rsid w:val="001A05CD"/>
    <w:rsid w:val="001A620B"/>
    <w:rsid w:val="001A73F6"/>
    <w:rsid w:val="001B00AA"/>
    <w:rsid w:val="001B03B8"/>
    <w:rsid w:val="001B077C"/>
    <w:rsid w:val="001B138C"/>
    <w:rsid w:val="001B154A"/>
    <w:rsid w:val="001B3F60"/>
    <w:rsid w:val="001B4400"/>
    <w:rsid w:val="001B4F59"/>
    <w:rsid w:val="001B6FB4"/>
    <w:rsid w:val="001B74FE"/>
    <w:rsid w:val="001C006C"/>
    <w:rsid w:val="001C1556"/>
    <w:rsid w:val="001C197D"/>
    <w:rsid w:val="001C2A3C"/>
    <w:rsid w:val="001C5A32"/>
    <w:rsid w:val="001C66CF"/>
    <w:rsid w:val="001C6812"/>
    <w:rsid w:val="001C6C51"/>
    <w:rsid w:val="001D00F2"/>
    <w:rsid w:val="001D0C13"/>
    <w:rsid w:val="001D195C"/>
    <w:rsid w:val="001D2329"/>
    <w:rsid w:val="001D2DE3"/>
    <w:rsid w:val="001D3627"/>
    <w:rsid w:val="001D3B9B"/>
    <w:rsid w:val="001D3BB3"/>
    <w:rsid w:val="001E03D7"/>
    <w:rsid w:val="001E0C5E"/>
    <w:rsid w:val="001E1479"/>
    <w:rsid w:val="001E17F5"/>
    <w:rsid w:val="001E1FB3"/>
    <w:rsid w:val="001E31DD"/>
    <w:rsid w:val="001E3251"/>
    <w:rsid w:val="001E3347"/>
    <w:rsid w:val="001E3B9E"/>
    <w:rsid w:val="001E432C"/>
    <w:rsid w:val="001E57BF"/>
    <w:rsid w:val="001E5862"/>
    <w:rsid w:val="001E73C9"/>
    <w:rsid w:val="001E7D0C"/>
    <w:rsid w:val="001E7F38"/>
    <w:rsid w:val="001F2A5E"/>
    <w:rsid w:val="001F341E"/>
    <w:rsid w:val="001F3BDE"/>
    <w:rsid w:val="001F4BC8"/>
    <w:rsid w:val="001F4CAC"/>
    <w:rsid w:val="001F5AB0"/>
    <w:rsid w:val="001F5AD6"/>
    <w:rsid w:val="001F6C9A"/>
    <w:rsid w:val="001F78C6"/>
    <w:rsid w:val="001F7B24"/>
    <w:rsid w:val="002005CB"/>
    <w:rsid w:val="00200DAA"/>
    <w:rsid w:val="00200E44"/>
    <w:rsid w:val="00201999"/>
    <w:rsid w:val="0020215E"/>
    <w:rsid w:val="00202C34"/>
    <w:rsid w:val="002036A1"/>
    <w:rsid w:val="00203B42"/>
    <w:rsid w:val="00204031"/>
    <w:rsid w:val="00204A06"/>
    <w:rsid w:val="002061F2"/>
    <w:rsid w:val="00206C8D"/>
    <w:rsid w:val="00207223"/>
    <w:rsid w:val="002104ED"/>
    <w:rsid w:val="00211604"/>
    <w:rsid w:val="0021394A"/>
    <w:rsid w:val="00213CBD"/>
    <w:rsid w:val="00214109"/>
    <w:rsid w:val="002161E9"/>
    <w:rsid w:val="00217A09"/>
    <w:rsid w:val="0022147C"/>
    <w:rsid w:val="00222EB1"/>
    <w:rsid w:val="00223D24"/>
    <w:rsid w:val="0022426E"/>
    <w:rsid w:val="00225DD3"/>
    <w:rsid w:val="00230678"/>
    <w:rsid w:val="00230C38"/>
    <w:rsid w:val="00231362"/>
    <w:rsid w:val="00234E27"/>
    <w:rsid w:val="0023515A"/>
    <w:rsid w:val="00235357"/>
    <w:rsid w:val="00235AF4"/>
    <w:rsid w:val="002378D7"/>
    <w:rsid w:val="002403DC"/>
    <w:rsid w:val="002409A0"/>
    <w:rsid w:val="00241541"/>
    <w:rsid w:val="002415BF"/>
    <w:rsid w:val="00241C25"/>
    <w:rsid w:val="002432E4"/>
    <w:rsid w:val="002439BC"/>
    <w:rsid w:val="0024452E"/>
    <w:rsid w:val="002446E8"/>
    <w:rsid w:val="00244DA4"/>
    <w:rsid w:val="00245089"/>
    <w:rsid w:val="00246938"/>
    <w:rsid w:val="00246C61"/>
    <w:rsid w:val="00252541"/>
    <w:rsid w:val="0025261B"/>
    <w:rsid w:val="00252866"/>
    <w:rsid w:val="0025438B"/>
    <w:rsid w:val="0025652D"/>
    <w:rsid w:val="002568D7"/>
    <w:rsid w:val="00256EBF"/>
    <w:rsid w:val="00260A3D"/>
    <w:rsid w:val="00261404"/>
    <w:rsid w:val="00261671"/>
    <w:rsid w:val="00262164"/>
    <w:rsid w:val="00263E36"/>
    <w:rsid w:val="00264062"/>
    <w:rsid w:val="00265C59"/>
    <w:rsid w:val="002717AF"/>
    <w:rsid w:val="002721DD"/>
    <w:rsid w:val="002725F5"/>
    <w:rsid w:val="00273068"/>
    <w:rsid w:val="002734D7"/>
    <w:rsid w:val="00274933"/>
    <w:rsid w:val="00274D91"/>
    <w:rsid w:val="00275A15"/>
    <w:rsid w:val="0028016D"/>
    <w:rsid w:val="0028140E"/>
    <w:rsid w:val="00281ABA"/>
    <w:rsid w:val="00282529"/>
    <w:rsid w:val="00283B20"/>
    <w:rsid w:val="00283F36"/>
    <w:rsid w:val="002840C6"/>
    <w:rsid w:val="00284789"/>
    <w:rsid w:val="00284BBA"/>
    <w:rsid w:val="00285EEC"/>
    <w:rsid w:val="002860E8"/>
    <w:rsid w:val="00286988"/>
    <w:rsid w:val="00290928"/>
    <w:rsid w:val="00291782"/>
    <w:rsid w:val="002937E8"/>
    <w:rsid w:val="002943E7"/>
    <w:rsid w:val="00295957"/>
    <w:rsid w:val="00295B9C"/>
    <w:rsid w:val="00296FFA"/>
    <w:rsid w:val="002977FF"/>
    <w:rsid w:val="002A0A11"/>
    <w:rsid w:val="002A0AC3"/>
    <w:rsid w:val="002A1B28"/>
    <w:rsid w:val="002A1DA0"/>
    <w:rsid w:val="002A2A88"/>
    <w:rsid w:val="002A37CA"/>
    <w:rsid w:val="002A466F"/>
    <w:rsid w:val="002A614D"/>
    <w:rsid w:val="002A6A9B"/>
    <w:rsid w:val="002A6CBD"/>
    <w:rsid w:val="002B172A"/>
    <w:rsid w:val="002B21A0"/>
    <w:rsid w:val="002B4703"/>
    <w:rsid w:val="002B5976"/>
    <w:rsid w:val="002B5F55"/>
    <w:rsid w:val="002C0C0A"/>
    <w:rsid w:val="002C32EE"/>
    <w:rsid w:val="002C393E"/>
    <w:rsid w:val="002C41C7"/>
    <w:rsid w:val="002C4577"/>
    <w:rsid w:val="002C4BCE"/>
    <w:rsid w:val="002C61EE"/>
    <w:rsid w:val="002C626C"/>
    <w:rsid w:val="002D1F6D"/>
    <w:rsid w:val="002D24AE"/>
    <w:rsid w:val="002D27C7"/>
    <w:rsid w:val="002D2A46"/>
    <w:rsid w:val="002D35C2"/>
    <w:rsid w:val="002D3CD3"/>
    <w:rsid w:val="002D5D62"/>
    <w:rsid w:val="002D6CEF"/>
    <w:rsid w:val="002D70D8"/>
    <w:rsid w:val="002E3CEC"/>
    <w:rsid w:val="002E4110"/>
    <w:rsid w:val="002E44E1"/>
    <w:rsid w:val="002E5414"/>
    <w:rsid w:val="002E5793"/>
    <w:rsid w:val="002F1F7C"/>
    <w:rsid w:val="002F2381"/>
    <w:rsid w:val="002F2B17"/>
    <w:rsid w:val="002F37DC"/>
    <w:rsid w:val="002F3D3D"/>
    <w:rsid w:val="002F5242"/>
    <w:rsid w:val="002F674B"/>
    <w:rsid w:val="002F72DC"/>
    <w:rsid w:val="002F72F5"/>
    <w:rsid w:val="002F7CF5"/>
    <w:rsid w:val="00302357"/>
    <w:rsid w:val="0030267F"/>
    <w:rsid w:val="0030280E"/>
    <w:rsid w:val="00302CC7"/>
    <w:rsid w:val="0030304B"/>
    <w:rsid w:val="0030442D"/>
    <w:rsid w:val="00305AC8"/>
    <w:rsid w:val="00305F44"/>
    <w:rsid w:val="00306CAA"/>
    <w:rsid w:val="00307D11"/>
    <w:rsid w:val="00311B37"/>
    <w:rsid w:val="00313458"/>
    <w:rsid w:val="003134B6"/>
    <w:rsid w:val="00313A06"/>
    <w:rsid w:val="00313B00"/>
    <w:rsid w:val="00314E4A"/>
    <w:rsid w:val="00314ED3"/>
    <w:rsid w:val="0031554B"/>
    <w:rsid w:val="003159D3"/>
    <w:rsid w:val="00316FD6"/>
    <w:rsid w:val="00317382"/>
    <w:rsid w:val="00317728"/>
    <w:rsid w:val="00317916"/>
    <w:rsid w:val="00321650"/>
    <w:rsid w:val="00321AD8"/>
    <w:rsid w:val="00327115"/>
    <w:rsid w:val="0032725E"/>
    <w:rsid w:val="00327834"/>
    <w:rsid w:val="003278A6"/>
    <w:rsid w:val="00327D12"/>
    <w:rsid w:val="003302AE"/>
    <w:rsid w:val="00331650"/>
    <w:rsid w:val="003318AA"/>
    <w:rsid w:val="00331C2A"/>
    <w:rsid w:val="00332283"/>
    <w:rsid w:val="0033285C"/>
    <w:rsid w:val="0033325D"/>
    <w:rsid w:val="003345CF"/>
    <w:rsid w:val="00335564"/>
    <w:rsid w:val="00335C51"/>
    <w:rsid w:val="003369A8"/>
    <w:rsid w:val="00337AA0"/>
    <w:rsid w:val="00337DED"/>
    <w:rsid w:val="00337E06"/>
    <w:rsid w:val="00342D37"/>
    <w:rsid w:val="00342E54"/>
    <w:rsid w:val="00342F67"/>
    <w:rsid w:val="00343174"/>
    <w:rsid w:val="00343947"/>
    <w:rsid w:val="00344130"/>
    <w:rsid w:val="00344FDD"/>
    <w:rsid w:val="00345437"/>
    <w:rsid w:val="00345D50"/>
    <w:rsid w:val="0034668C"/>
    <w:rsid w:val="00346FC8"/>
    <w:rsid w:val="00346FFE"/>
    <w:rsid w:val="00347613"/>
    <w:rsid w:val="00350A96"/>
    <w:rsid w:val="00350BB0"/>
    <w:rsid w:val="00350E86"/>
    <w:rsid w:val="00351997"/>
    <w:rsid w:val="00351AE0"/>
    <w:rsid w:val="00352493"/>
    <w:rsid w:val="003533B1"/>
    <w:rsid w:val="00354182"/>
    <w:rsid w:val="003545F2"/>
    <w:rsid w:val="00357B46"/>
    <w:rsid w:val="0036036A"/>
    <w:rsid w:val="00360B25"/>
    <w:rsid w:val="00361133"/>
    <w:rsid w:val="00362306"/>
    <w:rsid w:val="003623C6"/>
    <w:rsid w:val="00362920"/>
    <w:rsid w:val="00362AF0"/>
    <w:rsid w:val="0036327B"/>
    <w:rsid w:val="00364A59"/>
    <w:rsid w:val="00365D5A"/>
    <w:rsid w:val="0036755A"/>
    <w:rsid w:val="0037017F"/>
    <w:rsid w:val="00370E7A"/>
    <w:rsid w:val="003710EA"/>
    <w:rsid w:val="00371E01"/>
    <w:rsid w:val="003723DE"/>
    <w:rsid w:val="00372A7A"/>
    <w:rsid w:val="0037380B"/>
    <w:rsid w:val="0037437B"/>
    <w:rsid w:val="00375422"/>
    <w:rsid w:val="0037550C"/>
    <w:rsid w:val="00375CDB"/>
    <w:rsid w:val="00376BA8"/>
    <w:rsid w:val="00377723"/>
    <w:rsid w:val="00380CA5"/>
    <w:rsid w:val="00380D1F"/>
    <w:rsid w:val="00381C57"/>
    <w:rsid w:val="0038218F"/>
    <w:rsid w:val="00382D2C"/>
    <w:rsid w:val="00384861"/>
    <w:rsid w:val="003878F1"/>
    <w:rsid w:val="00387D68"/>
    <w:rsid w:val="003903F7"/>
    <w:rsid w:val="00390536"/>
    <w:rsid w:val="00390766"/>
    <w:rsid w:val="00390CC3"/>
    <w:rsid w:val="0039154B"/>
    <w:rsid w:val="0039223E"/>
    <w:rsid w:val="00392372"/>
    <w:rsid w:val="0039241B"/>
    <w:rsid w:val="00395362"/>
    <w:rsid w:val="003957B6"/>
    <w:rsid w:val="00396553"/>
    <w:rsid w:val="00397945"/>
    <w:rsid w:val="003A1C59"/>
    <w:rsid w:val="003A20F0"/>
    <w:rsid w:val="003A30C9"/>
    <w:rsid w:val="003A38D1"/>
    <w:rsid w:val="003A4A03"/>
    <w:rsid w:val="003A4DA8"/>
    <w:rsid w:val="003A50C1"/>
    <w:rsid w:val="003A721E"/>
    <w:rsid w:val="003A7304"/>
    <w:rsid w:val="003A73C1"/>
    <w:rsid w:val="003B014D"/>
    <w:rsid w:val="003B1C77"/>
    <w:rsid w:val="003B426C"/>
    <w:rsid w:val="003B45FB"/>
    <w:rsid w:val="003C0679"/>
    <w:rsid w:val="003C0D65"/>
    <w:rsid w:val="003C1382"/>
    <w:rsid w:val="003C1540"/>
    <w:rsid w:val="003C1AE8"/>
    <w:rsid w:val="003C1B36"/>
    <w:rsid w:val="003C206A"/>
    <w:rsid w:val="003C2E47"/>
    <w:rsid w:val="003C4954"/>
    <w:rsid w:val="003C4BF5"/>
    <w:rsid w:val="003C7425"/>
    <w:rsid w:val="003C7B81"/>
    <w:rsid w:val="003D05B7"/>
    <w:rsid w:val="003D2A36"/>
    <w:rsid w:val="003D2A4C"/>
    <w:rsid w:val="003D2C46"/>
    <w:rsid w:val="003D3AF8"/>
    <w:rsid w:val="003D3B9A"/>
    <w:rsid w:val="003D3D2B"/>
    <w:rsid w:val="003D60E5"/>
    <w:rsid w:val="003D7379"/>
    <w:rsid w:val="003D7455"/>
    <w:rsid w:val="003D74EB"/>
    <w:rsid w:val="003D7CB8"/>
    <w:rsid w:val="003E04DF"/>
    <w:rsid w:val="003E0DE3"/>
    <w:rsid w:val="003E1492"/>
    <w:rsid w:val="003E27B8"/>
    <w:rsid w:val="003E4E15"/>
    <w:rsid w:val="003E60A9"/>
    <w:rsid w:val="003E63AB"/>
    <w:rsid w:val="003E6C4E"/>
    <w:rsid w:val="003E7938"/>
    <w:rsid w:val="003F07AB"/>
    <w:rsid w:val="003F09C0"/>
    <w:rsid w:val="003F3114"/>
    <w:rsid w:val="003F5E87"/>
    <w:rsid w:val="003F6E83"/>
    <w:rsid w:val="003F6FF7"/>
    <w:rsid w:val="00400078"/>
    <w:rsid w:val="004016D7"/>
    <w:rsid w:val="00401926"/>
    <w:rsid w:val="004022C1"/>
    <w:rsid w:val="00404C72"/>
    <w:rsid w:val="00405ED5"/>
    <w:rsid w:val="00410891"/>
    <w:rsid w:val="0041103D"/>
    <w:rsid w:val="00411894"/>
    <w:rsid w:val="004134F5"/>
    <w:rsid w:val="0041459B"/>
    <w:rsid w:val="00415574"/>
    <w:rsid w:val="004163CA"/>
    <w:rsid w:val="0041658B"/>
    <w:rsid w:val="00416896"/>
    <w:rsid w:val="00416E51"/>
    <w:rsid w:val="00417108"/>
    <w:rsid w:val="004176AC"/>
    <w:rsid w:val="00423D35"/>
    <w:rsid w:val="0042638C"/>
    <w:rsid w:val="00426C9B"/>
    <w:rsid w:val="00426E6A"/>
    <w:rsid w:val="00427AE6"/>
    <w:rsid w:val="00427AFF"/>
    <w:rsid w:val="0043131D"/>
    <w:rsid w:val="004325CB"/>
    <w:rsid w:val="004333F9"/>
    <w:rsid w:val="00433466"/>
    <w:rsid w:val="00436001"/>
    <w:rsid w:val="004365D5"/>
    <w:rsid w:val="00437118"/>
    <w:rsid w:val="0044081A"/>
    <w:rsid w:val="00441150"/>
    <w:rsid w:val="00441182"/>
    <w:rsid w:val="00441E3D"/>
    <w:rsid w:val="0044326E"/>
    <w:rsid w:val="00444022"/>
    <w:rsid w:val="00444A0C"/>
    <w:rsid w:val="00445357"/>
    <w:rsid w:val="0044673A"/>
    <w:rsid w:val="00446931"/>
    <w:rsid w:val="00447B7D"/>
    <w:rsid w:val="004504A3"/>
    <w:rsid w:val="0045085E"/>
    <w:rsid w:val="00450F1A"/>
    <w:rsid w:val="00451269"/>
    <w:rsid w:val="0045135F"/>
    <w:rsid w:val="00451D20"/>
    <w:rsid w:val="00452234"/>
    <w:rsid w:val="004534F5"/>
    <w:rsid w:val="0045577B"/>
    <w:rsid w:val="00456E6F"/>
    <w:rsid w:val="00460595"/>
    <w:rsid w:val="004605AE"/>
    <w:rsid w:val="00460717"/>
    <w:rsid w:val="00461362"/>
    <w:rsid w:val="00461513"/>
    <w:rsid w:val="00464A22"/>
    <w:rsid w:val="00465DC4"/>
    <w:rsid w:val="004666A4"/>
    <w:rsid w:val="0047139E"/>
    <w:rsid w:val="00473087"/>
    <w:rsid w:val="00474130"/>
    <w:rsid w:val="004755FC"/>
    <w:rsid w:val="004805DD"/>
    <w:rsid w:val="004808C3"/>
    <w:rsid w:val="00481382"/>
    <w:rsid w:val="0048166F"/>
    <w:rsid w:val="00485190"/>
    <w:rsid w:val="00486961"/>
    <w:rsid w:val="00486C53"/>
    <w:rsid w:val="00487798"/>
    <w:rsid w:val="004923B7"/>
    <w:rsid w:val="00492422"/>
    <w:rsid w:val="0049262B"/>
    <w:rsid w:val="00492961"/>
    <w:rsid w:val="00493A49"/>
    <w:rsid w:val="00495643"/>
    <w:rsid w:val="00497D90"/>
    <w:rsid w:val="004A0345"/>
    <w:rsid w:val="004A316E"/>
    <w:rsid w:val="004A5DEE"/>
    <w:rsid w:val="004B0751"/>
    <w:rsid w:val="004B10F2"/>
    <w:rsid w:val="004B1262"/>
    <w:rsid w:val="004B1D80"/>
    <w:rsid w:val="004B54AA"/>
    <w:rsid w:val="004B5BEE"/>
    <w:rsid w:val="004B67D0"/>
    <w:rsid w:val="004B774A"/>
    <w:rsid w:val="004C1174"/>
    <w:rsid w:val="004C22D2"/>
    <w:rsid w:val="004C3866"/>
    <w:rsid w:val="004C5001"/>
    <w:rsid w:val="004C5CDE"/>
    <w:rsid w:val="004C7100"/>
    <w:rsid w:val="004C74D3"/>
    <w:rsid w:val="004D0349"/>
    <w:rsid w:val="004D27BF"/>
    <w:rsid w:val="004D37BA"/>
    <w:rsid w:val="004D41B8"/>
    <w:rsid w:val="004D4CAA"/>
    <w:rsid w:val="004D7181"/>
    <w:rsid w:val="004E1C54"/>
    <w:rsid w:val="004E1D4B"/>
    <w:rsid w:val="004E281A"/>
    <w:rsid w:val="004E6480"/>
    <w:rsid w:val="004E6BC8"/>
    <w:rsid w:val="004E7BA6"/>
    <w:rsid w:val="004F36A6"/>
    <w:rsid w:val="004F38FB"/>
    <w:rsid w:val="004F4151"/>
    <w:rsid w:val="004F457A"/>
    <w:rsid w:val="004F60C3"/>
    <w:rsid w:val="004F77F0"/>
    <w:rsid w:val="00500030"/>
    <w:rsid w:val="00500BC8"/>
    <w:rsid w:val="0050161D"/>
    <w:rsid w:val="00501762"/>
    <w:rsid w:val="0050328E"/>
    <w:rsid w:val="005032E5"/>
    <w:rsid w:val="005041BB"/>
    <w:rsid w:val="00505FCC"/>
    <w:rsid w:val="00507D4B"/>
    <w:rsid w:val="0051114A"/>
    <w:rsid w:val="00512B95"/>
    <w:rsid w:val="00513892"/>
    <w:rsid w:val="00514564"/>
    <w:rsid w:val="00516F75"/>
    <w:rsid w:val="00523663"/>
    <w:rsid w:val="00526674"/>
    <w:rsid w:val="00527CEA"/>
    <w:rsid w:val="005331D7"/>
    <w:rsid w:val="00535015"/>
    <w:rsid w:val="00535970"/>
    <w:rsid w:val="005359C5"/>
    <w:rsid w:val="00536E06"/>
    <w:rsid w:val="00537611"/>
    <w:rsid w:val="00537806"/>
    <w:rsid w:val="00540CB6"/>
    <w:rsid w:val="00541133"/>
    <w:rsid w:val="00541DFA"/>
    <w:rsid w:val="00542C90"/>
    <w:rsid w:val="00543542"/>
    <w:rsid w:val="00543EA1"/>
    <w:rsid w:val="005457AC"/>
    <w:rsid w:val="00545AD6"/>
    <w:rsid w:val="00545F29"/>
    <w:rsid w:val="005473B2"/>
    <w:rsid w:val="00547BB6"/>
    <w:rsid w:val="00551166"/>
    <w:rsid w:val="005513A6"/>
    <w:rsid w:val="0055233E"/>
    <w:rsid w:val="00552656"/>
    <w:rsid w:val="00553221"/>
    <w:rsid w:val="005539F8"/>
    <w:rsid w:val="0055479A"/>
    <w:rsid w:val="00555BEF"/>
    <w:rsid w:val="00556B18"/>
    <w:rsid w:val="00556D7A"/>
    <w:rsid w:val="00556EB3"/>
    <w:rsid w:val="00557F7A"/>
    <w:rsid w:val="00560F52"/>
    <w:rsid w:val="00561011"/>
    <w:rsid w:val="00564F57"/>
    <w:rsid w:val="00571ADC"/>
    <w:rsid w:val="00571B0A"/>
    <w:rsid w:val="00574EAE"/>
    <w:rsid w:val="0057511C"/>
    <w:rsid w:val="00577BAE"/>
    <w:rsid w:val="0058150F"/>
    <w:rsid w:val="00582147"/>
    <w:rsid w:val="0058322D"/>
    <w:rsid w:val="00583262"/>
    <w:rsid w:val="00583C74"/>
    <w:rsid w:val="0058549C"/>
    <w:rsid w:val="005858CC"/>
    <w:rsid w:val="00586BF8"/>
    <w:rsid w:val="00590332"/>
    <w:rsid w:val="00590DE5"/>
    <w:rsid w:val="00592135"/>
    <w:rsid w:val="0059294D"/>
    <w:rsid w:val="0059660A"/>
    <w:rsid w:val="00597B9F"/>
    <w:rsid w:val="005A1863"/>
    <w:rsid w:val="005A2459"/>
    <w:rsid w:val="005A2EEB"/>
    <w:rsid w:val="005A4E8C"/>
    <w:rsid w:val="005A5793"/>
    <w:rsid w:val="005A6965"/>
    <w:rsid w:val="005A6BCA"/>
    <w:rsid w:val="005A7496"/>
    <w:rsid w:val="005B1E19"/>
    <w:rsid w:val="005B2AD3"/>
    <w:rsid w:val="005B43DE"/>
    <w:rsid w:val="005B5EB8"/>
    <w:rsid w:val="005B6B04"/>
    <w:rsid w:val="005C1EB7"/>
    <w:rsid w:val="005C337F"/>
    <w:rsid w:val="005C5BDD"/>
    <w:rsid w:val="005C62A7"/>
    <w:rsid w:val="005D0998"/>
    <w:rsid w:val="005D1712"/>
    <w:rsid w:val="005D3045"/>
    <w:rsid w:val="005D3F59"/>
    <w:rsid w:val="005D7867"/>
    <w:rsid w:val="005E12BC"/>
    <w:rsid w:val="005E1927"/>
    <w:rsid w:val="005E2D97"/>
    <w:rsid w:val="005E334B"/>
    <w:rsid w:val="005E3F42"/>
    <w:rsid w:val="005E4559"/>
    <w:rsid w:val="005E4AF2"/>
    <w:rsid w:val="005E5628"/>
    <w:rsid w:val="005E5A30"/>
    <w:rsid w:val="005E61C7"/>
    <w:rsid w:val="005E712E"/>
    <w:rsid w:val="005E7353"/>
    <w:rsid w:val="005E7E56"/>
    <w:rsid w:val="005F0359"/>
    <w:rsid w:val="005F3674"/>
    <w:rsid w:val="005F6902"/>
    <w:rsid w:val="005F7C7C"/>
    <w:rsid w:val="00600520"/>
    <w:rsid w:val="0060068A"/>
    <w:rsid w:val="00600753"/>
    <w:rsid w:val="00600AF5"/>
    <w:rsid w:val="00601158"/>
    <w:rsid w:val="00601784"/>
    <w:rsid w:val="00605328"/>
    <w:rsid w:val="00607033"/>
    <w:rsid w:val="006074DA"/>
    <w:rsid w:val="006108FD"/>
    <w:rsid w:val="00610D8B"/>
    <w:rsid w:val="00610F3A"/>
    <w:rsid w:val="00612CCD"/>
    <w:rsid w:val="00613A49"/>
    <w:rsid w:val="00613CB8"/>
    <w:rsid w:val="006142BA"/>
    <w:rsid w:val="00615530"/>
    <w:rsid w:val="00615EFA"/>
    <w:rsid w:val="00615F79"/>
    <w:rsid w:val="006161B4"/>
    <w:rsid w:val="00616250"/>
    <w:rsid w:val="006162F9"/>
    <w:rsid w:val="006168EA"/>
    <w:rsid w:val="00616CA5"/>
    <w:rsid w:val="006173DF"/>
    <w:rsid w:val="00617C6D"/>
    <w:rsid w:val="00620C3B"/>
    <w:rsid w:val="00621EB4"/>
    <w:rsid w:val="00622A87"/>
    <w:rsid w:val="00623332"/>
    <w:rsid w:val="006238B5"/>
    <w:rsid w:val="00625271"/>
    <w:rsid w:val="006262D4"/>
    <w:rsid w:val="00627B19"/>
    <w:rsid w:val="0063119A"/>
    <w:rsid w:val="00633574"/>
    <w:rsid w:val="00633975"/>
    <w:rsid w:val="0063428D"/>
    <w:rsid w:val="0063492F"/>
    <w:rsid w:val="00635562"/>
    <w:rsid w:val="006368F9"/>
    <w:rsid w:val="00640DD8"/>
    <w:rsid w:val="00641A25"/>
    <w:rsid w:val="00643A9F"/>
    <w:rsid w:val="0064565A"/>
    <w:rsid w:val="006459DE"/>
    <w:rsid w:val="00645A45"/>
    <w:rsid w:val="00645FC3"/>
    <w:rsid w:val="00646BFD"/>
    <w:rsid w:val="0065035F"/>
    <w:rsid w:val="00650D60"/>
    <w:rsid w:val="00650DE2"/>
    <w:rsid w:val="00651122"/>
    <w:rsid w:val="00651768"/>
    <w:rsid w:val="00654096"/>
    <w:rsid w:val="00654585"/>
    <w:rsid w:val="006554D0"/>
    <w:rsid w:val="00655ADA"/>
    <w:rsid w:val="0065610C"/>
    <w:rsid w:val="00656445"/>
    <w:rsid w:val="00657E32"/>
    <w:rsid w:val="00660D1C"/>
    <w:rsid w:val="00662798"/>
    <w:rsid w:val="006628CB"/>
    <w:rsid w:val="00662CF3"/>
    <w:rsid w:val="00662F86"/>
    <w:rsid w:val="00663AC6"/>
    <w:rsid w:val="00664A03"/>
    <w:rsid w:val="0066577E"/>
    <w:rsid w:val="0066587B"/>
    <w:rsid w:val="00665B6C"/>
    <w:rsid w:val="00665D90"/>
    <w:rsid w:val="00666718"/>
    <w:rsid w:val="006669AE"/>
    <w:rsid w:val="0067052C"/>
    <w:rsid w:val="00670717"/>
    <w:rsid w:val="00671F8D"/>
    <w:rsid w:val="00673F6E"/>
    <w:rsid w:val="006760BB"/>
    <w:rsid w:val="006778B0"/>
    <w:rsid w:val="0068079F"/>
    <w:rsid w:val="00684DCF"/>
    <w:rsid w:val="0069155F"/>
    <w:rsid w:val="006927D6"/>
    <w:rsid w:val="0069294A"/>
    <w:rsid w:val="006939DA"/>
    <w:rsid w:val="00693A4B"/>
    <w:rsid w:val="006940EC"/>
    <w:rsid w:val="00694A89"/>
    <w:rsid w:val="006954E9"/>
    <w:rsid w:val="00695BDA"/>
    <w:rsid w:val="0069712B"/>
    <w:rsid w:val="006971C6"/>
    <w:rsid w:val="006A0878"/>
    <w:rsid w:val="006A1156"/>
    <w:rsid w:val="006A1CF8"/>
    <w:rsid w:val="006A2BD1"/>
    <w:rsid w:val="006A3930"/>
    <w:rsid w:val="006A6694"/>
    <w:rsid w:val="006A6A3A"/>
    <w:rsid w:val="006B198E"/>
    <w:rsid w:val="006B19B6"/>
    <w:rsid w:val="006B2314"/>
    <w:rsid w:val="006B443A"/>
    <w:rsid w:val="006B6CB5"/>
    <w:rsid w:val="006B6FC9"/>
    <w:rsid w:val="006B7F5B"/>
    <w:rsid w:val="006C055E"/>
    <w:rsid w:val="006C0C26"/>
    <w:rsid w:val="006C143F"/>
    <w:rsid w:val="006C15FB"/>
    <w:rsid w:val="006C1EAE"/>
    <w:rsid w:val="006C43DB"/>
    <w:rsid w:val="006C5F94"/>
    <w:rsid w:val="006C6A4C"/>
    <w:rsid w:val="006C7610"/>
    <w:rsid w:val="006D0367"/>
    <w:rsid w:val="006D0D4D"/>
    <w:rsid w:val="006D21D1"/>
    <w:rsid w:val="006D4083"/>
    <w:rsid w:val="006D4ED6"/>
    <w:rsid w:val="006D6002"/>
    <w:rsid w:val="006D6D90"/>
    <w:rsid w:val="006E02F7"/>
    <w:rsid w:val="006E1029"/>
    <w:rsid w:val="006E12F5"/>
    <w:rsid w:val="006E20CD"/>
    <w:rsid w:val="006E2565"/>
    <w:rsid w:val="006E256A"/>
    <w:rsid w:val="006E3845"/>
    <w:rsid w:val="006E411D"/>
    <w:rsid w:val="006E5230"/>
    <w:rsid w:val="006E5369"/>
    <w:rsid w:val="006E5660"/>
    <w:rsid w:val="006E5B74"/>
    <w:rsid w:val="006F0CCB"/>
    <w:rsid w:val="006F0DFC"/>
    <w:rsid w:val="006F124A"/>
    <w:rsid w:val="006F1649"/>
    <w:rsid w:val="006F209A"/>
    <w:rsid w:val="006F2CF0"/>
    <w:rsid w:val="006F367A"/>
    <w:rsid w:val="006F3DA1"/>
    <w:rsid w:val="006F45B0"/>
    <w:rsid w:val="006F4832"/>
    <w:rsid w:val="006F4DCC"/>
    <w:rsid w:val="006F5118"/>
    <w:rsid w:val="006F56CE"/>
    <w:rsid w:val="006F700C"/>
    <w:rsid w:val="006F72D5"/>
    <w:rsid w:val="006F7E9F"/>
    <w:rsid w:val="0070103F"/>
    <w:rsid w:val="00701DAD"/>
    <w:rsid w:val="00704934"/>
    <w:rsid w:val="00705246"/>
    <w:rsid w:val="007054AF"/>
    <w:rsid w:val="00705BB5"/>
    <w:rsid w:val="0070736E"/>
    <w:rsid w:val="0071503D"/>
    <w:rsid w:val="007156F7"/>
    <w:rsid w:val="007160A5"/>
    <w:rsid w:val="0071627C"/>
    <w:rsid w:val="0071633C"/>
    <w:rsid w:val="00721178"/>
    <w:rsid w:val="00721844"/>
    <w:rsid w:val="0072211C"/>
    <w:rsid w:val="00722299"/>
    <w:rsid w:val="00722463"/>
    <w:rsid w:val="00724E7D"/>
    <w:rsid w:val="00725C22"/>
    <w:rsid w:val="0073180C"/>
    <w:rsid w:val="00732CA9"/>
    <w:rsid w:val="00733351"/>
    <w:rsid w:val="007339A1"/>
    <w:rsid w:val="0073474B"/>
    <w:rsid w:val="007362AF"/>
    <w:rsid w:val="007365FE"/>
    <w:rsid w:val="00736D05"/>
    <w:rsid w:val="007377DC"/>
    <w:rsid w:val="00740403"/>
    <w:rsid w:val="007406AD"/>
    <w:rsid w:val="00740A12"/>
    <w:rsid w:val="00741A83"/>
    <w:rsid w:val="0074278C"/>
    <w:rsid w:val="00743E68"/>
    <w:rsid w:val="00745FCE"/>
    <w:rsid w:val="00746855"/>
    <w:rsid w:val="00747077"/>
    <w:rsid w:val="00752E05"/>
    <w:rsid w:val="007542CE"/>
    <w:rsid w:val="0075469F"/>
    <w:rsid w:val="007558BF"/>
    <w:rsid w:val="0075653F"/>
    <w:rsid w:val="00756795"/>
    <w:rsid w:val="00757194"/>
    <w:rsid w:val="0075757B"/>
    <w:rsid w:val="007614F2"/>
    <w:rsid w:val="00761FA1"/>
    <w:rsid w:val="00762E23"/>
    <w:rsid w:val="007635AD"/>
    <w:rsid w:val="0076454D"/>
    <w:rsid w:val="00766A83"/>
    <w:rsid w:val="00767386"/>
    <w:rsid w:val="00767DD3"/>
    <w:rsid w:val="00770B24"/>
    <w:rsid w:val="0077133F"/>
    <w:rsid w:val="00771D2A"/>
    <w:rsid w:val="0077355D"/>
    <w:rsid w:val="00774D68"/>
    <w:rsid w:val="00774F52"/>
    <w:rsid w:val="00777143"/>
    <w:rsid w:val="00777EF1"/>
    <w:rsid w:val="00780945"/>
    <w:rsid w:val="00781249"/>
    <w:rsid w:val="0078129F"/>
    <w:rsid w:val="00781F0B"/>
    <w:rsid w:val="00784892"/>
    <w:rsid w:val="0078595C"/>
    <w:rsid w:val="007864EC"/>
    <w:rsid w:val="00787377"/>
    <w:rsid w:val="0079057E"/>
    <w:rsid w:val="00792C32"/>
    <w:rsid w:val="00794510"/>
    <w:rsid w:val="00794732"/>
    <w:rsid w:val="00794FFF"/>
    <w:rsid w:val="00795FD5"/>
    <w:rsid w:val="00795FE2"/>
    <w:rsid w:val="00796A75"/>
    <w:rsid w:val="00797487"/>
    <w:rsid w:val="007979F3"/>
    <w:rsid w:val="007A0393"/>
    <w:rsid w:val="007A057E"/>
    <w:rsid w:val="007A0FC0"/>
    <w:rsid w:val="007A443E"/>
    <w:rsid w:val="007A4552"/>
    <w:rsid w:val="007A52A6"/>
    <w:rsid w:val="007A5365"/>
    <w:rsid w:val="007A5FBF"/>
    <w:rsid w:val="007A78AB"/>
    <w:rsid w:val="007A7FD6"/>
    <w:rsid w:val="007B01BB"/>
    <w:rsid w:val="007B10AD"/>
    <w:rsid w:val="007B1C41"/>
    <w:rsid w:val="007B20A2"/>
    <w:rsid w:val="007B36BF"/>
    <w:rsid w:val="007B53B3"/>
    <w:rsid w:val="007B7164"/>
    <w:rsid w:val="007C1B93"/>
    <w:rsid w:val="007C2054"/>
    <w:rsid w:val="007C2C4E"/>
    <w:rsid w:val="007C32D0"/>
    <w:rsid w:val="007C4AC4"/>
    <w:rsid w:val="007C4DFF"/>
    <w:rsid w:val="007C54D1"/>
    <w:rsid w:val="007C638A"/>
    <w:rsid w:val="007D094B"/>
    <w:rsid w:val="007D11D9"/>
    <w:rsid w:val="007D189B"/>
    <w:rsid w:val="007D1D0E"/>
    <w:rsid w:val="007D31D3"/>
    <w:rsid w:val="007D33B3"/>
    <w:rsid w:val="007D345D"/>
    <w:rsid w:val="007D4318"/>
    <w:rsid w:val="007D54D0"/>
    <w:rsid w:val="007D5591"/>
    <w:rsid w:val="007D5CEF"/>
    <w:rsid w:val="007D645F"/>
    <w:rsid w:val="007D6A5B"/>
    <w:rsid w:val="007E02C3"/>
    <w:rsid w:val="007E17DE"/>
    <w:rsid w:val="007E23BD"/>
    <w:rsid w:val="007E4E15"/>
    <w:rsid w:val="007E4E4F"/>
    <w:rsid w:val="007E50F5"/>
    <w:rsid w:val="007E7021"/>
    <w:rsid w:val="007E706E"/>
    <w:rsid w:val="007E7E8D"/>
    <w:rsid w:val="007F030F"/>
    <w:rsid w:val="007F0561"/>
    <w:rsid w:val="007F06EC"/>
    <w:rsid w:val="007F0FBB"/>
    <w:rsid w:val="007F281C"/>
    <w:rsid w:val="007F3711"/>
    <w:rsid w:val="007F3AE7"/>
    <w:rsid w:val="007F4D04"/>
    <w:rsid w:val="007F4D8C"/>
    <w:rsid w:val="007F5C74"/>
    <w:rsid w:val="007F5FE4"/>
    <w:rsid w:val="007F7719"/>
    <w:rsid w:val="007F778F"/>
    <w:rsid w:val="007F7E53"/>
    <w:rsid w:val="008018BA"/>
    <w:rsid w:val="008024BF"/>
    <w:rsid w:val="008044D9"/>
    <w:rsid w:val="00805DF1"/>
    <w:rsid w:val="00806AB5"/>
    <w:rsid w:val="008075CC"/>
    <w:rsid w:val="00810292"/>
    <w:rsid w:val="008109BD"/>
    <w:rsid w:val="00811AA8"/>
    <w:rsid w:val="00812317"/>
    <w:rsid w:val="008136B7"/>
    <w:rsid w:val="0081443F"/>
    <w:rsid w:val="00815987"/>
    <w:rsid w:val="008160F4"/>
    <w:rsid w:val="00816566"/>
    <w:rsid w:val="0081685C"/>
    <w:rsid w:val="008174AA"/>
    <w:rsid w:val="00817A2C"/>
    <w:rsid w:val="00821C86"/>
    <w:rsid w:val="00822279"/>
    <w:rsid w:val="00822D30"/>
    <w:rsid w:val="0082465A"/>
    <w:rsid w:val="008247DF"/>
    <w:rsid w:val="00824DEC"/>
    <w:rsid w:val="00826D5C"/>
    <w:rsid w:val="00826F9B"/>
    <w:rsid w:val="0083056E"/>
    <w:rsid w:val="00830B25"/>
    <w:rsid w:val="00832CC7"/>
    <w:rsid w:val="008331DA"/>
    <w:rsid w:val="008343F9"/>
    <w:rsid w:val="00835554"/>
    <w:rsid w:val="00835671"/>
    <w:rsid w:val="00836703"/>
    <w:rsid w:val="008367A0"/>
    <w:rsid w:val="008413B5"/>
    <w:rsid w:val="0084387C"/>
    <w:rsid w:val="00843DA8"/>
    <w:rsid w:val="00845EC9"/>
    <w:rsid w:val="00851E9E"/>
    <w:rsid w:val="00852A75"/>
    <w:rsid w:val="00852C27"/>
    <w:rsid w:val="00854503"/>
    <w:rsid w:val="00855710"/>
    <w:rsid w:val="008568A1"/>
    <w:rsid w:val="0085767B"/>
    <w:rsid w:val="00857FBF"/>
    <w:rsid w:val="00860608"/>
    <w:rsid w:val="008608CE"/>
    <w:rsid w:val="00860AA6"/>
    <w:rsid w:val="00860D33"/>
    <w:rsid w:val="0086147D"/>
    <w:rsid w:val="00861A2E"/>
    <w:rsid w:val="00861B7A"/>
    <w:rsid w:val="00861C75"/>
    <w:rsid w:val="00862858"/>
    <w:rsid w:val="00862925"/>
    <w:rsid w:val="00862C82"/>
    <w:rsid w:val="0086325C"/>
    <w:rsid w:val="00863870"/>
    <w:rsid w:val="008648CC"/>
    <w:rsid w:val="008656D0"/>
    <w:rsid w:val="00866718"/>
    <w:rsid w:val="00866AC4"/>
    <w:rsid w:val="008703BD"/>
    <w:rsid w:val="00873AF6"/>
    <w:rsid w:val="0087495F"/>
    <w:rsid w:val="00876D97"/>
    <w:rsid w:val="00876E4D"/>
    <w:rsid w:val="00877DA3"/>
    <w:rsid w:val="00877DE3"/>
    <w:rsid w:val="008822F4"/>
    <w:rsid w:val="00882FE0"/>
    <w:rsid w:val="008832A3"/>
    <w:rsid w:val="008844D8"/>
    <w:rsid w:val="00884C4C"/>
    <w:rsid w:val="00885EF1"/>
    <w:rsid w:val="00886607"/>
    <w:rsid w:val="008876EB"/>
    <w:rsid w:val="00890918"/>
    <w:rsid w:val="00891A38"/>
    <w:rsid w:val="00892FEC"/>
    <w:rsid w:val="00894573"/>
    <w:rsid w:val="00896E74"/>
    <w:rsid w:val="00897BB4"/>
    <w:rsid w:val="008A0A54"/>
    <w:rsid w:val="008A11E1"/>
    <w:rsid w:val="008A2523"/>
    <w:rsid w:val="008A2622"/>
    <w:rsid w:val="008A3562"/>
    <w:rsid w:val="008A36BC"/>
    <w:rsid w:val="008A58BB"/>
    <w:rsid w:val="008A5DEE"/>
    <w:rsid w:val="008A602C"/>
    <w:rsid w:val="008B00D2"/>
    <w:rsid w:val="008B0AD7"/>
    <w:rsid w:val="008B0B08"/>
    <w:rsid w:val="008B0CB5"/>
    <w:rsid w:val="008B2FA3"/>
    <w:rsid w:val="008B37EB"/>
    <w:rsid w:val="008B3DF6"/>
    <w:rsid w:val="008B4AB6"/>
    <w:rsid w:val="008B5A7D"/>
    <w:rsid w:val="008B7120"/>
    <w:rsid w:val="008B775A"/>
    <w:rsid w:val="008C10ED"/>
    <w:rsid w:val="008C30D1"/>
    <w:rsid w:val="008C338E"/>
    <w:rsid w:val="008C43A0"/>
    <w:rsid w:val="008D0429"/>
    <w:rsid w:val="008D261C"/>
    <w:rsid w:val="008D36D1"/>
    <w:rsid w:val="008D3CA8"/>
    <w:rsid w:val="008D4587"/>
    <w:rsid w:val="008D504E"/>
    <w:rsid w:val="008D5351"/>
    <w:rsid w:val="008D5354"/>
    <w:rsid w:val="008D6054"/>
    <w:rsid w:val="008D6244"/>
    <w:rsid w:val="008D785A"/>
    <w:rsid w:val="008E0E6E"/>
    <w:rsid w:val="008E0F70"/>
    <w:rsid w:val="008E1EC6"/>
    <w:rsid w:val="008E2417"/>
    <w:rsid w:val="008E24A9"/>
    <w:rsid w:val="008E4520"/>
    <w:rsid w:val="008E4729"/>
    <w:rsid w:val="008E5AE8"/>
    <w:rsid w:val="008E789A"/>
    <w:rsid w:val="008F0FC9"/>
    <w:rsid w:val="008F15C7"/>
    <w:rsid w:val="008F1AEC"/>
    <w:rsid w:val="008F230A"/>
    <w:rsid w:val="008F3AAD"/>
    <w:rsid w:val="008F4186"/>
    <w:rsid w:val="008F43D1"/>
    <w:rsid w:val="008F4B43"/>
    <w:rsid w:val="008F555A"/>
    <w:rsid w:val="008F7D36"/>
    <w:rsid w:val="00900586"/>
    <w:rsid w:val="00900AA1"/>
    <w:rsid w:val="00900C48"/>
    <w:rsid w:val="00901694"/>
    <w:rsid w:val="00901F0E"/>
    <w:rsid w:val="00902A90"/>
    <w:rsid w:val="00902C6E"/>
    <w:rsid w:val="009034ED"/>
    <w:rsid w:val="00903AFB"/>
    <w:rsid w:val="0090435B"/>
    <w:rsid w:val="00905520"/>
    <w:rsid w:val="009057FC"/>
    <w:rsid w:val="00905B61"/>
    <w:rsid w:val="0090637F"/>
    <w:rsid w:val="00910CB3"/>
    <w:rsid w:val="0091261B"/>
    <w:rsid w:val="00912842"/>
    <w:rsid w:val="009131C2"/>
    <w:rsid w:val="00913217"/>
    <w:rsid w:val="009161A6"/>
    <w:rsid w:val="00916D13"/>
    <w:rsid w:val="00920343"/>
    <w:rsid w:val="00921990"/>
    <w:rsid w:val="00921D3F"/>
    <w:rsid w:val="00922041"/>
    <w:rsid w:val="00922BBB"/>
    <w:rsid w:val="00923F5F"/>
    <w:rsid w:val="00924447"/>
    <w:rsid w:val="0092468B"/>
    <w:rsid w:val="00924D82"/>
    <w:rsid w:val="00924EBA"/>
    <w:rsid w:val="0092518D"/>
    <w:rsid w:val="00926C66"/>
    <w:rsid w:val="00927C34"/>
    <w:rsid w:val="00930632"/>
    <w:rsid w:val="00930DA7"/>
    <w:rsid w:val="009318EF"/>
    <w:rsid w:val="00934154"/>
    <w:rsid w:val="0093468E"/>
    <w:rsid w:val="00935205"/>
    <w:rsid w:val="0093628A"/>
    <w:rsid w:val="00937B77"/>
    <w:rsid w:val="009400E4"/>
    <w:rsid w:val="0094071C"/>
    <w:rsid w:val="00940C01"/>
    <w:rsid w:val="00941E4E"/>
    <w:rsid w:val="00941E53"/>
    <w:rsid w:val="00942035"/>
    <w:rsid w:val="009425DA"/>
    <w:rsid w:val="00943C2A"/>
    <w:rsid w:val="00944402"/>
    <w:rsid w:val="00944437"/>
    <w:rsid w:val="00944B7D"/>
    <w:rsid w:val="00944BD3"/>
    <w:rsid w:val="00944C01"/>
    <w:rsid w:val="00946403"/>
    <w:rsid w:val="009467D6"/>
    <w:rsid w:val="00946AC7"/>
    <w:rsid w:val="00947659"/>
    <w:rsid w:val="0095064E"/>
    <w:rsid w:val="009506D5"/>
    <w:rsid w:val="00951068"/>
    <w:rsid w:val="00951F32"/>
    <w:rsid w:val="0095268A"/>
    <w:rsid w:val="00952E59"/>
    <w:rsid w:val="009530EF"/>
    <w:rsid w:val="0095425F"/>
    <w:rsid w:val="009549BD"/>
    <w:rsid w:val="00954E04"/>
    <w:rsid w:val="009552E6"/>
    <w:rsid w:val="00955675"/>
    <w:rsid w:val="009564FF"/>
    <w:rsid w:val="00956A80"/>
    <w:rsid w:val="0095712C"/>
    <w:rsid w:val="00957FB7"/>
    <w:rsid w:val="0096001D"/>
    <w:rsid w:val="009602D9"/>
    <w:rsid w:val="00960C15"/>
    <w:rsid w:val="0096126A"/>
    <w:rsid w:val="00961478"/>
    <w:rsid w:val="009623EB"/>
    <w:rsid w:val="0096268C"/>
    <w:rsid w:val="009637B7"/>
    <w:rsid w:val="00963814"/>
    <w:rsid w:val="0096452B"/>
    <w:rsid w:val="009700B0"/>
    <w:rsid w:val="00972257"/>
    <w:rsid w:val="009728CB"/>
    <w:rsid w:val="00972A49"/>
    <w:rsid w:val="00974AE0"/>
    <w:rsid w:val="00974B1A"/>
    <w:rsid w:val="00974F4F"/>
    <w:rsid w:val="009768A9"/>
    <w:rsid w:val="00976B75"/>
    <w:rsid w:val="00981205"/>
    <w:rsid w:val="0098143A"/>
    <w:rsid w:val="00981442"/>
    <w:rsid w:val="0098168F"/>
    <w:rsid w:val="00985455"/>
    <w:rsid w:val="00985B14"/>
    <w:rsid w:val="009878C5"/>
    <w:rsid w:val="00992AF7"/>
    <w:rsid w:val="009940CC"/>
    <w:rsid w:val="0099606B"/>
    <w:rsid w:val="00996FFD"/>
    <w:rsid w:val="00997BFD"/>
    <w:rsid w:val="009A0F8A"/>
    <w:rsid w:val="009A1870"/>
    <w:rsid w:val="009A2B2E"/>
    <w:rsid w:val="009A42F9"/>
    <w:rsid w:val="009A4CCA"/>
    <w:rsid w:val="009A550D"/>
    <w:rsid w:val="009A5622"/>
    <w:rsid w:val="009A5A21"/>
    <w:rsid w:val="009A60D4"/>
    <w:rsid w:val="009A7972"/>
    <w:rsid w:val="009C098B"/>
    <w:rsid w:val="009C148D"/>
    <w:rsid w:val="009C22D7"/>
    <w:rsid w:val="009C4AA3"/>
    <w:rsid w:val="009C4FD3"/>
    <w:rsid w:val="009C5C6A"/>
    <w:rsid w:val="009C7506"/>
    <w:rsid w:val="009D08AB"/>
    <w:rsid w:val="009D0EF2"/>
    <w:rsid w:val="009D1B11"/>
    <w:rsid w:val="009D22CD"/>
    <w:rsid w:val="009D2909"/>
    <w:rsid w:val="009D388B"/>
    <w:rsid w:val="009D431A"/>
    <w:rsid w:val="009D520E"/>
    <w:rsid w:val="009D53CE"/>
    <w:rsid w:val="009D5544"/>
    <w:rsid w:val="009D61BB"/>
    <w:rsid w:val="009D6EEE"/>
    <w:rsid w:val="009E1FE7"/>
    <w:rsid w:val="009E2E7B"/>
    <w:rsid w:val="009E335B"/>
    <w:rsid w:val="009E3AE1"/>
    <w:rsid w:val="009E4190"/>
    <w:rsid w:val="009E4ED4"/>
    <w:rsid w:val="009E59E6"/>
    <w:rsid w:val="009E67D1"/>
    <w:rsid w:val="009E6D3D"/>
    <w:rsid w:val="009E7593"/>
    <w:rsid w:val="009E79F5"/>
    <w:rsid w:val="009F0237"/>
    <w:rsid w:val="009F0B67"/>
    <w:rsid w:val="009F34B7"/>
    <w:rsid w:val="009F3920"/>
    <w:rsid w:val="009F6F5B"/>
    <w:rsid w:val="009F750A"/>
    <w:rsid w:val="00A03AC8"/>
    <w:rsid w:val="00A03FCF"/>
    <w:rsid w:val="00A06434"/>
    <w:rsid w:val="00A06496"/>
    <w:rsid w:val="00A064FD"/>
    <w:rsid w:val="00A07A32"/>
    <w:rsid w:val="00A116B2"/>
    <w:rsid w:val="00A11798"/>
    <w:rsid w:val="00A122D9"/>
    <w:rsid w:val="00A128D5"/>
    <w:rsid w:val="00A13383"/>
    <w:rsid w:val="00A135F2"/>
    <w:rsid w:val="00A13924"/>
    <w:rsid w:val="00A15474"/>
    <w:rsid w:val="00A16125"/>
    <w:rsid w:val="00A20BA1"/>
    <w:rsid w:val="00A20E38"/>
    <w:rsid w:val="00A2370B"/>
    <w:rsid w:val="00A23F1F"/>
    <w:rsid w:val="00A2430C"/>
    <w:rsid w:val="00A244DF"/>
    <w:rsid w:val="00A258E3"/>
    <w:rsid w:val="00A25E53"/>
    <w:rsid w:val="00A268FE"/>
    <w:rsid w:val="00A30B03"/>
    <w:rsid w:val="00A31D92"/>
    <w:rsid w:val="00A32102"/>
    <w:rsid w:val="00A340E1"/>
    <w:rsid w:val="00A34962"/>
    <w:rsid w:val="00A35139"/>
    <w:rsid w:val="00A35EC3"/>
    <w:rsid w:val="00A3662C"/>
    <w:rsid w:val="00A373E7"/>
    <w:rsid w:val="00A37BEC"/>
    <w:rsid w:val="00A41E0D"/>
    <w:rsid w:val="00A42C4D"/>
    <w:rsid w:val="00A42E09"/>
    <w:rsid w:val="00A449BA"/>
    <w:rsid w:val="00A464A7"/>
    <w:rsid w:val="00A47757"/>
    <w:rsid w:val="00A47C2E"/>
    <w:rsid w:val="00A50B44"/>
    <w:rsid w:val="00A511CE"/>
    <w:rsid w:val="00A51D97"/>
    <w:rsid w:val="00A526F1"/>
    <w:rsid w:val="00A52A29"/>
    <w:rsid w:val="00A53CAB"/>
    <w:rsid w:val="00A555B6"/>
    <w:rsid w:val="00A568D5"/>
    <w:rsid w:val="00A57137"/>
    <w:rsid w:val="00A57DF2"/>
    <w:rsid w:val="00A60452"/>
    <w:rsid w:val="00A62287"/>
    <w:rsid w:val="00A62786"/>
    <w:rsid w:val="00A62D88"/>
    <w:rsid w:val="00A6357D"/>
    <w:rsid w:val="00A66F39"/>
    <w:rsid w:val="00A74308"/>
    <w:rsid w:val="00A75E0B"/>
    <w:rsid w:val="00A7651F"/>
    <w:rsid w:val="00A77D1E"/>
    <w:rsid w:val="00A805B8"/>
    <w:rsid w:val="00A80EE9"/>
    <w:rsid w:val="00A81227"/>
    <w:rsid w:val="00A82118"/>
    <w:rsid w:val="00A82440"/>
    <w:rsid w:val="00A85018"/>
    <w:rsid w:val="00A85FDA"/>
    <w:rsid w:val="00A907A1"/>
    <w:rsid w:val="00A91EC5"/>
    <w:rsid w:val="00A92E58"/>
    <w:rsid w:val="00A92E6E"/>
    <w:rsid w:val="00A9359A"/>
    <w:rsid w:val="00A96AB3"/>
    <w:rsid w:val="00AA01DD"/>
    <w:rsid w:val="00AA0370"/>
    <w:rsid w:val="00AA0398"/>
    <w:rsid w:val="00AA07B2"/>
    <w:rsid w:val="00AA0A0E"/>
    <w:rsid w:val="00AA2162"/>
    <w:rsid w:val="00AA2EE1"/>
    <w:rsid w:val="00AA3A9D"/>
    <w:rsid w:val="00AA3DE9"/>
    <w:rsid w:val="00AA5F5F"/>
    <w:rsid w:val="00AB147A"/>
    <w:rsid w:val="00AB2A9B"/>
    <w:rsid w:val="00AB3B41"/>
    <w:rsid w:val="00AB3E99"/>
    <w:rsid w:val="00AB4A1A"/>
    <w:rsid w:val="00AC0087"/>
    <w:rsid w:val="00AC2326"/>
    <w:rsid w:val="00AC4F7B"/>
    <w:rsid w:val="00AC57B3"/>
    <w:rsid w:val="00AC5FD7"/>
    <w:rsid w:val="00AD130C"/>
    <w:rsid w:val="00AD1EAF"/>
    <w:rsid w:val="00AD3720"/>
    <w:rsid w:val="00AD5623"/>
    <w:rsid w:val="00AD5653"/>
    <w:rsid w:val="00AD6027"/>
    <w:rsid w:val="00AD6C06"/>
    <w:rsid w:val="00AD6D8E"/>
    <w:rsid w:val="00AD73E1"/>
    <w:rsid w:val="00AE0F0C"/>
    <w:rsid w:val="00AE1CA0"/>
    <w:rsid w:val="00AE2D72"/>
    <w:rsid w:val="00AE36D2"/>
    <w:rsid w:val="00AE3A7B"/>
    <w:rsid w:val="00AE49B6"/>
    <w:rsid w:val="00AE5A47"/>
    <w:rsid w:val="00AE746A"/>
    <w:rsid w:val="00AF0D70"/>
    <w:rsid w:val="00AF0F1B"/>
    <w:rsid w:val="00AF43E0"/>
    <w:rsid w:val="00AF4B3F"/>
    <w:rsid w:val="00AF64A4"/>
    <w:rsid w:val="00AF6E17"/>
    <w:rsid w:val="00B002E2"/>
    <w:rsid w:val="00B00648"/>
    <w:rsid w:val="00B03903"/>
    <w:rsid w:val="00B04B42"/>
    <w:rsid w:val="00B056D1"/>
    <w:rsid w:val="00B0740D"/>
    <w:rsid w:val="00B07D99"/>
    <w:rsid w:val="00B1329C"/>
    <w:rsid w:val="00B13B4F"/>
    <w:rsid w:val="00B169A3"/>
    <w:rsid w:val="00B20D98"/>
    <w:rsid w:val="00B20E1E"/>
    <w:rsid w:val="00B2154B"/>
    <w:rsid w:val="00B22A06"/>
    <w:rsid w:val="00B22D84"/>
    <w:rsid w:val="00B23E2B"/>
    <w:rsid w:val="00B24A65"/>
    <w:rsid w:val="00B26CD8"/>
    <w:rsid w:val="00B27485"/>
    <w:rsid w:val="00B30733"/>
    <w:rsid w:val="00B31FDF"/>
    <w:rsid w:val="00B351D4"/>
    <w:rsid w:val="00B35606"/>
    <w:rsid w:val="00B379B2"/>
    <w:rsid w:val="00B37C1D"/>
    <w:rsid w:val="00B4081D"/>
    <w:rsid w:val="00B42126"/>
    <w:rsid w:val="00B43D42"/>
    <w:rsid w:val="00B446D2"/>
    <w:rsid w:val="00B44B03"/>
    <w:rsid w:val="00B4615B"/>
    <w:rsid w:val="00B527FC"/>
    <w:rsid w:val="00B52DE7"/>
    <w:rsid w:val="00B532EB"/>
    <w:rsid w:val="00B5348B"/>
    <w:rsid w:val="00B542AF"/>
    <w:rsid w:val="00B54B41"/>
    <w:rsid w:val="00B567C5"/>
    <w:rsid w:val="00B57D4F"/>
    <w:rsid w:val="00B6073F"/>
    <w:rsid w:val="00B62F2F"/>
    <w:rsid w:val="00B64E23"/>
    <w:rsid w:val="00B66085"/>
    <w:rsid w:val="00B66D9F"/>
    <w:rsid w:val="00B673FB"/>
    <w:rsid w:val="00B7173C"/>
    <w:rsid w:val="00B71832"/>
    <w:rsid w:val="00B718D5"/>
    <w:rsid w:val="00B72C04"/>
    <w:rsid w:val="00B7638B"/>
    <w:rsid w:val="00B770F4"/>
    <w:rsid w:val="00B81029"/>
    <w:rsid w:val="00B83CA3"/>
    <w:rsid w:val="00B84BB6"/>
    <w:rsid w:val="00B861C8"/>
    <w:rsid w:val="00B862FE"/>
    <w:rsid w:val="00B871A7"/>
    <w:rsid w:val="00B87B30"/>
    <w:rsid w:val="00B919AC"/>
    <w:rsid w:val="00B92077"/>
    <w:rsid w:val="00B92134"/>
    <w:rsid w:val="00B92E4B"/>
    <w:rsid w:val="00B93071"/>
    <w:rsid w:val="00B93B3A"/>
    <w:rsid w:val="00B93EA6"/>
    <w:rsid w:val="00B9451A"/>
    <w:rsid w:val="00B946BB"/>
    <w:rsid w:val="00B94BC7"/>
    <w:rsid w:val="00B95993"/>
    <w:rsid w:val="00B96AEF"/>
    <w:rsid w:val="00BA272B"/>
    <w:rsid w:val="00BA36CA"/>
    <w:rsid w:val="00BA49F4"/>
    <w:rsid w:val="00BA5677"/>
    <w:rsid w:val="00BB071F"/>
    <w:rsid w:val="00BB2437"/>
    <w:rsid w:val="00BB30AF"/>
    <w:rsid w:val="00BB3486"/>
    <w:rsid w:val="00BB39E6"/>
    <w:rsid w:val="00BB7DC5"/>
    <w:rsid w:val="00BC3D10"/>
    <w:rsid w:val="00BC4D2D"/>
    <w:rsid w:val="00BC5201"/>
    <w:rsid w:val="00BC5A33"/>
    <w:rsid w:val="00BD0A43"/>
    <w:rsid w:val="00BD2547"/>
    <w:rsid w:val="00BD2CFF"/>
    <w:rsid w:val="00BD318B"/>
    <w:rsid w:val="00BD3FB9"/>
    <w:rsid w:val="00BD499A"/>
    <w:rsid w:val="00BD4FDA"/>
    <w:rsid w:val="00BE0436"/>
    <w:rsid w:val="00BE0819"/>
    <w:rsid w:val="00BE20EC"/>
    <w:rsid w:val="00BE2E1F"/>
    <w:rsid w:val="00BE3D56"/>
    <w:rsid w:val="00BE4581"/>
    <w:rsid w:val="00BE5052"/>
    <w:rsid w:val="00BE5AF9"/>
    <w:rsid w:val="00BE73F6"/>
    <w:rsid w:val="00BF4440"/>
    <w:rsid w:val="00BF4D8E"/>
    <w:rsid w:val="00BF5F91"/>
    <w:rsid w:val="00BF5FF8"/>
    <w:rsid w:val="00C00655"/>
    <w:rsid w:val="00C03F20"/>
    <w:rsid w:val="00C0414A"/>
    <w:rsid w:val="00C04B26"/>
    <w:rsid w:val="00C0525C"/>
    <w:rsid w:val="00C100C0"/>
    <w:rsid w:val="00C102B6"/>
    <w:rsid w:val="00C123D2"/>
    <w:rsid w:val="00C12E05"/>
    <w:rsid w:val="00C13283"/>
    <w:rsid w:val="00C138CF"/>
    <w:rsid w:val="00C14D63"/>
    <w:rsid w:val="00C14EBB"/>
    <w:rsid w:val="00C15BEE"/>
    <w:rsid w:val="00C217A9"/>
    <w:rsid w:val="00C22EDB"/>
    <w:rsid w:val="00C230DA"/>
    <w:rsid w:val="00C23F09"/>
    <w:rsid w:val="00C25075"/>
    <w:rsid w:val="00C2725E"/>
    <w:rsid w:val="00C304C9"/>
    <w:rsid w:val="00C31E1A"/>
    <w:rsid w:val="00C32ED7"/>
    <w:rsid w:val="00C3362B"/>
    <w:rsid w:val="00C34DCD"/>
    <w:rsid w:val="00C364EF"/>
    <w:rsid w:val="00C3699A"/>
    <w:rsid w:val="00C36F1E"/>
    <w:rsid w:val="00C37D22"/>
    <w:rsid w:val="00C37DFF"/>
    <w:rsid w:val="00C4028D"/>
    <w:rsid w:val="00C403AD"/>
    <w:rsid w:val="00C40427"/>
    <w:rsid w:val="00C40428"/>
    <w:rsid w:val="00C41C54"/>
    <w:rsid w:val="00C436A1"/>
    <w:rsid w:val="00C43E96"/>
    <w:rsid w:val="00C46923"/>
    <w:rsid w:val="00C47D2F"/>
    <w:rsid w:val="00C51F67"/>
    <w:rsid w:val="00C522C5"/>
    <w:rsid w:val="00C52D71"/>
    <w:rsid w:val="00C534F5"/>
    <w:rsid w:val="00C54CE4"/>
    <w:rsid w:val="00C55790"/>
    <w:rsid w:val="00C55EA4"/>
    <w:rsid w:val="00C57148"/>
    <w:rsid w:val="00C619B8"/>
    <w:rsid w:val="00C623FA"/>
    <w:rsid w:val="00C70746"/>
    <w:rsid w:val="00C73481"/>
    <w:rsid w:val="00C73558"/>
    <w:rsid w:val="00C74C14"/>
    <w:rsid w:val="00C750A6"/>
    <w:rsid w:val="00C76BAD"/>
    <w:rsid w:val="00C76EBF"/>
    <w:rsid w:val="00C778FA"/>
    <w:rsid w:val="00C800B6"/>
    <w:rsid w:val="00C81311"/>
    <w:rsid w:val="00C822B1"/>
    <w:rsid w:val="00C832AC"/>
    <w:rsid w:val="00C8715C"/>
    <w:rsid w:val="00C87475"/>
    <w:rsid w:val="00C87979"/>
    <w:rsid w:val="00C90625"/>
    <w:rsid w:val="00C90D4B"/>
    <w:rsid w:val="00C92C4D"/>
    <w:rsid w:val="00C93EB5"/>
    <w:rsid w:val="00C9519D"/>
    <w:rsid w:val="00C96441"/>
    <w:rsid w:val="00C966A1"/>
    <w:rsid w:val="00C9674B"/>
    <w:rsid w:val="00CA089D"/>
    <w:rsid w:val="00CA10A7"/>
    <w:rsid w:val="00CA3211"/>
    <w:rsid w:val="00CA3C32"/>
    <w:rsid w:val="00CA6F1F"/>
    <w:rsid w:val="00CB33F5"/>
    <w:rsid w:val="00CB6899"/>
    <w:rsid w:val="00CB7070"/>
    <w:rsid w:val="00CB73E9"/>
    <w:rsid w:val="00CC129A"/>
    <w:rsid w:val="00CC31E4"/>
    <w:rsid w:val="00CC37CF"/>
    <w:rsid w:val="00CC38AD"/>
    <w:rsid w:val="00CC4C5C"/>
    <w:rsid w:val="00CC53C2"/>
    <w:rsid w:val="00CD05AA"/>
    <w:rsid w:val="00CD158D"/>
    <w:rsid w:val="00CD1DC3"/>
    <w:rsid w:val="00CD277A"/>
    <w:rsid w:val="00CD2945"/>
    <w:rsid w:val="00CD4110"/>
    <w:rsid w:val="00CD62E4"/>
    <w:rsid w:val="00CD6D4B"/>
    <w:rsid w:val="00CD6E21"/>
    <w:rsid w:val="00CD74E8"/>
    <w:rsid w:val="00CD77D5"/>
    <w:rsid w:val="00CD7BFA"/>
    <w:rsid w:val="00CE11B3"/>
    <w:rsid w:val="00CE1662"/>
    <w:rsid w:val="00CE34A5"/>
    <w:rsid w:val="00CE464F"/>
    <w:rsid w:val="00CE65AD"/>
    <w:rsid w:val="00CE733C"/>
    <w:rsid w:val="00CE73E0"/>
    <w:rsid w:val="00CF008C"/>
    <w:rsid w:val="00CF018A"/>
    <w:rsid w:val="00CF230D"/>
    <w:rsid w:val="00CF4074"/>
    <w:rsid w:val="00CF6384"/>
    <w:rsid w:val="00CF6407"/>
    <w:rsid w:val="00CF6606"/>
    <w:rsid w:val="00CF6AF9"/>
    <w:rsid w:val="00CF6BA9"/>
    <w:rsid w:val="00CF7330"/>
    <w:rsid w:val="00CF73EC"/>
    <w:rsid w:val="00D00CE5"/>
    <w:rsid w:val="00D0101B"/>
    <w:rsid w:val="00D02F42"/>
    <w:rsid w:val="00D0361A"/>
    <w:rsid w:val="00D0469F"/>
    <w:rsid w:val="00D0492E"/>
    <w:rsid w:val="00D06E6E"/>
    <w:rsid w:val="00D07A6B"/>
    <w:rsid w:val="00D10841"/>
    <w:rsid w:val="00D12FA1"/>
    <w:rsid w:val="00D136FE"/>
    <w:rsid w:val="00D14558"/>
    <w:rsid w:val="00D15A90"/>
    <w:rsid w:val="00D160C4"/>
    <w:rsid w:val="00D162BD"/>
    <w:rsid w:val="00D1703F"/>
    <w:rsid w:val="00D20493"/>
    <w:rsid w:val="00D22333"/>
    <w:rsid w:val="00D243C0"/>
    <w:rsid w:val="00D25066"/>
    <w:rsid w:val="00D2577F"/>
    <w:rsid w:val="00D25C46"/>
    <w:rsid w:val="00D26B04"/>
    <w:rsid w:val="00D27804"/>
    <w:rsid w:val="00D3152E"/>
    <w:rsid w:val="00D3281A"/>
    <w:rsid w:val="00D344C7"/>
    <w:rsid w:val="00D34F85"/>
    <w:rsid w:val="00D35687"/>
    <w:rsid w:val="00D369A6"/>
    <w:rsid w:val="00D36DF9"/>
    <w:rsid w:val="00D40748"/>
    <w:rsid w:val="00D4076C"/>
    <w:rsid w:val="00D416B4"/>
    <w:rsid w:val="00D41B14"/>
    <w:rsid w:val="00D4247F"/>
    <w:rsid w:val="00D443DE"/>
    <w:rsid w:val="00D452E6"/>
    <w:rsid w:val="00D462BC"/>
    <w:rsid w:val="00D504E8"/>
    <w:rsid w:val="00D52638"/>
    <w:rsid w:val="00D52EE7"/>
    <w:rsid w:val="00D5413A"/>
    <w:rsid w:val="00D56971"/>
    <w:rsid w:val="00D5714F"/>
    <w:rsid w:val="00D57D36"/>
    <w:rsid w:val="00D57EF0"/>
    <w:rsid w:val="00D61875"/>
    <w:rsid w:val="00D61DD3"/>
    <w:rsid w:val="00D62803"/>
    <w:rsid w:val="00D62E74"/>
    <w:rsid w:val="00D633C3"/>
    <w:rsid w:val="00D63832"/>
    <w:rsid w:val="00D64902"/>
    <w:rsid w:val="00D65283"/>
    <w:rsid w:val="00D66930"/>
    <w:rsid w:val="00D672C0"/>
    <w:rsid w:val="00D677F9"/>
    <w:rsid w:val="00D71D01"/>
    <w:rsid w:val="00D7254F"/>
    <w:rsid w:val="00D725FA"/>
    <w:rsid w:val="00D73939"/>
    <w:rsid w:val="00D74463"/>
    <w:rsid w:val="00D75601"/>
    <w:rsid w:val="00D80773"/>
    <w:rsid w:val="00D80B1C"/>
    <w:rsid w:val="00D81123"/>
    <w:rsid w:val="00D82CDB"/>
    <w:rsid w:val="00D83AD1"/>
    <w:rsid w:val="00D86D32"/>
    <w:rsid w:val="00D8793C"/>
    <w:rsid w:val="00D87B87"/>
    <w:rsid w:val="00D9084C"/>
    <w:rsid w:val="00D90B07"/>
    <w:rsid w:val="00D91BBC"/>
    <w:rsid w:val="00DA1387"/>
    <w:rsid w:val="00DA29ED"/>
    <w:rsid w:val="00DA36CF"/>
    <w:rsid w:val="00DA4200"/>
    <w:rsid w:val="00DA4693"/>
    <w:rsid w:val="00DA4D9C"/>
    <w:rsid w:val="00DA6B5E"/>
    <w:rsid w:val="00DA6CBF"/>
    <w:rsid w:val="00DA6F2B"/>
    <w:rsid w:val="00DA7A62"/>
    <w:rsid w:val="00DB0B63"/>
    <w:rsid w:val="00DB2059"/>
    <w:rsid w:val="00DB294D"/>
    <w:rsid w:val="00DB47A6"/>
    <w:rsid w:val="00DB493C"/>
    <w:rsid w:val="00DB4D96"/>
    <w:rsid w:val="00DB518F"/>
    <w:rsid w:val="00DB5AA9"/>
    <w:rsid w:val="00DB5F7F"/>
    <w:rsid w:val="00DB63AC"/>
    <w:rsid w:val="00DB667A"/>
    <w:rsid w:val="00DB6D5B"/>
    <w:rsid w:val="00DC12D3"/>
    <w:rsid w:val="00DC1DDB"/>
    <w:rsid w:val="00DC3819"/>
    <w:rsid w:val="00DC557D"/>
    <w:rsid w:val="00DC5B25"/>
    <w:rsid w:val="00DC5BC2"/>
    <w:rsid w:val="00DC6999"/>
    <w:rsid w:val="00DC7DBA"/>
    <w:rsid w:val="00DD293E"/>
    <w:rsid w:val="00DD3C9B"/>
    <w:rsid w:val="00DD70A7"/>
    <w:rsid w:val="00DE00A2"/>
    <w:rsid w:val="00DE1116"/>
    <w:rsid w:val="00DE193F"/>
    <w:rsid w:val="00DE3551"/>
    <w:rsid w:val="00DE3963"/>
    <w:rsid w:val="00DE4F7C"/>
    <w:rsid w:val="00DE5835"/>
    <w:rsid w:val="00DF1ADC"/>
    <w:rsid w:val="00DF2AA4"/>
    <w:rsid w:val="00DF4DEC"/>
    <w:rsid w:val="00DF6043"/>
    <w:rsid w:val="00DF6E47"/>
    <w:rsid w:val="00E0132B"/>
    <w:rsid w:val="00E02B27"/>
    <w:rsid w:val="00E046C3"/>
    <w:rsid w:val="00E04A9A"/>
    <w:rsid w:val="00E04EDE"/>
    <w:rsid w:val="00E05193"/>
    <w:rsid w:val="00E05530"/>
    <w:rsid w:val="00E0615D"/>
    <w:rsid w:val="00E0674E"/>
    <w:rsid w:val="00E07195"/>
    <w:rsid w:val="00E12649"/>
    <w:rsid w:val="00E14924"/>
    <w:rsid w:val="00E14937"/>
    <w:rsid w:val="00E174F3"/>
    <w:rsid w:val="00E205B2"/>
    <w:rsid w:val="00E247E3"/>
    <w:rsid w:val="00E24964"/>
    <w:rsid w:val="00E24C42"/>
    <w:rsid w:val="00E312F7"/>
    <w:rsid w:val="00E3130A"/>
    <w:rsid w:val="00E3366B"/>
    <w:rsid w:val="00E346DE"/>
    <w:rsid w:val="00E35F63"/>
    <w:rsid w:val="00E362B6"/>
    <w:rsid w:val="00E369DC"/>
    <w:rsid w:val="00E36AA3"/>
    <w:rsid w:val="00E36BC8"/>
    <w:rsid w:val="00E37B5F"/>
    <w:rsid w:val="00E37E8F"/>
    <w:rsid w:val="00E403A0"/>
    <w:rsid w:val="00E42014"/>
    <w:rsid w:val="00E42C8C"/>
    <w:rsid w:val="00E42FF9"/>
    <w:rsid w:val="00E43B87"/>
    <w:rsid w:val="00E44087"/>
    <w:rsid w:val="00E4513F"/>
    <w:rsid w:val="00E455AE"/>
    <w:rsid w:val="00E457DD"/>
    <w:rsid w:val="00E45AF3"/>
    <w:rsid w:val="00E4607A"/>
    <w:rsid w:val="00E46AA1"/>
    <w:rsid w:val="00E47092"/>
    <w:rsid w:val="00E47241"/>
    <w:rsid w:val="00E50245"/>
    <w:rsid w:val="00E50CEC"/>
    <w:rsid w:val="00E53EB8"/>
    <w:rsid w:val="00E546C2"/>
    <w:rsid w:val="00E559AD"/>
    <w:rsid w:val="00E55A9D"/>
    <w:rsid w:val="00E56766"/>
    <w:rsid w:val="00E57403"/>
    <w:rsid w:val="00E6111F"/>
    <w:rsid w:val="00E6117B"/>
    <w:rsid w:val="00E6185D"/>
    <w:rsid w:val="00E62C99"/>
    <w:rsid w:val="00E632CB"/>
    <w:rsid w:val="00E63664"/>
    <w:rsid w:val="00E63DA6"/>
    <w:rsid w:val="00E65E38"/>
    <w:rsid w:val="00E6649B"/>
    <w:rsid w:val="00E66672"/>
    <w:rsid w:val="00E6683B"/>
    <w:rsid w:val="00E70817"/>
    <w:rsid w:val="00E71182"/>
    <w:rsid w:val="00E720B6"/>
    <w:rsid w:val="00E72267"/>
    <w:rsid w:val="00E734D7"/>
    <w:rsid w:val="00E73578"/>
    <w:rsid w:val="00E73933"/>
    <w:rsid w:val="00E74CE9"/>
    <w:rsid w:val="00E75005"/>
    <w:rsid w:val="00E759B4"/>
    <w:rsid w:val="00E80BC4"/>
    <w:rsid w:val="00E83D12"/>
    <w:rsid w:val="00E861F0"/>
    <w:rsid w:val="00E86468"/>
    <w:rsid w:val="00E86568"/>
    <w:rsid w:val="00E87CFF"/>
    <w:rsid w:val="00E901B4"/>
    <w:rsid w:val="00E9068D"/>
    <w:rsid w:val="00E90CF3"/>
    <w:rsid w:val="00E9105A"/>
    <w:rsid w:val="00E910BA"/>
    <w:rsid w:val="00E912DE"/>
    <w:rsid w:val="00E91CA5"/>
    <w:rsid w:val="00E93CFF"/>
    <w:rsid w:val="00E96AAD"/>
    <w:rsid w:val="00EA06C4"/>
    <w:rsid w:val="00EA249C"/>
    <w:rsid w:val="00EA5388"/>
    <w:rsid w:val="00EA6630"/>
    <w:rsid w:val="00EB0B69"/>
    <w:rsid w:val="00EB2560"/>
    <w:rsid w:val="00EB2BB4"/>
    <w:rsid w:val="00EB44A8"/>
    <w:rsid w:val="00EB5317"/>
    <w:rsid w:val="00EB56A7"/>
    <w:rsid w:val="00EB66D6"/>
    <w:rsid w:val="00EB6A73"/>
    <w:rsid w:val="00EB7225"/>
    <w:rsid w:val="00EB796C"/>
    <w:rsid w:val="00EB7F4F"/>
    <w:rsid w:val="00EC22F9"/>
    <w:rsid w:val="00EC4902"/>
    <w:rsid w:val="00EC4A1B"/>
    <w:rsid w:val="00EC68E7"/>
    <w:rsid w:val="00EC6C91"/>
    <w:rsid w:val="00EC765F"/>
    <w:rsid w:val="00ED1B2E"/>
    <w:rsid w:val="00ED35E6"/>
    <w:rsid w:val="00ED3DC0"/>
    <w:rsid w:val="00ED5F4B"/>
    <w:rsid w:val="00ED7F16"/>
    <w:rsid w:val="00EE0002"/>
    <w:rsid w:val="00EE0450"/>
    <w:rsid w:val="00EE13FA"/>
    <w:rsid w:val="00EE332E"/>
    <w:rsid w:val="00EE34FF"/>
    <w:rsid w:val="00EE521D"/>
    <w:rsid w:val="00EE5F0E"/>
    <w:rsid w:val="00EE6E21"/>
    <w:rsid w:val="00EF064D"/>
    <w:rsid w:val="00EF07F6"/>
    <w:rsid w:val="00EF0975"/>
    <w:rsid w:val="00EF11F3"/>
    <w:rsid w:val="00EF2AF8"/>
    <w:rsid w:val="00EF2E2A"/>
    <w:rsid w:val="00EF3999"/>
    <w:rsid w:val="00EF3E8D"/>
    <w:rsid w:val="00EF4413"/>
    <w:rsid w:val="00EF48FC"/>
    <w:rsid w:val="00EF5147"/>
    <w:rsid w:val="00EF542E"/>
    <w:rsid w:val="00EF5CBF"/>
    <w:rsid w:val="00EF6FA9"/>
    <w:rsid w:val="00EF7D6D"/>
    <w:rsid w:val="00F0138B"/>
    <w:rsid w:val="00F01865"/>
    <w:rsid w:val="00F02975"/>
    <w:rsid w:val="00F03535"/>
    <w:rsid w:val="00F04218"/>
    <w:rsid w:val="00F0531E"/>
    <w:rsid w:val="00F066F9"/>
    <w:rsid w:val="00F0707F"/>
    <w:rsid w:val="00F07DD1"/>
    <w:rsid w:val="00F1188C"/>
    <w:rsid w:val="00F1202C"/>
    <w:rsid w:val="00F1279A"/>
    <w:rsid w:val="00F12EE1"/>
    <w:rsid w:val="00F134B3"/>
    <w:rsid w:val="00F13BE7"/>
    <w:rsid w:val="00F144C8"/>
    <w:rsid w:val="00F15443"/>
    <w:rsid w:val="00F15866"/>
    <w:rsid w:val="00F16DF3"/>
    <w:rsid w:val="00F20958"/>
    <w:rsid w:val="00F22218"/>
    <w:rsid w:val="00F23E3D"/>
    <w:rsid w:val="00F246B1"/>
    <w:rsid w:val="00F2756C"/>
    <w:rsid w:val="00F304A0"/>
    <w:rsid w:val="00F3219F"/>
    <w:rsid w:val="00F32A54"/>
    <w:rsid w:val="00F36270"/>
    <w:rsid w:val="00F40C7C"/>
    <w:rsid w:val="00F429A8"/>
    <w:rsid w:val="00F46DF4"/>
    <w:rsid w:val="00F473FB"/>
    <w:rsid w:val="00F475F7"/>
    <w:rsid w:val="00F47893"/>
    <w:rsid w:val="00F47BB6"/>
    <w:rsid w:val="00F47D74"/>
    <w:rsid w:val="00F51CB2"/>
    <w:rsid w:val="00F52B2F"/>
    <w:rsid w:val="00F5376C"/>
    <w:rsid w:val="00F548B5"/>
    <w:rsid w:val="00F55523"/>
    <w:rsid w:val="00F55D3D"/>
    <w:rsid w:val="00F562EB"/>
    <w:rsid w:val="00F57CD1"/>
    <w:rsid w:val="00F57EAF"/>
    <w:rsid w:val="00F60795"/>
    <w:rsid w:val="00F62B1E"/>
    <w:rsid w:val="00F631F9"/>
    <w:rsid w:val="00F655D5"/>
    <w:rsid w:val="00F67ACC"/>
    <w:rsid w:val="00F70414"/>
    <w:rsid w:val="00F74BBC"/>
    <w:rsid w:val="00F74CD5"/>
    <w:rsid w:val="00F753D3"/>
    <w:rsid w:val="00F767AF"/>
    <w:rsid w:val="00F7698C"/>
    <w:rsid w:val="00F77A96"/>
    <w:rsid w:val="00F77C99"/>
    <w:rsid w:val="00F80245"/>
    <w:rsid w:val="00F80958"/>
    <w:rsid w:val="00F81B40"/>
    <w:rsid w:val="00F83705"/>
    <w:rsid w:val="00F83A44"/>
    <w:rsid w:val="00F83DF4"/>
    <w:rsid w:val="00F83F06"/>
    <w:rsid w:val="00F87BF0"/>
    <w:rsid w:val="00F87EB7"/>
    <w:rsid w:val="00F91640"/>
    <w:rsid w:val="00F92714"/>
    <w:rsid w:val="00F93203"/>
    <w:rsid w:val="00F936A3"/>
    <w:rsid w:val="00F94308"/>
    <w:rsid w:val="00F94B99"/>
    <w:rsid w:val="00F94DE5"/>
    <w:rsid w:val="00F9600C"/>
    <w:rsid w:val="00FA02A1"/>
    <w:rsid w:val="00FA08C4"/>
    <w:rsid w:val="00FA1D61"/>
    <w:rsid w:val="00FA26C1"/>
    <w:rsid w:val="00FA59D1"/>
    <w:rsid w:val="00FA5E32"/>
    <w:rsid w:val="00FA6CE9"/>
    <w:rsid w:val="00FA7690"/>
    <w:rsid w:val="00FA794D"/>
    <w:rsid w:val="00FB028A"/>
    <w:rsid w:val="00FB6A0D"/>
    <w:rsid w:val="00FB7BBE"/>
    <w:rsid w:val="00FC04F8"/>
    <w:rsid w:val="00FC0F3F"/>
    <w:rsid w:val="00FC231C"/>
    <w:rsid w:val="00FC284F"/>
    <w:rsid w:val="00FC4206"/>
    <w:rsid w:val="00FC4954"/>
    <w:rsid w:val="00FC7303"/>
    <w:rsid w:val="00FD0E6B"/>
    <w:rsid w:val="00FD0FFD"/>
    <w:rsid w:val="00FD1B98"/>
    <w:rsid w:val="00FD2BAB"/>
    <w:rsid w:val="00FD4E4B"/>
    <w:rsid w:val="00FE069D"/>
    <w:rsid w:val="00FE17AA"/>
    <w:rsid w:val="00FE2044"/>
    <w:rsid w:val="00FE41D2"/>
    <w:rsid w:val="00FE61B1"/>
    <w:rsid w:val="00FE66BC"/>
    <w:rsid w:val="00FE6A56"/>
    <w:rsid w:val="00FE782E"/>
    <w:rsid w:val="00FE7A1D"/>
    <w:rsid w:val="00FE7C3F"/>
    <w:rsid w:val="00FE7D39"/>
    <w:rsid w:val="00FF0088"/>
    <w:rsid w:val="00FF058C"/>
    <w:rsid w:val="00FF3758"/>
    <w:rsid w:val="00FF3E23"/>
    <w:rsid w:val="00FF3F69"/>
    <w:rsid w:val="00FF42EC"/>
    <w:rsid w:val="00FF4746"/>
    <w:rsid w:val="00FF5B7C"/>
    <w:rsid w:val="00FF60C4"/>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A0FC2"/>
  <w15:docId w15:val="{09BE6BE7-272B-411F-B3B7-BC8BCFD2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3DCA"/>
    <w:pPr>
      <w:jc w:val="both"/>
    </w:pPr>
    <w:rPr>
      <w:rFonts w:ascii="Arial" w:hAnsi="Arial"/>
      <w:sz w:val="22"/>
      <w:lang w:eastAsia="en-US"/>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qFormat/>
    <w:rsid w:val="00901694"/>
    <w:pPr>
      <w:keepNext/>
      <w:numPr>
        <w:ilvl w:val="2"/>
        <w:numId w:val="9"/>
      </w:numPr>
      <w:spacing w:after="240"/>
      <w:outlineLvl w:val="2"/>
    </w:pPr>
    <w:rPr>
      <w:b/>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7972"/>
    <w:rPr>
      <w:b/>
    </w:rPr>
  </w:style>
  <w:style w:type="paragraph" w:styleId="BodyText2">
    <w:name w:val="Body Text 2"/>
    <w:basedOn w:val="Normal"/>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aliases w:val="Tabelhoofdkop"/>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lang w:eastAsia="en-US"/>
    </w:rPr>
  </w:style>
  <w:style w:type="character" w:styleId="EndnoteReference">
    <w:name w:val="endnote reference"/>
    <w:basedOn w:val="DefaultParagraphFont"/>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rsid w:val="009A7972"/>
    <w:pPr>
      <w:tabs>
        <w:tab w:val="center" w:pos="4320"/>
        <w:tab w:val="right" w:pos="8640"/>
      </w:tabs>
    </w:pPr>
  </w:style>
  <w:style w:type="character" w:styleId="FootnoteReference">
    <w:name w:val="footnote reference"/>
    <w:basedOn w:val="DefaultParagraphFont"/>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lang w:eastAsia="en-US"/>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lang w:eastAsia="en-US"/>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lang w:eastAsia="en-US"/>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lang w:eastAsia="en-US"/>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lang w:eastAsia="en-US"/>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lang w:eastAsia="en-US"/>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lang w:eastAsia="en-US"/>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lang w:eastAsia="en-US"/>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lang w:eastAsia="en-US"/>
    </w:rPr>
  </w:style>
  <w:style w:type="paragraph" w:customStyle="1" w:styleId="TA">
    <w:name w:val="TA"/>
    <w:rsid w:val="009A7972"/>
    <w:pPr>
      <w:jc w:val="both"/>
    </w:pPr>
    <w:rPr>
      <w:rFonts w:ascii="Arial" w:hAnsi="Arial"/>
      <w:sz w:val="22"/>
      <w:lang w:eastAsia="en-US"/>
    </w:rPr>
  </w:style>
  <w:style w:type="paragraph" w:customStyle="1" w:styleId="ta0">
    <w:name w:val="ta"/>
    <w:rsid w:val="009A7972"/>
    <w:pPr>
      <w:jc w:val="both"/>
    </w:pPr>
    <w:rPr>
      <w:rFonts w:ascii="Arial" w:hAnsi="Arial"/>
      <w:sz w:val="22"/>
      <w:lang w:eastAsia="en-US"/>
    </w:rPr>
  </w:style>
  <w:style w:type="paragraph" w:customStyle="1" w:styleId="TA1">
    <w:name w:val="TA1"/>
    <w:rsid w:val="009A7972"/>
    <w:pPr>
      <w:jc w:val="both"/>
    </w:pPr>
    <w:rPr>
      <w:rFonts w:ascii="Arial" w:hAnsi="Arial"/>
      <w:sz w:val="22"/>
      <w:lang w:eastAsia="en-US"/>
    </w:rPr>
  </w:style>
  <w:style w:type="paragraph" w:customStyle="1" w:styleId="Technical4">
    <w:name w:val="Technical 4"/>
    <w:rsid w:val="009A7972"/>
    <w:pPr>
      <w:tabs>
        <w:tab w:val="left" w:pos="-720"/>
      </w:tabs>
    </w:pPr>
    <w:rPr>
      <w:rFonts w:ascii="Swiss 721 Roman" w:hAnsi="Swiss 721 Roman"/>
      <w:b/>
      <w:sz w:val="18"/>
      <w:lang w:eastAsia="en-US"/>
    </w:rPr>
  </w:style>
  <w:style w:type="paragraph" w:customStyle="1" w:styleId="Technical5">
    <w:name w:val="Technical 5"/>
    <w:rsid w:val="009A7972"/>
    <w:pPr>
      <w:tabs>
        <w:tab w:val="left" w:pos="-720"/>
      </w:tabs>
      <w:ind w:firstLine="720"/>
    </w:pPr>
    <w:rPr>
      <w:rFonts w:ascii="Swiss 721 Roman" w:hAnsi="Swiss 721 Roman"/>
      <w:b/>
      <w:sz w:val="18"/>
      <w:lang w:eastAsia="en-US"/>
    </w:rPr>
  </w:style>
  <w:style w:type="paragraph" w:customStyle="1" w:styleId="Technical6">
    <w:name w:val="Technical 6"/>
    <w:rsid w:val="009A7972"/>
    <w:pPr>
      <w:tabs>
        <w:tab w:val="left" w:pos="-720"/>
      </w:tabs>
      <w:ind w:firstLine="720"/>
    </w:pPr>
    <w:rPr>
      <w:rFonts w:ascii="Swiss 721 Roman" w:hAnsi="Swiss 721 Roman"/>
      <w:b/>
      <w:sz w:val="18"/>
      <w:lang w:eastAsia="en-US"/>
    </w:rPr>
  </w:style>
  <w:style w:type="paragraph" w:customStyle="1" w:styleId="Technical7">
    <w:name w:val="Technical 7"/>
    <w:rsid w:val="009A7972"/>
    <w:pPr>
      <w:tabs>
        <w:tab w:val="left" w:pos="-720"/>
      </w:tabs>
      <w:ind w:firstLine="720"/>
    </w:pPr>
    <w:rPr>
      <w:rFonts w:ascii="Swiss 721 Roman" w:hAnsi="Swiss 721 Roman"/>
      <w:b/>
      <w:sz w:val="18"/>
      <w:lang w:eastAsia="en-US"/>
    </w:rPr>
  </w:style>
  <w:style w:type="paragraph" w:customStyle="1" w:styleId="Technical8">
    <w:name w:val="Technical 8"/>
    <w:rsid w:val="009A7972"/>
    <w:pPr>
      <w:tabs>
        <w:tab w:val="left" w:pos="-720"/>
      </w:tabs>
      <w:ind w:firstLine="720"/>
    </w:pPr>
    <w:rPr>
      <w:rFonts w:ascii="Swiss 721 Roman" w:hAnsi="Swiss 721 Roman"/>
      <w:b/>
      <w:sz w:val="18"/>
      <w:lang w:eastAsia="en-US"/>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table" w:styleId="TableGrid">
    <w:name w:val="Table Grid"/>
    <w:basedOn w:val="TableNormal"/>
    <w:rsid w:val="000D5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202C"/>
    <w:rPr>
      <w:rFonts w:ascii="Tahoma" w:hAnsi="Tahoma" w:cs="Tahoma"/>
      <w:sz w:val="16"/>
      <w:szCs w:val="16"/>
    </w:rPr>
  </w:style>
  <w:style w:type="paragraph" w:styleId="CommentText">
    <w:name w:val="annotation text"/>
    <w:basedOn w:val="Normal"/>
    <w:semiHidden/>
    <w:rsid w:val="00D1703F"/>
    <w:rPr>
      <w:rFonts w:eastAsia="SimSun" w:cs="Arial"/>
      <w:sz w:val="20"/>
      <w:lang w:eastAsia="zh-CN"/>
    </w:rPr>
  </w:style>
  <w:style w:type="paragraph" w:customStyle="1" w:styleId="Default">
    <w:name w:val="Default"/>
    <w:rsid w:val="003D7CB8"/>
    <w:pPr>
      <w:autoSpaceDE w:val="0"/>
      <w:autoSpaceDN w:val="0"/>
      <w:adjustRightInd w:val="0"/>
    </w:pPr>
    <w:rPr>
      <w:rFonts w:eastAsia="MS Mincho"/>
      <w:color w:val="000000"/>
      <w:sz w:val="24"/>
      <w:szCs w:val="24"/>
      <w:lang w:eastAsia="ja-JP"/>
    </w:rPr>
  </w:style>
  <w:style w:type="character" w:styleId="CommentReference">
    <w:name w:val="annotation reference"/>
    <w:basedOn w:val="DefaultParagraphFont"/>
    <w:semiHidden/>
    <w:rsid w:val="00656445"/>
    <w:rPr>
      <w:sz w:val="16"/>
      <w:szCs w:val="16"/>
    </w:rPr>
  </w:style>
  <w:style w:type="character" w:styleId="Hyperlink">
    <w:name w:val="Hyperlink"/>
    <w:basedOn w:val="DefaultParagraphFont"/>
    <w:rsid w:val="00132992"/>
    <w:rPr>
      <w:color w:val="0000FF"/>
      <w:u w:val="single"/>
    </w:rPr>
  </w:style>
  <w:style w:type="paragraph" w:styleId="ListParagraph">
    <w:name w:val="List Paragraph"/>
    <w:basedOn w:val="Normal"/>
    <w:qFormat/>
    <w:rsid w:val="00371E01"/>
    <w:pPr>
      <w:spacing w:after="200" w:line="276" w:lineRule="auto"/>
      <w:ind w:left="720"/>
      <w:contextualSpacing/>
      <w:jc w:val="left"/>
    </w:pPr>
    <w:rPr>
      <w:rFonts w:ascii="Calibri" w:eastAsia="Calibri" w:hAnsi="Calibri"/>
      <w:szCs w:val="22"/>
      <w:lang w:val="en-CA"/>
    </w:rPr>
  </w:style>
  <w:style w:type="character" w:styleId="FollowedHyperlink">
    <w:name w:val="FollowedHyperlink"/>
    <w:basedOn w:val="DefaultParagraphFont"/>
    <w:rsid w:val="00076098"/>
    <w:rPr>
      <w:color w:val="800080" w:themeColor="followedHyperlink"/>
      <w:u w:val="single"/>
    </w:rPr>
  </w:style>
  <w:style w:type="character" w:customStyle="1" w:styleId="HeaderChar">
    <w:name w:val="Header Char"/>
    <w:basedOn w:val="DefaultParagraphFont"/>
    <w:link w:val="Header"/>
    <w:uiPriority w:val="99"/>
    <w:rsid w:val="00AF43E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69537">
      <w:bodyDiv w:val="1"/>
      <w:marLeft w:val="0"/>
      <w:marRight w:val="0"/>
      <w:marTop w:val="0"/>
      <w:marBottom w:val="0"/>
      <w:divBdr>
        <w:top w:val="none" w:sz="0" w:space="0" w:color="auto"/>
        <w:left w:val="none" w:sz="0" w:space="0" w:color="auto"/>
        <w:bottom w:val="none" w:sz="0" w:space="0" w:color="auto"/>
        <w:right w:val="none" w:sz="0" w:space="0" w:color="auto"/>
      </w:divBdr>
    </w:div>
    <w:div w:id="3301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E9FD-C520-4D6C-981E-67241A42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8</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Division</vt:lpstr>
    </vt:vector>
  </TitlesOfParts>
  <Company>Asian Development Bank</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c:title>
  <dc:subject/>
  <dc:creator>BMD</dc:creator>
  <cp:keywords/>
  <dc:description/>
  <cp:lastModifiedBy>Benson Sim</cp:lastModifiedBy>
  <cp:revision>33</cp:revision>
  <cp:lastPrinted>2018-10-08T18:17:00Z</cp:lastPrinted>
  <dcterms:created xsi:type="dcterms:W3CDTF">2018-08-30T14:42:00Z</dcterms:created>
  <dcterms:modified xsi:type="dcterms:W3CDTF">2018-10-26T20:28:00Z</dcterms:modified>
</cp:coreProperties>
</file>