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B5252" w14:textId="77777777" w:rsidR="001B4E25" w:rsidRDefault="001B4E25" w:rsidP="00DF4D13">
      <w:pPr>
        <w:pBdr>
          <w:top w:val="single" w:sz="4" w:space="1" w:color="auto"/>
        </w:pBdr>
        <w:ind w:right="17"/>
        <w:rPr>
          <w:rFonts w:ascii="Times New Roman" w:hAnsi="Times New Roman"/>
        </w:rPr>
      </w:pPr>
    </w:p>
    <w:p w14:paraId="1562157E" w14:textId="77777777" w:rsidR="00226007" w:rsidRDefault="001B4E25" w:rsidP="000E132A">
      <w:pPr>
        <w:pBdr>
          <w:top w:val="single" w:sz="4" w:space="1" w:color="auto"/>
        </w:pBdr>
        <w:tabs>
          <w:tab w:val="left" w:pos="7088"/>
        </w:tabs>
        <w:ind w:right="17"/>
        <w:jc w:val="right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sz w:val="24"/>
        </w:rPr>
        <w:t>SCB-FS 2016:17</w:t>
      </w:r>
    </w:p>
    <w:p w14:paraId="6EDF465B" w14:textId="77777777" w:rsidR="00226007" w:rsidRPr="0022545D" w:rsidRDefault="00226007" w:rsidP="000E132A">
      <w:pPr>
        <w:tabs>
          <w:tab w:val="left" w:pos="7088"/>
        </w:tabs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</w:rPr>
        <w:t>Printed</w:t>
      </w:r>
    </w:p>
    <w:p w14:paraId="069B0B1F" w14:textId="77777777" w:rsidR="001756A4" w:rsidRPr="00F22926" w:rsidRDefault="00E51BFD" w:rsidP="000E132A">
      <w:pPr>
        <w:tabs>
          <w:tab w:val="left" w:pos="7088"/>
        </w:tabs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28 September 2016</w:t>
      </w:r>
    </w:p>
    <w:p w14:paraId="050653B2" w14:textId="77777777" w:rsidR="0096197A" w:rsidRDefault="0096197A" w:rsidP="0077775A">
      <w:pPr>
        <w:tabs>
          <w:tab w:val="left" w:pos="7088"/>
        </w:tabs>
        <w:ind w:right="3447"/>
        <w:rPr>
          <w:rFonts w:ascii="Times New Roman" w:hAnsi="Times New Roman"/>
          <w:vanish/>
          <w:szCs w:val="20"/>
        </w:rPr>
      </w:pPr>
    </w:p>
    <w:p w14:paraId="5EC58650" w14:textId="77777777" w:rsidR="00754B1F" w:rsidRDefault="00754B1F" w:rsidP="0077775A">
      <w:pPr>
        <w:tabs>
          <w:tab w:val="left" w:pos="7088"/>
        </w:tabs>
        <w:ind w:right="3447"/>
        <w:rPr>
          <w:rFonts w:ascii="Times New Roman" w:hAnsi="Times New Roman"/>
          <w:vanish/>
          <w:szCs w:val="20"/>
        </w:rPr>
      </w:pPr>
    </w:p>
    <w:p w14:paraId="5ABEA32C" w14:textId="77777777" w:rsidR="00C26798" w:rsidRPr="0077775A" w:rsidRDefault="00C26798" w:rsidP="0077775A">
      <w:pPr>
        <w:tabs>
          <w:tab w:val="left" w:pos="7088"/>
        </w:tabs>
        <w:ind w:right="3447"/>
        <w:rPr>
          <w:rFonts w:ascii="Times New Roman" w:hAnsi="Times New Roman"/>
          <w:vanish/>
          <w:szCs w:val="20"/>
        </w:rPr>
      </w:pPr>
    </w:p>
    <w:p w14:paraId="5E86AF57" w14:textId="77777777" w:rsidR="00327586" w:rsidRPr="00B5155E" w:rsidRDefault="00327586" w:rsidP="00B5155E">
      <w:pPr>
        <w:tabs>
          <w:tab w:val="left" w:pos="7088"/>
        </w:tabs>
        <w:ind w:right="3447"/>
        <w:rPr>
          <w:rFonts w:ascii="Times New Roman" w:hAnsi="Times New Roman"/>
          <w:szCs w:val="20"/>
        </w:rPr>
      </w:pPr>
    </w:p>
    <w:p w14:paraId="70018D12" w14:textId="77777777" w:rsidR="001756A4" w:rsidRPr="002D7000" w:rsidRDefault="00B5155E" w:rsidP="00FF2CEE">
      <w:pPr>
        <w:tabs>
          <w:tab w:val="left" w:pos="6379"/>
        </w:tabs>
        <w:rPr>
          <w:rStyle w:val="h2"/>
          <w:rFonts w:ascii="Times New Roman" w:hAnsi="Times New Roman"/>
          <w:b/>
          <w:sz w:val="28"/>
          <w:szCs w:val="28"/>
        </w:rPr>
      </w:pPr>
      <w:r>
        <w:rPr>
          <w:rStyle w:val="h2"/>
          <w:rFonts w:ascii="Times New Roman" w:hAnsi="Times New Roman"/>
          <w:b/>
          <w:sz w:val="28"/>
          <w:szCs w:val="28"/>
        </w:rPr>
        <w:t>Statistics Sweden’s regulations on quality in official statistics;</w:t>
      </w:r>
    </w:p>
    <w:p w14:paraId="068DDE09" w14:textId="77777777" w:rsidR="001756A4" w:rsidRPr="00DF4D13" w:rsidRDefault="001756A4" w:rsidP="00EE0578">
      <w:pPr>
        <w:ind w:right="3277"/>
      </w:pPr>
    </w:p>
    <w:p w14:paraId="0B8BA15E" w14:textId="77777777" w:rsidR="00B5155E" w:rsidRPr="001756A4" w:rsidRDefault="00B5155E" w:rsidP="00FF2CEE">
      <w:pPr>
        <w:jc w:val="both"/>
        <w:rPr>
          <w:rFonts w:ascii="Times New Roman" w:hAnsi="Times New Roman"/>
          <w:b/>
          <w:sz w:val="24"/>
        </w:rPr>
      </w:pPr>
      <w:proofErr w:type="gramStart"/>
      <w:r w:rsidRPr="00B60096">
        <w:rPr>
          <w:rFonts w:ascii="Times New Roman" w:hAnsi="Times New Roman"/>
        </w:rPr>
        <w:t>decided</w:t>
      </w:r>
      <w:proofErr w:type="gramEnd"/>
      <w:r>
        <w:rPr>
          <w:rFonts w:ascii="Times New Roman" w:hAnsi="Times New Roman"/>
        </w:rPr>
        <w:t xml:space="preserve"> on 14 June 2016.</w:t>
      </w:r>
    </w:p>
    <w:p w14:paraId="06BA3911" w14:textId="77777777" w:rsidR="00B5155E" w:rsidRDefault="00B5155E" w:rsidP="00FF2CEE">
      <w:pPr>
        <w:jc w:val="both"/>
        <w:rPr>
          <w:rFonts w:ascii="Times New Roman" w:hAnsi="Times New Roman"/>
        </w:rPr>
      </w:pPr>
    </w:p>
    <w:p w14:paraId="312BF135" w14:textId="77777777" w:rsidR="002D7000" w:rsidRPr="00B5155E" w:rsidRDefault="002D7000" w:rsidP="00FF2C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Statistics Sweden prescribes the following with the support of Section 16</w:t>
      </w:r>
      <w:r w:rsidR="000F2AA1">
        <w:rPr>
          <w:rFonts w:ascii="Times New Roman" w:hAnsi="Times New Roman"/>
        </w:rPr>
        <w:t>, item 2</w:t>
      </w:r>
      <w:r>
        <w:rPr>
          <w:rFonts w:ascii="Times New Roman" w:hAnsi="Times New Roman"/>
        </w:rPr>
        <w:t xml:space="preserve"> of the Official Statistics Ordinance (2001:100).</w:t>
      </w:r>
    </w:p>
    <w:p w14:paraId="7DD14249" w14:textId="77777777" w:rsidR="002F2989" w:rsidRPr="008E60EC" w:rsidRDefault="002F2989" w:rsidP="008C526D">
      <w:pPr>
        <w:spacing w:before="240" w:after="60"/>
        <w:jc w:val="both"/>
        <w:outlineLvl w:val="0"/>
        <w:rPr>
          <w:rFonts w:ascii="Arial" w:hAnsi="Arial" w:cs="Arial"/>
          <w:b/>
        </w:rPr>
      </w:pPr>
      <w:r>
        <w:rPr>
          <w:rFonts w:ascii="Arial" w:hAnsi="Arial"/>
          <w:b/>
        </w:rPr>
        <w:t>Area of application</w:t>
      </w:r>
    </w:p>
    <w:p w14:paraId="5FE8E806" w14:textId="77777777" w:rsidR="00175C82" w:rsidRDefault="002F2989" w:rsidP="00175C82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Section 1</w:t>
      </w:r>
      <w:r w:rsidR="007004CA">
        <w:rPr>
          <w:rFonts w:ascii="Times New Roman" w:hAnsi="Times New Roman"/>
        </w:rPr>
        <w:tab/>
      </w:r>
      <w:r>
        <w:rPr>
          <w:rFonts w:ascii="Times New Roman" w:hAnsi="Times New Roman"/>
        </w:rPr>
        <w:t>These regulations contain provisions on quality in official statistics according to Section 3a of the Official Statistics Act (2001:99).</w:t>
      </w:r>
    </w:p>
    <w:p w14:paraId="051A119D" w14:textId="77777777" w:rsidR="002F2989" w:rsidRPr="002F2989" w:rsidRDefault="002F2989" w:rsidP="00175C82">
      <w:p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14:paraId="542268EF" w14:textId="77777777" w:rsidR="002F2989" w:rsidRPr="002F2989" w:rsidRDefault="002F2989" w:rsidP="00175C82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Section 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BE7E1D">
        <w:rPr>
          <w:rFonts w:ascii="Times New Roman" w:hAnsi="Times New Roman"/>
        </w:rPr>
        <w:t>It follows from</w:t>
      </w:r>
      <w:r>
        <w:rPr>
          <w:rFonts w:ascii="Times New Roman" w:hAnsi="Times New Roman"/>
        </w:rPr>
        <w:t xml:space="preserve"> Section 3a of the Official Statistics Act (2001:99)</w:t>
      </w:r>
      <w:r w:rsidR="00BE7E1D">
        <w:rPr>
          <w:rFonts w:ascii="Times New Roman" w:hAnsi="Times New Roman"/>
        </w:rPr>
        <w:t xml:space="preserve"> that</w:t>
      </w:r>
      <w:r>
        <w:rPr>
          <w:rFonts w:ascii="Times New Roman" w:hAnsi="Times New Roman"/>
        </w:rPr>
        <w:t>, in order to assure the quality of statistics with regard to its development, production</w:t>
      </w:r>
      <w:r w:rsidR="0046491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and dissemination, the quality criteria relevance, accuracy, timeliness, punctuality, </w:t>
      </w:r>
      <w:r w:rsidR="005F0A3D">
        <w:rPr>
          <w:rFonts w:ascii="Times New Roman" w:hAnsi="Times New Roman"/>
        </w:rPr>
        <w:t>ac</w:t>
      </w:r>
      <w:r w:rsidR="00F66C15">
        <w:rPr>
          <w:rFonts w:ascii="Times New Roman" w:hAnsi="Times New Roman"/>
        </w:rPr>
        <w:t>c</w:t>
      </w:r>
      <w:r w:rsidR="005F0A3D">
        <w:rPr>
          <w:rFonts w:ascii="Times New Roman" w:hAnsi="Times New Roman"/>
        </w:rPr>
        <w:t>essibility</w:t>
      </w:r>
      <w:r w:rsidR="0001418B">
        <w:rPr>
          <w:rFonts w:ascii="Times New Roman" w:hAnsi="Times New Roman"/>
        </w:rPr>
        <w:t xml:space="preserve"> and</w:t>
      </w:r>
      <w:r>
        <w:rPr>
          <w:rFonts w:ascii="Times New Roman" w:hAnsi="Times New Roman"/>
        </w:rPr>
        <w:t xml:space="preserve"> clarity</w:t>
      </w:r>
      <w:r w:rsidR="00E540D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comparability</w:t>
      </w:r>
      <w:r w:rsidR="00E540D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and coherence </w:t>
      </w:r>
      <w:proofErr w:type="gramStart"/>
      <w:r>
        <w:rPr>
          <w:rFonts w:ascii="Times New Roman" w:hAnsi="Times New Roman"/>
        </w:rPr>
        <w:t>shall be applied</w:t>
      </w:r>
      <w:proofErr w:type="gramEnd"/>
      <w:r>
        <w:rPr>
          <w:rFonts w:ascii="Times New Roman" w:hAnsi="Times New Roman"/>
        </w:rPr>
        <w:t>.</w:t>
      </w:r>
    </w:p>
    <w:p w14:paraId="47207BCE" w14:textId="77777777" w:rsidR="002F2989" w:rsidRPr="008E60EC" w:rsidRDefault="002F2989" w:rsidP="008C526D">
      <w:pPr>
        <w:spacing w:before="240" w:after="60"/>
        <w:jc w:val="both"/>
        <w:outlineLvl w:val="0"/>
        <w:rPr>
          <w:rFonts w:ascii="Arial" w:hAnsi="Arial" w:cs="Arial"/>
          <w:b/>
        </w:rPr>
      </w:pPr>
      <w:r>
        <w:rPr>
          <w:rFonts w:ascii="Arial" w:hAnsi="Arial"/>
          <w:b/>
        </w:rPr>
        <w:t>The quality concept and its main, sub-</w:t>
      </w:r>
      <w:r w:rsidR="00464912">
        <w:rPr>
          <w:rFonts w:ascii="Arial" w:hAnsi="Arial"/>
          <w:b/>
        </w:rPr>
        <w:t>,</w:t>
      </w:r>
      <w:r>
        <w:rPr>
          <w:rFonts w:ascii="Arial" w:hAnsi="Arial"/>
          <w:b/>
        </w:rPr>
        <w:t xml:space="preserve"> and sub-subcomponents </w:t>
      </w:r>
    </w:p>
    <w:p w14:paraId="443A65A7" w14:textId="77777777" w:rsidR="00765EEC" w:rsidRDefault="002F2989" w:rsidP="00765EEC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Section 3 </w:t>
      </w:r>
      <w:r>
        <w:rPr>
          <w:rFonts w:ascii="Times New Roman" w:hAnsi="Times New Roman"/>
        </w:rPr>
        <w:tab/>
        <w:t>In the development and production of official statistics and in its dissemination, including quality declarations according to Statistic</w:t>
      </w:r>
      <w:r w:rsidR="00E15E8A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Sweden’s regulations and general guidelines for the official release, etc. of official statistics (SCB-</w:t>
      </w:r>
      <w:r w:rsidR="00264446">
        <w:rPr>
          <w:rFonts w:ascii="Times New Roman" w:hAnsi="Times New Roman"/>
        </w:rPr>
        <w:t xml:space="preserve">FS </w:t>
      </w:r>
      <w:r>
        <w:rPr>
          <w:rFonts w:ascii="Times New Roman" w:hAnsi="Times New Roman"/>
        </w:rPr>
        <w:t xml:space="preserve">2002:16), the quality of the statistics shall be described based on a quality concept consisting of five main components. These </w:t>
      </w:r>
      <w:proofErr w:type="gramStart"/>
      <w:r>
        <w:rPr>
          <w:rFonts w:ascii="Times New Roman" w:hAnsi="Times New Roman"/>
        </w:rPr>
        <w:t>are linked</w:t>
      </w:r>
      <w:proofErr w:type="gramEnd"/>
      <w:r>
        <w:rPr>
          <w:rFonts w:ascii="Times New Roman" w:hAnsi="Times New Roman"/>
        </w:rPr>
        <w:t xml:space="preserve"> to the quality criteria in Section 3a of the Official Statistics Act (2001:99). </w:t>
      </w:r>
    </w:p>
    <w:p w14:paraId="0F5A8D04" w14:textId="77777777" w:rsidR="002F2989" w:rsidRDefault="002F2989" w:rsidP="00765EEC">
      <w:pPr>
        <w:tabs>
          <w:tab w:val="left" w:pos="567"/>
        </w:tabs>
        <w:jc w:val="both"/>
        <w:rPr>
          <w:rFonts w:ascii="Times New Roman" w:hAnsi="Times New Roman"/>
        </w:rPr>
      </w:pPr>
    </w:p>
    <w:p w14:paraId="1FE081A9" w14:textId="77777777" w:rsidR="00765EEC" w:rsidRPr="00DE377C" w:rsidRDefault="00765EEC" w:rsidP="00765EEC">
      <w:pPr>
        <w:tabs>
          <w:tab w:val="left" w:pos="567"/>
        </w:tabs>
        <w:jc w:val="both"/>
        <w:rPr>
          <w:rFonts w:ascii="Times New Roman" w:hAnsi="Times New Roman"/>
        </w:rPr>
      </w:pPr>
    </w:p>
    <w:p w14:paraId="02DAF482" w14:textId="77777777" w:rsidR="002F2989" w:rsidRPr="00DE377C" w:rsidRDefault="002F2989" w:rsidP="00CA2183">
      <w:pPr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relation between the quality criteria and the quality concept’s main components should be as follows.</w:t>
      </w:r>
    </w:p>
    <w:tbl>
      <w:tblPr>
        <w:tblW w:w="66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9"/>
        <w:gridCol w:w="3459"/>
      </w:tblGrid>
      <w:tr w:rsidR="002F2989" w14:paraId="1D044CF9" w14:textId="77777777" w:rsidTr="00904CEA"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2D6FA" w14:textId="77777777" w:rsidR="002F2989" w:rsidRDefault="002F2989" w:rsidP="00CA218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Quality criterion</w:t>
            </w:r>
          </w:p>
          <w:p w14:paraId="2D5DEDB2" w14:textId="77777777" w:rsidR="00E808B7" w:rsidRDefault="00E808B7" w:rsidP="00CA2183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48AFA" w14:textId="77777777" w:rsidR="002F2989" w:rsidRDefault="002F2989" w:rsidP="00CA218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Main component</w:t>
            </w:r>
          </w:p>
        </w:tc>
      </w:tr>
      <w:tr w:rsidR="002F2989" w14:paraId="5330EAE9" w14:textId="77777777" w:rsidTr="00904CEA">
        <w:trPr>
          <w:trHeight w:val="283"/>
        </w:trPr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9B01E" w14:textId="77777777" w:rsidR="002F2989" w:rsidRDefault="002F2989" w:rsidP="00CA218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Relevance</w:t>
            </w:r>
          </w:p>
        </w:tc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64991" w14:textId="77777777" w:rsidR="002F2989" w:rsidRPr="00A67954" w:rsidRDefault="002F2989" w:rsidP="00CA2183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Relevance</w:t>
            </w:r>
          </w:p>
        </w:tc>
      </w:tr>
      <w:tr w:rsidR="002F2989" w14:paraId="0672FD10" w14:textId="77777777" w:rsidTr="00904CEA">
        <w:trPr>
          <w:trHeight w:val="283"/>
        </w:trPr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0BF12" w14:textId="77777777" w:rsidR="002F2989" w:rsidRDefault="002F2989" w:rsidP="00CA218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Accuracy</w:t>
            </w:r>
          </w:p>
        </w:tc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EC186" w14:textId="77777777" w:rsidR="002F2989" w:rsidRPr="00342D74" w:rsidRDefault="00E15E8A" w:rsidP="00CA2183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Accuracy</w:t>
            </w:r>
          </w:p>
        </w:tc>
      </w:tr>
      <w:tr w:rsidR="002F2989" w14:paraId="1582E611" w14:textId="77777777" w:rsidTr="00904CEA">
        <w:trPr>
          <w:trHeight w:val="283"/>
        </w:trPr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2F7F4" w14:textId="77777777" w:rsidR="002F2989" w:rsidRDefault="002F2989" w:rsidP="00CA218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Timeliness</w:t>
            </w:r>
          </w:p>
        </w:tc>
        <w:tc>
          <w:tcPr>
            <w:tcW w:w="340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EF466" w14:textId="77777777" w:rsidR="002F2989" w:rsidRPr="00342D74" w:rsidRDefault="002F2989" w:rsidP="00CA2183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Timeliness and punctuality</w:t>
            </w:r>
          </w:p>
        </w:tc>
      </w:tr>
      <w:tr w:rsidR="002F2989" w14:paraId="73DF5A6C" w14:textId="77777777" w:rsidTr="00904CEA">
        <w:trPr>
          <w:trHeight w:val="283"/>
        </w:trPr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0DB10" w14:textId="77777777" w:rsidR="002F2989" w:rsidRDefault="002F2989" w:rsidP="00CA218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Punctuality</w:t>
            </w:r>
          </w:p>
        </w:tc>
        <w:tc>
          <w:tcPr>
            <w:tcW w:w="3403" w:type="dxa"/>
            <w:vMerge/>
            <w:vAlign w:val="center"/>
          </w:tcPr>
          <w:p w14:paraId="56A0DA30" w14:textId="77777777" w:rsidR="002F2989" w:rsidRPr="00342D74" w:rsidRDefault="002F2989" w:rsidP="00CA2183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2F2989" w14:paraId="59E6A4BB" w14:textId="77777777" w:rsidTr="00904CEA">
        <w:trPr>
          <w:trHeight w:val="283"/>
        </w:trPr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CCC28" w14:textId="77777777" w:rsidR="002F2989" w:rsidRDefault="005F0A3D" w:rsidP="00CA218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Accessibility </w:t>
            </w:r>
            <w:r w:rsidR="002F2989">
              <w:rPr>
                <w:sz w:val="18"/>
                <w:szCs w:val="18"/>
              </w:rPr>
              <w:t>and clarity</w:t>
            </w:r>
          </w:p>
        </w:tc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0FC2A" w14:textId="77777777" w:rsidR="002F2989" w:rsidRPr="00342D74" w:rsidRDefault="005F0A3D" w:rsidP="00CA2183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Accessibility </w:t>
            </w:r>
            <w:r w:rsidR="002F2989">
              <w:rPr>
                <w:i/>
                <w:sz w:val="18"/>
                <w:szCs w:val="18"/>
              </w:rPr>
              <w:t>and clarity</w:t>
            </w:r>
          </w:p>
        </w:tc>
      </w:tr>
      <w:tr w:rsidR="002F2989" w14:paraId="557587A2" w14:textId="77777777" w:rsidTr="00904CEA">
        <w:trPr>
          <w:trHeight w:val="283"/>
        </w:trPr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A9319" w14:textId="77777777" w:rsidR="002F2989" w:rsidRDefault="002F2989" w:rsidP="00CA218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Comparability</w:t>
            </w:r>
          </w:p>
        </w:tc>
        <w:tc>
          <w:tcPr>
            <w:tcW w:w="340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9CE8B" w14:textId="77777777" w:rsidR="002F2989" w:rsidRPr="00342D74" w:rsidRDefault="002F2989" w:rsidP="00012CE2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Comparability and </w:t>
            </w:r>
            <w:r w:rsidR="00012CE2">
              <w:rPr>
                <w:i/>
                <w:sz w:val="18"/>
                <w:szCs w:val="18"/>
              </w:rPr>
              <w:t>coherence</w:t>
            </w:r>
          </w:p>
        </w:tc>
      </w:tr>
      <w:tr w:rsidR="002F2989" w14:paraId="31AB3536" w14:textId="77777777" w:rsidTr="00904CEA">
        <w:trPr>
          <w:trHeight w:val="283"/>
        </w:trPr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1319D" w14:textId="77777777" w:rsidR="002F2989" w:rsidRDefault="002F2989" w:rsidP="00CA218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Coherence</w:t>
            </w:r>
          </w:p>
        </w:tc>
        <w:tc>
          <w:tcPr>
            <w:tcW w:w="3403" w:type="dxa"/>
            <w:vMerge/>
            <w:vAlign w:val="center"/>
          </w:tcPr>
          <w:p w14:paraId="12390CC2" w14:textId="77777777" w:rsidR="002F2989" w:rsidRDefault="002F2989" w:rsidP="00CA2183">
            <w:pPr>
              <w:jc w:val="both"/>
              <w:rPr>
                <w:sz w:val="18"/>
                <w:szCs w:val="18"/>
              </w:rPr>
            </w:pPr>
          </w:p>
        </w:tc>
      </w:tr>
    </w:tbl>
    <w:p w14:paraId="10251E14" w14:textId="77777777" w:rsidR="002F2989" w:rsidRDefault="002F2989" w:rsidP="00CA2183">
      <w:pPr>
        <w:jc w:val="both"/>
      </w:pPr>
    </w:p>
    <w:p w14:paraId="7AFFA759" w14:textId="77777777" w:rsidR="002F2989" w:rsidRDefault="002F2989" w:rsidP="00CA2183">
      <w:pPr>
        <w:spacing w:after="240"/>
        <w:jc w:val="both"/>
      </w:pPr>
      <w:r>
        <w:t xml:space="preserve">The main components shall </w:t>
      </w:r>
      <w:r w:rsidR="007004CA">
        <w:t xml:space="preserve">in turn </w:t>
      </w:r>
      <w:r>
        <w:t xml:space="preserve">be divided into subcomponents and, where </w:t>
      </w:r>
      <w:r w:rsidR="006F063C">
        <w:t>applicable</w:t>
      </w:r>
      <w:r>
        <w:t>, into sub-subcomponents, according to the following.</w:t>
      </w:r>
    </w:p>
    <w:p w14:paraId="3CC4097A" w14:textId="77777777" w:rsidR="0079363D" w:rsidRDefault="0079363D" w:rsidP="00CA2183">
      <w:pPr>
        <w:spacing w:after="240"/>
        <w:jc w:val="both"/>
      </w:pPr>
    </w:p>
    <w:p w14:paraId="47AC68CF" w14:textId="77777777" w:rsidR="0079363D" w:rsidRDefault="0079363D" w:rsidP="00CA2183">
      <w:pPr>
        <w:spacing w:after="240"/>
        <w:jc w:val="both"/>
      </w:pPr>
    </w:p>
    <w:p w14:paraId="3C3D9EB9" w14:textId="77777777" w:rsidR="00B06EEA" w:rsidRDefault="00B06EEA" w:rsidP="000E132A">
      <w:pPr>
        <w:jc w:val="both"/>
      </w:pPr>
    </w:p>
    <w:p w14:paraId="22FEEAA9" w14:textId="77777777" w:rsidR="00B06EEA" w:rsidRDefault="00B06EEA" w:rsidP="000E132A">
      <w:pPr>
        <w:jc w:val="both"/>
      </w:pPr>
    </w:p>
    <w:p w14:paraId="287D2BDD" w14:textId="77777777" w:rsidR="0079363D" w:rsidRPr="004F7276" w:rsidRDefault="0079363D" w:rsidP="000E132A">
      <w:pPr>
        <w:jc w:val="both"/>
      </w:pPr>
    </w:p>
    <w:tbl>
      <w:tblPr>
        <w:tblStyle w:val="Tabellrutnt"/>
        <w:tblW w:w="6628" w:type="dxa"/>
        <w:tblInd w:w="108" w:type="dxa"/>
        <w:tblLook w:val="04A0" w:firstRow="1" w:lastRow="0" w:firstColumn="1" w:lastColumn="0" w:noHBand="0" w:noVBand="1"/>
      </w:tblPr>
      <w:tblGrid>
        <w:gridCol w:w="2448"/>
        <w:gridCol w:w="2882"/>
        <w:gridCol w:w="1298"/>
      </w:tblGrid>
      <w:tr w:rsidR="002F2989" w:rsidRPr="005A7DAC" w14:paraId="178FEEA6" w14:textId="77777777" w:rsidTr="00904CEA">
        <w:tc>
          <w:tcPr>
            <w:tcW w:w="6519" w:type="dxa"/>
            <w:gridSpan w:val="3"/>
            <w:tcBorders>
              <w:bottom w:val="single" w:sz="4" w:space="0" w:color="auto"/>
            </w:tcBorders>
          </w:tcPr>
          <w:p w14:paraId="65088849" w14:textId="77777777" w:rsidR="002F2989" w:rsidRDefault="004C6D9E" w:rsidP="00CA2183">
            <w:pPr>
              <w:keepNext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  <w:r w:rsidR="002F2989">
              <w:rPr>
                <w:b/>
                <w:sz w:val="18"/>
                <w:szCs w:val="18"/>
              </w:rPr>
              <w:t>ain component</w:t>
            </w:r>
            <w:r>
              <w:rPr>
                <w:b/>
                <w:sz w:val="18"/>
                <w:szCs w:val="18"/>
              </w:rPr>
              <w:t>:</w:t>
            </w:r>
            <w:r w:rsidR="002F2989">
              <w:rPr>
                <w:b/>
                <w:sz w:val="18"/>
                <w:szCs w:val="18"/>
              </w:rPr>
              <w:t xml:space="preserve"> </w:t>
            </w:r>
            <w:r w:rsidR="002F2989">
              <w:rPr>
                <w:b/>
                <w:i/>
                <w:sz w:val="18"/>
                <w:szCs w:val="18"/>
              </w:rPr>
              <w:t>Relevance</w:t>
            </w:r>
          </w:p>
          <w:p w14:paraId="136151E8" w14:textId="77777777" w:rsidR="00E808B7" w:rsidRPr="005A7DAC" w:rsidRDefault="00E808B7" w:rsidP="00CA2183">
            <w:pPr>
              <w:keepNext/>
              <w:jc w:val="both"/>
              <w:rPr>
                <w:b/>
                <w:sz w:val="18"/>
                <w:szCs w:val="18"/>
              </w:rPr>
            </w:pPr>
          </w:p>
        </w:tc>
      </w:tr>
      <w:tr w:rsidR="002F2989" w:rsidRPr="005A7DAC" w14:paraId="6C27B441" w14:textId="77777777" w:rsidTr="00904CEA">
        <w:tc>
          <w:tcPr>
            <w:tcW w:w="2407" w:type="dxa"/>
            <w:tcBorders>
              <w:top w:val="single" w:sz="4" w:space="0" w:color="auto"/>
            </w:tcBorders>
          </w:tcPr>
          <w:p w14:paraId="07C32715" w14:textId="77777777" w:rsidR="002F2989" w:rsidRDefault="002F2989" w:rsidP="00CA2183">
            <w:pPr>
              <w:keepNext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Subcomponent</w:t>
            </w:r>
          </w:p>
          <w:p w14:paraId="64BEFCC2" w14:textId="77777777" w:rsidR="00E808B7" w:rsidRPr="005A7DAC" w:rsidRDefault="00E808B7" w:rsidP="00CA2183">
            <w:pPr>
              <w:keepNext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DF39E28" w14:textId="77777777" w:rsidR="002F2989" w:rsidRPr="005A7DAC" w:rsidRDefault="002F2989" w:rsidP="00CA218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Sub-subcomponent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14:paraId="56072BC9" w14:textId="77777777" w:rsidR="002F2989" w:rsidRPr="005A7DAC" w:rsidRDefault="002F2989" w:rsidP="00CA218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Described in</w:t>
            </w:r>
          </w:p>
        </w:tc>
      </w:tr>
      <w:tr w:rsidR="002F2989" w:rsidRPr="005A7DAC" w14:paraId="22A6100D" w14:textId="77777777" w:rsidTr="00904CEA">
        <w:tc>
          <w:tcPr>
            <w:tcW w:w="2407" w:type="dxa"/>
          </w:tcPr>
          <w:p w14:paraId="4A3B1394" w14:textId="77777777" w:rsidR="002F2989" w:rsidRPr="00342D74" w:rsidRDefault="00264446" w:rsidP="00264446">
            <w:pPr>
              <w:keepNext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Purpose </w:t>
            </w:r>
            <w:r w:rsidR="002F2989">
              <w:rPr>
                <w:i/>
                <w:sz w:val="18"/>
                <w:szCs w:val="18"/>
              </w:rPr>
              <w:t xml:space="preserve">and information </w:t>
            </w:r>
            <w:r>
              <w:rPr>
                <w:i/>
                <w:sz w:val="18"/>
                <w:szCs w:val="18"/>
              </w:rPr>
              <w:t>needs</w:t>
            </w:r>
          </w:p>
        </w:tc>
        <w:tc>
          <w:tcPr>
            <w:tcW w:w="2835" w:type="dxa"/>
          </w:tcPr>
          <w:p w14:paraId="576AF93E" w14:textId="77777777" w:rsidR="002F2989" w:rsidRPr="00342D74" w:rsidRDefault="002F2989" w:rsidP="00CA2183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277" w:type="dxa"/>
          </w:tcPr>
          <w:p w14:paraId="3DE8AF9E" w14:textId="77777777" w:rsidR="002F2989" w:rsidRDefault="002F2989" w:rsidP="00CA218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 7</w:t>
            </w:r>
          </w:p>
        </w:tc>
      </w:tr>
      <w:tr w:rsidR="002F2989" w:rsidRPr="005A7DAC" w14:paraId="572BDB50" w14:textId="77777777" w:rsidTr="00904CEA">
        <w:trPr>
          <w:trHeight w:val="283"/>
        </w:trPr>
        <w:tc>
          <w:tcPr>
            <w:tcW w:w="2407" w:type="dxa"/>
          </w:tcPr>
          <w:p w14:paraId="57C2796B" w14:textId="77777777" w:rsidR="002F2989" w:rsidRPr="00342D74" w:rsidRDefault="002F2989" w:rsidP="00CA2183">
            <w:pPr>
              <w:keepNext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835" w:type="dxa"/>
          </w:tcPr>
          <w:p w14:paraId="5AB8EEA3" w14:textId="77777777" w:rsidR="002F2989" w:rsidRPr="00342D74" w:rsidRDefault="000A3E11" w:rsidP="00CA2183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Purpose</w:t>
            </w:r>
            <w:r w:rsidR="00264446">
              <w:rPr>
                <w:i/>
                <w:sz w:val="18"/>
                <w:szCs w:val="18"/>
              </w:rPr>
              <w:t xml:space="preserve"> </w:t>
            </w:r>
            <w:r w:rsidR="002F2989">
              <w:rPr>
                <w:i/>
                <w:sz w:val="18"/>
                <w:szCs w:val="18"/>
              </w:rPr>
              <w:t>of the statistics</w:t>
            </w:r>
          </w:p>
        </w:tc>
        <w:tc>
          <w:tcPr>
            <w:tcW w:w="1277" w:type="dxa"/>
          </w:tcPr>
          <w:p w14:paraId="03A7CB38" w14:textId="77777777" w:rsidR="002F2989" w:rsidRDefault="002F2989" w:rsidP="00CA218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 9</w:t>
            </w:r>
          </w:p>
        </w:tc>
      </w:tr>
      <w:tr w:rsidR="002F2989" w:rsidRPr="005A7DAC" w14:paraId="6F7FA848" w14:textId="77777777" w:rsidTr="00904CEA">
        <w:trPr>
          <w:trHeight w:val="283"/>
        </w:trPr>
        <w:tc>
          <w:tcPr>
            <w:tcW w:w="2407" w:type="dxa"/>
          </w:tcPr>
          <w:p w14:paraId="48898033" w14:textId="77777777" w:rsidR="002F2989" w:rsidRPr="00342D74" w:rsidRDefault="002F2989" w:rsidP="00CA2183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835" w:type="dxa"/>
          </w:tcPr>
          <w:p w14:paraId="5E081332" w14:textId="77777777" w:rsidR="002F2989" w:rsidRPr="00342D74" w:rsidRDefault="00FC20E2" w:rsidP="000F2AA1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User information needs</w:t>
            </w:r>
          </w:p>
        </w:tc>
        <w:tc>
          <w:tcPr>
            <w:tcW w:w="1277" w:type="dxa"/>
          </w:tcPr>
          <w:p w14:paraId="76D549DD" w14:textId="77777777" w:rsidR="002F2989" w:rsidRDefault="002F2989" w:rsidP="00CA218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 10</w:t>
            </w:r>
          </w:p>
        </w:tc>
      </w:tr>
      <w:tr w:rsidR="002F2989" w:rsidRPr="005A7DAC" w14:paraId="0238A476" w14:textId="77777777" w:rsidTr="00904CEA">
        <w:trPr>
          <w:trHeight w:val="283"/>
        </w:trPr>
        <w:tc>
          <w:tcPr>
            <w:tcW w:w="2407" w:type="dxa"/>
          </w:tcPr>
          <w:p w14:paraId="0F67BBE2" w14:textId="77777777" w:rsidR="002F2989" w:rsidRPr="00342D74" w:rsidRDefault="002F2989" w:rsidP="00CA2183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Content of the statistics</w:t>
            </w:r>
          </w:p>
        </w:tc>
        <w:tc>
          <w:tcPr>
            <w:tcW w:w="2835" w:type="dxa"/>
          </w:tcPr>
          <w:p w14:paraId="199F8BF8" w14:textId="77777777" w:rsidR="002F2989" w:rsidRPr="00342D74" w:rsidRDefault="002F2989" w:rsidP="00CA2183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277" w:type="dxa"/>
          </w:tcPr>
          <w:p w14:paraId="18C96BC8" w14:textId="77777777" w:rsidR="002F2989" w:rsidRPr="005A7DAC" w:rsidRDefault="002F2989" w:rsidP="00CA218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 11</w:t>
            </w:r>
          </w:p>
        </w:tc>
      </w:tr>
      <w:tr w:rsidR="002F2989" w:rsidRPr="005A7DAC" w14:paraId="1987667A" w14:textId="77777777" w:rsidTr="00904CEA">
        <w:trPr>
          <w:trHeight w:val="283"/>
        </w:trPr>
        <w:tc>
          <w:tcPr>
            <w:tcW w:w="2407" w:type="dxa"/>
          </w:tcPr>
          <w:p w14:paraId="5209FD4F" w14:textId="77777777" w:rsidR="002F2989" w:rsidRPr="00342D74" w:rsidRDefault="002F2989" w:rsidP="00CA2183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835" w:type="dxa"/>
          </w:tcPr>
          <w:p w14:paraId="6447B39D" w14:textId="5AB005A6" w:rsidR="002F2989" w:rsidRPr="00342D74" w:rsidRDefault="00264446" w:rsidP="007E36DA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Unit </w:t>
            </w:r>
            <w:r w:rsidR="002F2989">
              <w:rPr>
                <w:i/>
                <w:sz w:val="18"/>
                <w:szCs w:val="18"/>
              </w:rPr>
              <w:t>and population</w:t>
            </w:r>
          </w:p>
        </w:tc>
        <w:tc>
          <w:tcPr>
            <w:tcW w:w="1277" w:type="dxa"/>
          </w:tcPr>
          <w:p w14:paraId="2DC27ECE" w14:textId="77777777" w:rsidR="002F2989" w:rsidRPr="005A7DAC" w:rsidRDefault="002F2989" w:rsidP="00CA218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 13</w:t>
            </w:r>
          </w:p>
        </w:tc>
      </w:tr>
      <w:tr w:rsidR="002F2989" w:rsidRPr="005A7DAC" w14:paraId="0320587F" w14:textId="77777777" w:rsidTr="00904CEA">
        <w:trPr>
          <w:trHeight w:val="283"/>
        </w:trPr>
        <w:tc>
          <w:tcPr>
            <w:tcW w:w="2407" w:type="dxa"/>
          </w:tcPr>
          <w:p w14:paraId="7A730E4A" w14:textId="77777777" w:rsidR="002F2989" w:rsidRPr="00342D74" w:rsidRDefault="002F2989" w:rsidP="00CA2183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835" w:type="dxa"/>
          </w:tcPr>
          <w:p w14:paraId="2AF82106" w14:textId="77777777" w:rsidR="002F2989" w:rsidRPr="00342D74" w:rsidRDefault="002F2989" w:rsidP="00CA2183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Variables</w:t>
            </w:r>
          </w:p>
        </w:tc>
        <w:tc>
          <w:tcPr>
            <w:tcW w:w="1277" w:type="dxa"/>
          </w:tcPr>
          <w:p w14:paraId="0C17ABA4" w14:textId="77777777" w:rsidR="002F2989" w:rsidRPr="005A7DAC" w:rsidRDefault="002F2989" w:rsidP="00CA218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 14</w:t>
            </w:r>
          </w:p>
        </w:tc>
      </w:tr>
      <w:tr w:rsidR="002F2989" w:rsidRPr="005A7DAC" w14:paraId="235118AA" w14:textId="77777777" w:rsidTr="00904CEA">
        <w:trPr>
          <w:trHeight w:val="283"/>
        </w:trPr>
        <w:tc>
          <w:tcPr>
            <w:tcW w:w="2407" w:type="dxa"/>
          </w:tcPr>
          <w:p w14:paraId="0AEFB02B" w14:textId="77777777" w:rsidR="002F2989" w:rsidRPr="00342D74" w:rsidRDefault="002F2989" w:rsidP="00CA2183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835" w:type="dxa"/>
          </w:tcPr>
          <w:p w14:paraId="284625A9" w14:textId="77777777" w:rsidR="002F2989" w:rsidRPr="00342D74" w:rsidRDefault="002F2989" w:rsidP="00CA2183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Statistical measures</w:t>
            </w:r>
          </w:p>
        </w:tc>
        <w:tc>
          <w:tcPr>
            <w:tcW w:w="1277" w:type="dxa"/>
          </w:tcPr>
          <w:p w14:paraId="261F8C2B" w14:textId="77777777" w:rsidR="002F2989" w:rsidRPr="005A7DAC" w:rsidRDefault="002F2989" w:rsidP="00CA218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 15</w:t>
            </w:r>
          </w:p>
        </w:tc>
      </w:tr>
      <w:tr w:rsidR="002F2989" w:rsidRPr="005A7DAC" w14:paraId="39214898" w14:textId="77777777" w:rsidTr="00904CEA">
        <w:trPr>
          <w:trHeight w:val="283"/>
        </w:trPr>
        <w:tc>
          <w:tcPr>
            <w:tcW w:w="2407" w:type="dxa"/>
          </w:tcPr>
          <w:p w14:paraId="792BF514" w14:textId="77777777" w:rsidR="002F2989" w:rsidRPr="00342D74" w:rsidRDefault="002F2989" w:rsidP="00CA2183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835" w:type="dxa"/>
          </w:tcPr>
          <w:p w14:paraId="2665F51E" w14:textId="77777777" w:rsidR="002F2989" w:rsidRPr="00342D74" w:rsidRDefault="002F2989" w:rsidP="00CA2183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Study domains</w:t>
            </w:r>
          </w:p>
        </w:tc>
        <w:tc>
          <w:tcPr>
            <w:tcW w:w="1277" w:type="dxa"/>
          </w:tcPr>
          <w:p w14:paraId="307950E6" w14:textId="77777777" w:rsidR="002F2989" w:rsidRPr="005A7DAC" w:rsidRDefault="002F2989" w:rsidP="00CA218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 16</w:t>
            </w:r>
          </w:p>
        </w:tc>
      </w:tr>
      <w:tr w:rsidR="002F2989" w:rsidRPr="005A7DAC" w14:paraId="77EDFE04" w14:textId="77777777" w:rsidTr="00904CEA">
        <w:trPr>
          <w:trHeight w:val="283"/>
        </w:trPr>
        <w:tc>
          <w:tcPr>
            <w:tcW w:w="2407" w:type="dxa"/>
          </w:tcPr>
          <w:p w14:paraId="4CEABC2B" w14:textId="77777777" w:rsidR="002F2989" w:rsidRPr="00342D74" w:rsidRDefault="002F2989" w:rsidP="00CA2183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835" w:type="dxa"/>
          </w:tcPr>
          <w:p w14:paraId="6441AC5D" w14:textId="77777777" w:rsidR="002F2989" w:rsidRPr="00342D74" w:rsidRDefault="002F2989" w:rsidP="00535875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Reference </w:t>
            </w:r>
            <w:r w:rsidR="00535875">
              <w:rPr>
                <w:i/>
                <w:sz w:val="18"/>
                <w:szCs w:val="18"/>
              </w:rPr>
              <w:t>times</w:t>
            </w:r>
          </w:p>
        </w:tc>
        <w:tc>
          <w:tcPr>
            <w:tcW w:w="1277" w:type="dxa"/>
          </w:tcPr>
          <w:p w14:paraId="467E5775" w14:textId="77777777" w:rsidR="002F2989" w:rsidRPr="005A7DAC" w:rsidRDefault="002F2989" w:rsidP="00CA218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 17</w:t>
            </w:r>
          </w:p>
        </w:tc>
      </w:tr>
    </w:tbl>
    <w:p w14:paraId="0036C97B" w14:textId="77777777" w:rsidR="002F2989" w:rsidRDefault="002F2989" w:rsidP="002F2989"/>
    <w:tbl>
      <w:tblPr>
        <w:tblStyle w:val="Tabellrutnt"/>
        <w:tblW w:w="6595" w:type="dxa"/>
        <w:tblInd w:w="108" w:type="dxa"/>
        <w:tblLook w:val="04A0" w:firstRow="1" w:lastRow="0" w:firstColumn="1" w:lastColumn="0" w:noHBand="0" w:noVBand="1"/>
      </w:tblPr>
      <w:tblGrid>
        <w:gridCol w:w="2505"/>
        <w:gridCol w:w="2819"/>
        <w:gridCol w:w="1271"/>
      </w:tblGrid>
      <w:tr w:rsidR="002F2989" w:rsidRPr="005A7DAC" w14:paraId="0B7C9625" w14:textId="77777777" w:rsidTr="00FF2CEE">
        <w:tc>
          <w:tcPr>
            <w:tcW w:w="65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DC280F" w14:textId="77777777" w:rsidR="002F2989" w:rsidRDefault="004C6D9E" w:rsidP="002F298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  <w:r w:rsidR="002F2989">
              <w:rPr>
                <w:b/>
                <w:sz w:val="18"/>
                <w:szCs w:val="18"/>
              </w:rPr>
              <w:t>ain component</w:t>
            </w:r>
            <w:r>
              <w:rPr>
                <w:b/>
                <w:sz w:val="18"/>
                <w:szCs w:val="18"/>
              </w:rPr>
              <w:t>:</w:t>
            </w:r>
            <w:r w:rsidR="002F2989">
              <w:rPr>
                <w:b/>
                <w:sz w:val="18"/>
                <w:szCs w:val="18"/>
              </w:rPr>
              <w:t xml:space="preserve"> </w:t>
            </w:r>
            <w:r w:rsidR="005F0A3D">
              <w:rPr>
                <w:b/>
                <w:i/>
                <w:sz w:val="18"/>
                <w:szCs w:val="18"/>
              </w:rPr>
              <w:t>Accuracy</w:t>
            </w:r>
          </w:p>
          <w:p w14:paraId="28F9A005" w14:textId="77777777" w:rsidR="00E808B7" w:rsidRPr="00A222B3" w:rsidRDefault="00E808B7" w:rsidP="002F2989">
            <w:pPr>
              <w:rPr>
                <w:b/>
                <w:i/>
                <w:sz w:val="18"/>
                <w:szCs w:val="18"/>
              </w:rPr>
            </w:pPr>
          </w:p>
        </w:tc>
      </w:tr>
      <w:tr w:rsidR="002F2989" w:rsidRPr="005A7DAC" w14:paraId="630353E2" w14:textId="77777777" w:rsidTr="00FF2CEE">
        <w:tc>
          <w:tcPr>
            <w:tcW w:w="2505" w:type="dxa"/>
          </w:tcPr>
          <w:p w14:paraId="4598B101" w14:textId="77777777" w:rsidR="002F2989" w:rsidRDefault="002F2989" w:rsidP="002F29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Subcomponent</w:t>
            </w:r>
          </w:p>
          <w:p w14:paraId="0DCB499C" w14:textId="77777777" w:rsidR="00E808B7" w:rsidRPr="005A7DAC" w:rsidRDefault="00E808B7" w:rsidP="002F2989">
            <w:pPr>
              <w:rPr>
                <w:b/>
                <w:sz w:val="18"/>
                <w:szCs w:val="18"/>
              </w:rPr>
            </w:pPr>
          </w:p>
        </w:tc>
        <w:tc>
          <w:tcPr>
            <w:tcW w:w="2819" w:type="dxa"/>
          </w:tcPr>
          <w:p w14:paraId="4AD39BC5" w14:textId="77777777" w:rsidR="002F2989" w:rsidRPr="005A7DAC" w:rsidRDefault="002F2989" w:rsidP="002F29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Sub-subcomponent</w:t>
            </w:r>
          </w:p>
        </w:tc>
        <w:tc>
          <w:tcPr>
            <w:tcW w:w="1271" w:type="dxa"/>
          </w:tcPr>
          <w:p w14:paraId="330BB3F4" w14:textId="77777777" w:rsidR="002F2989" w:rsidRPr="005A7DAC" w:rsidRDefault="002F2989" w:rsidP="002F29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Described in </w:t>
            </w:r>
          </w:p>
        </w:tc>
      </w:tr>
      <w:tr w:rsidR="002F2989" w:rsidRPr="005A7DAC" w14:paraId="1380225E" w14:textId="77777777" w:rsidTr="00904CEA">
        <w:trPr>
          <w:trHeight w:val="283"/>
        </w:trPr>
        <w:tc>
          <w:tcPr>
            <w:tcW w:w="2505" w:type="dxa"/>
          </w:tcPr>
          <w:p w14:paraId="11B5E071" w14:textId="77777777" w:rsidR="002F2989" w:rsidRPr="00342D74" w:rsidRDefault="002F2989" w:rsidP="005F0A3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Overall </w:t>
            </w:r>
            <w:r w:rsidR="005F0A3D">
              <w:rPr>
                <w:i/>
                <w:sz w:val="18"/>
                <w:szCs w:val="18"/>
              </w:rPr>
              <w:t>accuracy</w:t>
            </w:r>
          </w:p>
        </w:tc>
        <w:tc>
          <w:tcPr>
            <w:tcW w:w="2819" w:type="dxa"/>
          </w:tcPr>
          <w:p w14:paraId="097012A4" w14:textId="77777777" w:rsidR="002F2989" w:rsidRPr="00342D74" w:rsidRDefault="002F2989" w:rsidP="002F2989">
            <w:pPr>
              <w:rPr>
                <w:i/>
                <w:sz w:val="18"/>
                <w:szCs w:val="18"/>
              </w:rPr>
            </w:pPr>
          </w:p>
        </w:tc>
        <w:tc>
          <w:tcPr>
            <w:tcW w:w="1271" w:type="dxa"/>
          </w:tcPr>
          <w:p w14:paraId="2B87CAE9" w14:textId="77777777" w:rsidR="002F2989" w:rsidRPr="005A7DAC" w:rsidRDefault="002F2989" w:rsidP="002F2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 20</w:t>
            </w:r>
          </w:p>
        </w:tc>
      </w:tr>
      <w:tr w:rsidR="002F2989" w:rsidRPr="005A7DAC" w14:paraId="5C6158A3" w14:textId="77777777" w:rsidTr="00904CEA">
        <w:trPr>
          <w:trHeight w:val="283"/>
        </w:trPr>
        <w:tc>
          <w:tcPr>
            <w:tcW w:w="2505" w:type="dxa"/>
          </w:tcPr>
          <w:p w14:paraId="35B31BD5" w14:textId="2DD594D0" w:rsidR="002F2989" w:rsidRPr="00342D74" w:rsidRDefault="002F2989" w:rsidP="0057257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Sources of </w:t>
            </w:r>
            <w:r w:rsidR="00572578">
              <w:rPr>
                <w:i/>
                <w:sz w:val="18"/>
                <w:szCs w:val="18"/>
              </w:rPr>
              <w:t>uncertainty</w:t>
            </w:r>
          </w:p>
        </w:tc>
        <w:tc>
          <w:tcPr>
            <w:tcW w:w="2819" w:type="dxa"/>
          </w:tcPr>
          <w:p w14:paraId="333F903F" w14:textId="77777777" w:rsidR="002F2989" w:rsidRPr="00342D74" w:rsidRDefault="002F2989" w:rsidP="002F2989">
            <w:pPr>
              <w:rPr>
                <w:i/>
                <w:sz w:val="18"/>
                <w:szCs w:val="18"/>
              </w:rPr>
            </w:pPr>
          </w:p>
        </w:tc>
        <w:tc>
          <w:tcPr>
            <w:tcW w:w="1271" w:type="dxa"/>
          </w:tcPr>
          <w:p w14:paraId="288DA0DF" w14:textId="77777777" w:rsidR="002F2989" w:rsidRPr="005A7DAC" w:rsidRDefault="002F2989" w:rsidP="002F2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 21</w:t>
            </w:r>
          </w:p>
        </w:tc>
      </w:tr>
      <w:tr w:rsidR="002F2989" w:rsidRPr="005A7DAC" w14:paraId="7B423986" w14:textId="77777777" w:rsidTr="00904CEA">
        <w:trPr>
          <w:trHeight w:val="283"/>
        </w:trPr>
        <w:tc>
          <w:tcPr>
            <w:tcW w:w="2505" w:type="dxa"/>
          </w:tcPr>
          <w:p w14:paraId="1D9245F3" w14:textId="77777777" w:rsidR="002F2989" w:rsidRPr="00342D74" w:rsidRDefault="002F2989" w:rsidP="002F2989">
            <w:pPr>
              <w:rPr>
                <w:i/>
                <w:sz w:val="18"/>
                <w:szCs w:val="18"/>
              </w:rPr>
            </w:pPr>
          </w:p>
        </w:tc>
        <w:tc>
          <w:tcPr>
            <w:tcW w:w="2819" w:type="dxa"/>
          </w:tcPr>
          <w:p w14:paraId="0F9241DD" w14:textId="77777777" w:rsidR="002F2989" w:rsidRPr="00342D74" w:rsidRDefault="002F2989" w:rsidP="002F29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Sampl</w:t>
            </w:r>
            <w:r w:rsidR="005F0A3D">
              <w:rPr>
                <w:i/>
                <w:sz w:val="18"/>
                <w:szCs w:val="18"/>
              </w:rPr>
              <w:t>ing</w:t>
            </w:r>
          </w:p>
        </w:tc>
        <w:tc>
          <w:tcPr>
            <w:tcW w:w="1271" w:type="dxa"/>
          </w:tcPr>
          <w:p w14:paraId="78F572CE" w14:textId="77777777" w:rsidR="002F2989" w:rsidRPr="005A7DAC" w:rsidRDefault="002F2989" w:rsidP="002F2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 23</w:t>
            </w:r>
          </w:p>
        </w:tc>
      </w:tr>
      <w:tr w:rsidR="002F2989" w:rsidRPr="005A7DAC" w14:paraId="154D3A60" w14:textId="77777777" w:rsidTr="00904CEA">
        <w:trPr>
          <w:trHeight w:val="283"/>
        </w:trPr>
        <w:tc>
          <w:tcPr>
            <w:tcW w:w="2505" w:type="dxa"/>
          </w:tcPr>
          <w:p w14:paraId="36A5D113" w14:textId="77777777" w:rsidR="002F2989" w:rsidRPr="00342D74" w:rsidRDefault="002F2989" w:rsidP="002F2989">
            <w:pPr>
              <w:rPr>
                <w:i/>
                <w:sz w:val="18"/>
                <w:szCs w:val="18"/>
              </w:rPr>
            </w:pPr>
          </w:p>
        </w:tc>
        <w:tc>
          <w:tcPr>
            <w:tcW w:w="2819" w:type="dxa"/>
          </w:tcPr>
          <w:p w14:paraId="1252A870" w14:textId="77777777" w:rsidR="002F2989" w:rsidRPr="00342D74" w:rsidRDefault="002F2989" w:rsidP="002F29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Frame coverage</w:t>
            </w:r>
          </w:p>
        </w:tc>
        <w:tc>
          <w:tcPr>
            <w:tcW w:w="1271" w:type="dxa"/>
          </w:tcPr>
          <w:p w14:paraId="08147EB2" w14:textId="77777777" w:rsidR="002F2989" w:rsidRPr="005A7DAC" w:rsidRDefault="002F2989" w:rsidP="002F2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 24</w:t>
            </w:r>
          </w:p>
        </w:tc>
      </w:tr>
      <w:tr w:rsidR="002F2989" w:rsidRPr="005A7DAC" w14:paraId="42CC13DE" w14:textId="77777777" w:rsidTr="00904CEA">
        <w:trPr>
          <w:trHeight w:val="283"/>
        </w:trPr>
        <w:tc>
          <w:tcPr>
            <w:tcW w:w="2505" w:type="dxa"/>
          </w:tcPr>
          <w:p w14:paraId="4EC521D5" w14:textId="77777777" w:rsidR="002F2989" w:rsidRPr="00342D74" w:rsidRDefault="002F2989" w:rsidP="002F2989">
            <w:pPr>
              <w:rPr>
                <w:i/>
                <w:sz w:val="18"/>
                <w:szCs w:val="18"/>
              </w:rPr>
            </w:pPr>
          </w:p>
        </w:tc>
        <w:tc>
          <w:tcPr>
            <w:tcW w:w="2819" w:type="dxa"/>
          </w:tcPr>
          <w:p w14:paraId="7BAFC19D" w14:textId="77777777" w:rsidR="002F2989" w:rsidRPr="00342D74" w:rsidRDefault="002F2989" w:rsidP="002F29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Measurement</w:t>
            </w:r>
          </w:p>
        </w:tc>
        <w:tc>
          <w:tcPr>
            <w:tcW w:w="1271" w:type="dxa"/>
          </w:tcPr>
          <w:p w14:paraId="20A3B10D" w14:textId="77777777" w:rsidR="002F2989" w:rsidRPr="005A7DAC" w:rsidRDefault="002F2989" w:rsidP="002F2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 25</w:t>
            </w:r>
          </w:p>
        </w:tc>
      </w:tr>
      <w:tr w:rsidR="002F2989" w:rsidRPr="005A7DAC" w14:paraId="497E2D37" w14:textId="77777777" w:rsidTr="00904CEA">
        <w:trPr>
          <w:trHeight w:val="283"/>
        </w:trPr>
        <w:tc>
          <w:tcPr>
            <w:tcW w:w="2505" w:type="dxa"/>
          </w:tcPr>
          <w:p w14:paraId="2A2304D1" w14:textId="77777777" w:rsidR="002F2989" w:rsidRPr="00342D74" w:rsidRDefault="002F2989" w:rsidP="002F2989">
            <w:pPr>
              <w:rPr>
                <w:i/>
                <w:sz w:val="18"/>
                <w:szCs w:val="18"/>
              </w:rPr>
            </w:pPr>
          </w:p>
        </w:tc>
        <w:tc>
          <w:tcPr>
            <w:tcW w:w="2819" w:type="dxa"/>
          </w:tcPr>
          <w:p w14:paraId="1C7C7F40" w14:textId="77777777" w:rsidR="002F2989" w:rsidRPr="00342D74" w:rsidRDefault="002F2989" w:rsidP="00E513E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Non-response</w:t>
            </w:r>
          </w:p>
        </w:tc>
        <w:tc>
          <w:tcPr>
            <w:tcW w:w="1271" w:type="dxa"/>
          </w:tcPr>
          <w:p w14:paraId="6F2A6C00" w14:textId="77777777" w:rsidR="002F2989" w:rsidRPr="005A7DAC" w:rsidRDefault="002F2989" w:rsidP="002F2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 26</w:t>
            </w:r>
          </w:p>
        </w:tc>
      </w:tr>
      <w:tr w:rsidR="002F2989" w:rsidRPr="005A7DAC" w14:paraId="40C06F8E" w14:textId="77777777" w:rsidTr="00904CEA">
        <w:trPr>
          <w:trHeight w:val="283"/>
        </w:trPr>
        <w:tc>
          <w:tcPr>
            <w:tcW w:w="2505" w:type="dxa"/>
          </w:tcPr>
          <w:p w14:paraId="08998282" w14:textId="77777777" w:rsidR="002F2989" w:rsidRPr="00342D74" w:rsidRDefault="002F2989" w:rsidP="002F2989">
            <w:pPr>
              <w:rPr>
                <w:i/>
                <w:sz w:val="18"/>
                <w:szCs w:val="18"/>
              </w:rPr>
            </w:pPr>
          </w:p>
        </w:tc>
        <w:tc>
          <w:tcPr>
            <w:tcW w:w="2819" w:type="dxa"/>
          </w:tcPr>
          <w:p w14:paraId="04305B72" w14:textId="77777777" w:rsidR="002F2989" w:rsidRPr="00342D74" w:rsidRDefault="00E15E8A" w:rsidP="002F29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Data p</w:t>
            </w:r>
            <w:r w:rsidR="002F2989">
              <w:rPr>
                <w:i/>
                <w:sz w:val="18"/>
                <w:szCs w:val="18"/>
              </w:rPr>
              <w:t>rocessing</w:t>
            </w:r>
          </w:p>
        </w:tc>
        <w:tc>
          <w:tcPr>
            <w:tcW w:w="1271" w:type="dxa"/>
          </w:tcPr>
          <w:p w14:paraId="4E30C9F4" w14:textId="77777777" w:rsidR="002F2989" w:rsidRPr="005A7DAC" w:rsidRDefault="002F2989" w:rsidP="002F2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 27</w:t>
            </w:r>
          </w:p>
        </w:tc>
      </w:tr>
      <w:tr w:rsidR="002F2989" w:rsidRPr="005A7DAC" w14:paraId="25CAA67D" w14:textId="77777777" w:rsidTr="00904CEA">
        <w:trPr>
          <w:trHeight w:val="283"/>
        </w:trPr>
        <w:tc>
          <w:tcPr>
            <w:tcW w:w="2505" w:type="dxa"/>
          </w:tcPr>
          <w:p w14:paraId="3184733A" w14:textId="77777777" w:rsidR="002F2989" w:rsidRPr="00342D74" w:rsidRDefault="002F2989" w:rsidP="002F2989">
            <w:pPr>
              <w:rPr>
                <w:i/>
                <w:sz w:val="18"/>
                <w:szCs w:val="18"/>
              </w:rPr>
            </w:pPr>
          </w:p>
        </w:tc>
        <w:tc>
          <w:tcPr>
            <w:tcW w:w="2819" w:type="dxa"/>
          </w:tcPr>
          <w:p w14:paraId="41454D57" w14:textId="77777777" w:rsidR="002F2989" w:rsidRPr="00342D74" w:rsidRDefault="002F2989" w:rsidP="002F29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Model assumptions</w:t>
            </w:r>
          </w:p>
        </w:tc>
        <w:tc>
          <w:tcPr>
            <w:tcW w:w="1271" w:type="dxa"/>
          </w:tcPr>
          <w:p w14:paraId="1AB4D135" w14:textId="77777777" w:rsidR="002F2989" w:rsidRPr="005A7DAC" w:rsidRDefault="002F2989" w:rsidP="002F2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 28</w:t>
            </w:r>
          </w:p>
        </w:tc>
      </w:tr>
      <w:tr w:rsidR="002F2989" w:rsidRPr="005A7DAC" w14:paraId="44408E94" w14:textId="77777777" w:rsidTr="00FF2CEE">
        <w:tc>
          <w:tcPr>
            <w:tcW w:w="2505" w:type="dxa"/>
          </w:tcPr>
          <w:p w14:paraId="6A61C0C8" w14:textId="77777777" w:rsidR="002F2989" w:rsidRPr="00342D74" w:rsidRDefault="002F2989" w:rsidP="002F29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Preliminary statistics compared with final statistics</w:t>
            </w:r>
          </w:p>
        </w:tc>
        <w:tc>
          <w:tcPr>
            <w:tcW w:w="2819" w:type="dxa"/>
          </w:tcPr>
          <w:p w14:paraId="432D9B69" w14:textId="77777777" w:rsidR="002F2989" w:rsidRPr="00342D74" w:rsidRDefault="002F2989" w:rsidP="002F2989">
            <w:pPr>
              <w:rPr>
                <w:i/>
                <w:sz w:val="18"/>
                <w:szCs w:val="18"/>
              </w:rPr>
            </w:pPr>
          </w:p>
        </w:tc>
        <w:tc>
          <w:tcPr>
            <w:tcW w:w="1271" w:type="dxa"/>
          </w:tcPr>
          <w:p w14:paraId="47AFF46B" w14:textId="77777777" w:rsidR="002F2989" w:rsidRPr="005A7DAC" w:rsidRDefault="002F2989" w:rsidP="002F2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 29</w:t>
            </w:r>
          </w:p>
        </w:tc>
      </w:tr>
    </w:tbl>
    <w:p w14:paraId="7BAA9835" w14:textId="77777777" w:rsidR="002F2989" w:rsidRPr="00237AE4" w:rsidRDefault="002F2989" w:rsidP="002F2989"/>
    <w:tbl>
      <w:tblPr>
        <w:tblStyle w:val="Tabellrutnt"/>
        <w:tblW w:w="6595" w:type="dxa"/>
        <w:tblInd w:w="108" w:type="dxa"/>
        <w:tblLook w:val="04A0" w:firstRow="1" w:lastRow="0" w:firstColumn="1" w:lastColumn="0" w:noHBand="0" w:noVBand="1"/>
      </w:tblPr>
      <w:tblGrid>
        <w:gridCol w:w="2507"/>
        <w:gridCol w:w="2817"/>
        <w:gridCol w:w="1271"/>
      </w:tblGrid>
      <w:tr w:rsidR="002F2989" w:rsidRPr="005A7DAC" w14:paraId="48F398C5" w14:textId="77777777" w:rsidTr="00FF2CEE">
        <w:tc>
          <w:tcPr>
            <w:tcW w:w="6595" w:type="dxa"/>
            <w:gridSpan w:val="3"/>
          </w:tcPr>
          <w:p w14:paraId="5A9E1E4A" w14:textId="77777777" w:rsidR="002F2989" w:rsidRDefault="004C6D9E" w:rsidP="002F298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  <w:r w:rsidR="002F2989">
              <w:rPr>
                <w:b/>
                <w:sz w:val="18"/>
                <w:szCs w:val="18"/>
              </w:rPr>
              <w:t>ain component</w:t>
            </w:r>
            <w:r>
              <w:rPr>
                <w:b/>
                <w:sz w:val="18"/>
                <w:szCs w:val="18"/>
              </w:rPr>
              <w:t>:</w:t>
            </w:r>
            <w:r w:rsidR="002F2989">
              <w:rPr>
                <w:b/>
                <w:sz w:val="18"/>
                <w:szCs w:val="18"/>
              </w:rPr>
              <w:t xml:space="preserve"> </w:t>
            </w:r>
            <w:r w:rsidR="002F2989">
              <w:rPr>
                <w:b/>
                <w:i/>
                <w:sz w:val="18"/>
                <w:szCs w:val="18"/>
              </w:rPr>
              <w:t>Timeliness and punctuality</w:t>
            </w:r>
          </w:p>
          <w:p w14:paraId="7EFCF297" w14:textId="77777777" w:rsidR="00E808B7" w:rsidRPr="005A7DAC" w:rsidRDefault="00E808B7" w:rsidP="002F2989">
            <w:pPr>
              <w:rPr>
                <w:b/>
                <w:sz w:val="18"/>
                <w:szCs w:val="18"/>
              </w:rPr>
            </w:pPr>
          </w:p>
        </w:tc>
      </w:tr>
      <w:tr w:rsidR="002F2989" w:rsidRPr="005A7DAC" w14:paraId="62803882" w14:textId="77777777" w:rsidTr="00FF2CEE">
        <w:tc>
          <w:tcPr>
            <w:tcW w:w="2507" w:type="dxa"/>
          </w:tcPr>
          <w:p w14:paraId="4438989B" w14:textId="77777777" w:rsidR="002F2989" w:rsidRDefault="002F2989" w:rsidP="002F29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Subcomponent</w:t>
            </w:r>
          </w:p>
          <w:p w14:paraId="4A434062" w14:textId="77777777" w:rsidR="00E808B7" w:rsidRPr="005A7DAC" w:rsidRDefault="00E808B7" w:rsidP="002F2989">
            <w:pPr>
              <w:rPr>
                <w:b/>
                <w:sz w:val="18"/>
                <w:szCs w:val="18"/>
              </w:rPr>
            </w:pPr>
          </w:p>
        </w:tc>
        <w:tc>
          <w:tcPr>
            <w:tcW w:w="2817" w:type="dxa"/>
          </w:tcPr>
          <w:p w14:paraId="1109D3C9" w14:textId="77777777" w:rsidR="002F2989" w:rsidRPr="005A7DAC" w:rsidRDefault="002F2989" w:rsidP="002F29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Sub-subcomponent</w:t>
            </w:r>
          </w:p>
        </w:tc>
        <w:tc>
          <w:tcPr>
            <w:tcW w:w="1271" w:type="dxa"/>
          </w:tcPr>
          <w:p w14:paraId="410E73E0" w14:textId="77777777" w:rsidR="002F2989" w:rsidRPr="005A7DAC" w:rsidRDefault="002F2989" w:rsidP="002F29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Described in </w:t>
            </w:r>
          </w:p>
        </w:tc>
      </w:tr>
      <w:tr w:rsidR="002F2989" w:rsidRPr="005A7DAC" w14:paraId="565AF977" w14:textId="77777777" w:rsidTr="00904CEA">
        <w:trPr>
          <w:trHeight w:val="283"/>
        </w:trPr>
        <w:tc>
          <w:tcPr>
            <w:tcW w:w="2507" w:type="dxa"/>
          </w:tcPr>
          <w:p w14:paraId="6C04AEC9" w14:textId="77777777" w:rsidR="002F2989" w:rsidRPr="00B56E4B" w:rsidRDefault="002F2989" w:rsidP="002F29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Production time</w:t>
            </w:r>
          </w:p>
        </w:tc>
        <w:tc>
          <w:tcPr>
            <w:tcW w:w="2817" w:type="dxa"/>
          </w:tcPr>
          <w:p w14:paraId="0AB253E0" w14:textId="77777777" w:rsidR="002F2989" w:rsidRPr="005A7DAC" w:rsidRDefault="002F2989" w:rsidP="002F2989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</w:tcPr>
          <w:p w14:paraId="76487FC7" w14:textId="77777777" w:rsidR="002F2989" w:rsidRPr="005A7DAC" w:rsidRDefault="002F2989" w:rsidP="002F2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 32</w:t>
            </w:r>
          </w:p>
        </w:tc>
      </w:tr>
      <w:tr w:rsidR="002F2989" w:rsidRPr="005A7DAC" w14:paraId="700F2AAD" w14:textId="77777777" w:rsidTr="00904CEA">
        <w:trPr>
          <w:trHeight w:val="283"/>
        </w:trPr>
        <w:tc>
          <w:tcPr>
            <w:tcW w:w="2507" w:type="dxa"/>
          </w:tcPr>
          <w:p w14:paraId="7B2133F3" w14:textId="77777777" w:rsidR="002F2989" w:rsidRPr="00B56E4B" w:rsidRDefault="002F2989" w:rsidP="002F29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Frequency</w:t>
            </w:r>
          </w:p>
        </w:tc>
        <w:tc>
          <w:tcPr>
            <w:tcW w:w="2817" w:type="dxa"/>
          </w:tcPr>
          <w:p w14:paraId="43D2FCCB" w14:textId="77777777" w:rsidR="002F2989" w:rsidRPr="005A7DAC" w:rsidRDefault="002F2989" w:rsidP="002F2989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</w:tcPr>
          <w:p w14:paraId="1038D9FB" w14:textId="77777777" w:rsidR="002F2989" w:rsidRPr="005A7DAC" w:rsidRDefault="002F2989" w:rsidP="002F2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 33</w:t>
            </w:r>
          </w:p>
        </w:tc>
      </w:tr>
      <w:tr w:rsidR="002F2989" w:rsidRPr="005A7DAC" w14:paraId="40D7D449" w14:textId="77777777" w:rsidTr="00904CEA">
        <w:trPr>
          <w:trHeight w:val="283"/>
        </w:trPr>
        <w:tc>
          <w:tcPr>
            <w:tcW w:w="2507" w:type="dxa"/>
          </w:tcPr>
          <w:p w14:paraId="10E52D68" w14:textId="77777777" w:rsidR="002F2989" w:rsidRPr="00B56E4B" w:rsidRDefault="002F2989" w:rsidP="002F29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Punctuality</w:t>
            </w:r>
          </w:p>
        </w:tc>
        <w:tc>
          <w:tcPr>
            <w:tcW w:w="2817" w:type="dxa"/>
          </w:tcPr>
          <w:p w14:paraId="430B9A51" w14:textId="77777777" w:rsidR="002F2989" w:rsidRPr="005A7DAC" w:rsidRDefault="002F2989" w:rsidP="002F2989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</w:tcPr>
          <w:p w14:paraId="2F2BDD5C" w14:textId="77777777" w:rsidR="002F2989" w:rsidRPr="005A7DAC" w:rsidRDefault="002F2989" w:rsidP="002F2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 34</w:t>
            </w:r>
          </w:p>
        </w:tc>
      </w:tr>
    </w:tbl>
    <w:p w14:paraId="32F7C166" w14:textId="77777777" w:rsidR="002F2989" w:rsidRPr="00237AE4" w:rsidRDefault="002F2989" w:rsidP="002F2989"/>
    <w:tbl>
      <w:tblPr>
        <w:tblStyle w:val="Tabellrutnt"/>
        <w:tblW w:w="6595" w:type="dxa"/>
        <w:tblInd w:w="108" w:type="dxa"/>
        <w:tblLook w:val="04A0" w:firstRow="1" w:lastRow="0" w:firstColumn="1" w:lastColumn="0" w:noHBand="0" w:noVBand="1"/>
      </w:tblPr>
      <w:tblGrid>
        <w:gridCol w:w="2507"/>
        <w:gridCol w:w="2817"/>
        <w:gridCol w:w="1271"/>
      </w:tblGrid>
      <w:tr w:rsidR="002F2989" w:rsidRPr="005A7DAC" w14:paraId="197DF052" w14:textId="77777777" w:rsidTr="00FF2CEE">
        <w:tc>
          <w:tcPr>
            <w:tcW w:w="6595" w:type="dxa"/>
            <w:gridSpan w:val="3"/>
          </w:tcPr>
          <w:p w14:paraId="65C32777" w14:textId="77777777" w:rsidR="002F2989" w:rsidRDefault="004C6D9E" w:rsidP="002F2989">
            <w:pPr>
              <w:keepNext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  <w:r w:rsidR="002F2989">
              <w:rPr>
                <w:b/>
                <w:sz w:val="18"/>
                <w:szCs w:val="18"/>
              </w:rPr>
              <w:t>ain component</w:t>
            </w:r>
            <w:r>
              <w:rPr>
                <w:b/>
                <w:sz w:val="18"/>
                <w:szCs w:val="18"/>
              </w:rPr>
              <w:t>:</w:t>
            </w:r>
            <w:r w:rsidR="002F2989">
              <w:rPr>
                <w:b/>
                <w:sz w:val="18"/>
                <w:szCs w:val="18"/>
              </w:rPr>
              <w:t xml:space="preserve"> </w:t>
            </w:r>
            <w:r w:rsidR="005F0A3D">
              <w:rPr>
                <w:b/>
                <w:i/>
                <w:sz w:val="18"/>
                <w:szCs w:val="18"/>
              </w:rPr>
              <w:t xml:space="preserve">Accessibility </w:t>
            </w:r>
            <w:r w:rsidR="002F2989">
              <w:rPr>
                <w:b/>
                <w:i/>
                <w:sz w:val="18"/>
                <w:szCs w:val="18"/>
              </w:rPr>
              <w:t>and clarity</w:t>
            </w:r>
          </w:p>
          <w:p w14:paraId="0ACDF007" w14:textId="77777777" w:rsidR="00E808B7" w:rsidRPr="005A7DAC" w:rsidRDefault="00E808B7" w:rsidP="002F2989">
            <w:pPr>
              <w:keepNext/>
              <w:rPr>
                <w:b/>
                <w:sz w:val="18"/>
                <w:szCs w:val="18"/>
              </w:rPr>
            </w:pPr>
          </w:p>
        </w:tc>
      </w:tr>
      <w:tr w:rsidR="002F2989" w:rsidRPr="005A7DAC" w14:paraId="7D35E142" w14:textId="77777777" w:rsidTr="00FF2CEE">
        <w:tc>
          <w:tcPr>
            <w:tcW w:w="2507" w:type="dxa"/>
          </w:tcPr>
          <w:p w14:paraId="0F7940F9" w14:textId="77777777" w:rsidR="002F2989" w:rsidRDefault="002F2989" w:rsidP="002F29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Subcomponent</w:t>
            </w:r>
          </w:p>
          <w:p w14:paraId="39BE595D" w14:textId="77777777" w:rsidR="00E808B7" w:rsidRPr="005A7DAC" w:rsidRDefault="00E808B7" w:rsidP="002F2989">
            <w:pPr>
              <w:rPr>
                <w:b/>
                <w:sz w:val="18"/>
                <w:szCs w:val="18"/>
              </w:rPr>
            </w:pPr>
          </w:p>
        </w:tc>
        <w:tc>
          <w:tcPr>
            <w:tcW w:w="2817" w:type="dxa"/>
          </w:tcPr>
          <w:p w14:paraId="56771482" w14:textId="77777777" w:rsidR="002F2989" w:rsidRPr="005A7DAC" w:rsidRDefault="002F2989" w:rsidP="002F29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Sub-subcomponent</w:t>
            </w:r>
          </w:p>
        </w:tc>
        <w:tc>
          <w:tcPr>
            <w:tcW w:w="1271" w:type="dxa"/>
          </w:tcPr>
          <w:p w14:paraId="315AA342" w14:textId="77777777" w:rsidR="002F2989" w:rsidRPr="005A7DAC" w:rsidRDefault="002F2989" w:rsidP="002F29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Described in </w:t>
            </w:r>
          </w:p>
        </w:tc>
      </w:tr>
      <w:tr w:rsidR="002F2989" w:rsidRPr="005A7DAC" w14:paraId="55CC1AE9" w14:textId="77777777" w:rsidTr="00904CEA">
        <w:trPr>
          <w:trHeight w:val="283"/>
        </w:trPr>
        <w:tc>
          <w:tcPr>
            <w:tcW w:w="2507" w:type="dxa"/>
          </w:tcPr>
          <w:p w14:paraId="170F895B" w14:textId="77777777" w:rsidR="002F2989" w:rsidRPr="00342D74" w:rsidRDefault="002F2989" w:rsidP="002F29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Access to </w:t>
            </w:r>
            <w:r w:rsidR="005C0785">
              <w:rPr>
                <w:i/>
                <w:sz w:val="18"/>
                <w:szCs w:val="18"/>
              </w:rPr>
              <w:t xml:space="preserve">the </w:t>
            </w:r>
            <w:r>
              <w:rPr>
                <w:i/>
                <w:sz w:val="18"/>
                <w:szCs w:val="18"/>
              </w:rPr>
              <w:t xml:space="preserve">statistics </w:t>
            </w:r>
          </w:p>
        </w:tc>
        <w:tc>
          <w:tcPr>
            <w:tcW w:w="2817" w:type="dxa"/>
          </w:tcPr>
          <w:p w14:paraId="4A151C95" w14:textId="77777777" w:rsidR="002F2989" w:rsidRPr="005A7DAC" w:rsidRDefault="002F2989" w:rsidP="002F2989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</w:tcPr>
          <w:p w14:paraId="26F666A2" w14:textId="77777777" w:rsidR="002F2989" w:rsidRPr="005A7DAC" w:rsidRDefault="002F2989" w:rsidP="002F2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 37</w:t>
            </w:r>
          </w:p>
        </w:tc>
      </w:tr>
      <w:tr w:rsidR="002F2989" w:rsidRPr="005A7DAC" w14:paraId="43918AC9" w14:textId="77777777" w:rsidTr="00FF2CEE">
        <w:tc>
          <w:tcPr>
            <w:tcW w:w="2507" w:type="dxa"/>
          </w:tcPr>
          <w:p w14:paraId="1231301E" w14:textId="154F79D3" w:rsidR="002F2989" w:rsidRPr="00342D74" w:rsidRDefault="008C526D" w:rsidP="00DB4ED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Possibility of </w:t>
            </w:r>
            <w:r w:rsidR="002F2989">
              <w:rPr>
                <w:i/>
                <w:sz w:val="18"/>
                <w:szCs w:val="18"/>
              </w:rPr>
              <w:t>additional statistics</w:t>
            </w:r>
          </w:p>
        </w:tc>
        <w:tc>
          <w:tcPr>
            <w:tcW w:w="2817" w:type="dxa"/>
          </w:tcPr>
          <w:p w14:paraId="040FAFB7" w14:textId="77777777" w:rsidR="002F2989" w:rsidRPr="005A7DAC" w:rsidRDefault="002F2989" w:rsidP="002F2989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</w:tcPr>
          <w:p w14:paraId="68D4B786" w14:textId="77777777" w:rsidR="002F2989" w:rsidRPr="005A7DAC" w:rsidRDefault="002F2989" w:rsidP="002F2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 38</w:t>
            </w:r>
          </w:p>
        </w:tc>
      </w:tr>
      <w:tr w:rsidR="002F2989" w:rsidRPr="005A7DAC" w14:paraId="35957F1D" w14:textId="77777777" w:rsidTr="00904CEA">
        <w:trPr>
          <w:trHeight w:val="283"/>
        </w:trPr>
        <w:tc>
          <w:tcPr>
            <w:tcW w:w="2507" w:type="dxa"/>
          </w:tcPr>
          <w:p w14:paraId="41862B91" w14:textId="77777777" w:rsidR="002F2989" w:rsidRPr="00342D74" w:rsidRDefault="002F2989" w:rsidP="002F29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Presentation </w:t>
            </w:r>
          </w:p>
        </w:tc>
        <w:tc>
          <w:tcPr>
            <w:tcW w:w="2817" w:type="dxa"/>
          </w:tcPr>
          <w:p w14:paraId="53423EC1" w14:textId="77777777" w:rsidR="002F2989" w:rsidRPr="005A7DAC" w:rsidRDefault="002F2989" w:rsidP="002F2989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</w:tcPr>
          <w:p w14:paraId="2F6E4D3A" w14:textId="77777777" w:rsidR="002F2989" w:rsidRPr="005A7DAC" w:rsidRDefault="002F2989" w:rsidP="002F2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 39</w:t>
            </w:r>
          </w:p>
        </w:tc>
      </w:tr>
      <w:tr w:rsidR="002F2989" w:rsidRPr="005A7DAC" w14:paraId="28E1E74E" w14:textId="77777777" w:rsidTr="00904CEA">
        <w:trPr>
          <w:trHeight w:val="283"/>
        </w:trPr>
        <w:tc>
          <w:tcPr>
            <w:tcW w:w="2507" w:type="dxa"/>
          </w:tcPr>
          <w:p w14:paraId="433A5B98" w14:textId="77777777" w:rsidR="002F2989" w:rsidRPr="00342D74" w:rsidDel="00A2337B" w:rsidRDefault="002F2989" w:rsidP="002F29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Documentation</w:t>
            </w:r>
          </w:p>
        </w:tc>
        <w:tc>
          <w:tcPr>
            <w:tcW w:w="2817" w:type="dxa"/>
          </w:tcPr>
          <w:p w14:paraId="30D8AAD0" w14:textId="77777777" w:rsidR="002F2989" w:rsidRPr="005A7DAC" w:rsidRDefault="002F2989" w:rsidP="002F2989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</w:tcPr>
          <w:p w14:paraId="031DCA2E" w14:textId="77777777" w:rsidR="002F2989" w:rsidRDefault="002F2989" w:rsidP="002F2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 40</w:t>
            </w:r>
          </w:p>
        </w:tc>
      </w:tr>
    </w:tbl>
    <w:p w14:paraId="7D7375B3" w14:textId="77777777" w:rsidR="00C00108" w:rsidRDefault="00C00108" w:rsidP="002F2989"/>
    <w:p w14:paraId="5177471E" w14:textId="77777777" w:rsidR="00C00108" w:rsidRDefault="00C00108" w:rsidP="002F2989"/>
    <w:p w14:paraId="67F023BC" w14:textId="77777777" w:rsidR="00C00108" w:rsidRDefault="00C00108" w:rsidP="002F2989"/>
    <w:p w14:paraId="0297DB56" w14:textId="77777777" w:rsidR="00C00108" w:rsidRDefault="00C00108" w:rsidP="002F2989">
      <w:bookmarkStart w:id="0" w:name="_GoBack"/>
      <w:bookmarkEnd w:id="0"/>
    </w:p>
    <w:p w14:paraId="16C62545" w14:textId="77777777" w:rsidR="003F6912" w:rsidRDefault="003F6912" w:rsidP="002F2989"/>
    <w:p w14:paraId="4A90964B" w14:textId="77777777" w:rsidR="003F6912" w:rsidRDefault="003F6912" w:rsidP="002F2989"/>
    <w:p w14:paraId="27E29E01" w14:textId="77777777" w:rsidR="007128D2" w:rsidRDefault="007128D2" w:rsidP="002F2989"/>
    <w:p w14:paraId="3BD44F46" w14:textId="77777777" w:rsidR="00B06EEA" w:rsidRDefault="00B06EEA" w:rsidP="002F2989"/>
    <w:p w14:paraId="5AF21223" w14:textId="77777777" w:rsidR="00B06EEA" w:rsidRDefault="00B06EEA" w:rsidP="002F2989"/>
    <w:p w14:paraId="13AE9D29" w14:textId="77777777" w:rsidR="00B06EEA" w:rsidRDefault="00B06EEA" w:rsidP="002F2989"/>
    <w:p w14:paraId="2CCFFC92" w14:textId="77777777" w:rsidR="00B06EEA" w:rsidRDefault="00B06EEA" w:rsidP="002F2989"/>
    <w:tbl>
      <w:tblPr>
        <w:tblStyle w:val="Tabellrutnt"/>
        <w:tblW w:w="6595" w:type="dxa"/>
        <w:tblInd w:w="108" w:type="dxa"/>
        <w:tblLook w:val="04A0" w:firstRow="1" w:lastRow="0" w:firstColumn="1" w:lastColumn="0" w:noHBand="0" w:noVBand="1"/>
      </w:tblPr>
      <w:tblGrid>
        <w:gridCol w:w="2507"/>
        <w:gridCol w:w="2817"/>
        <w:gridCol w:w="1271"/>
      </w:tblGrid>
      <w:tr w:rsidR="002F2989" w:rsidRPr="005A7DAC" w14:paraId="00D19410" w14:textId="77777777" w:rsidTr="00FF2CEE">
        <w:tc>
          <w:tcPr>
            <w:tcW w:w="6595" w:type="dxa"/>
            <w:gridSpan w:val="3"/>
          </w:tcPr>
          <w:p w14:paraId="42193C3D" w14:textId="77777777" w:rsidR="002F2989" w:rsidRDefault="004C6D9E" w:rsidP="002F298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  <w:r w:rsidR="002F2989">
              <w:rPr>
                <w:b/>
                <w:sz w:val="18"/>
                <w:szCs w:val="18"/>
              </w:rPr>
              <w:t>ain component</w:t>
            </w:r>
            <w:r>
              <w:rPr>
                <w:b/>
                <w:sz w:val="18"/>
                <w:szCs w:val="18"/>
              </w:rPr>
              <w:t>:</w:t>
            </w:r>
            <w:r w:rsidR="002F2989">
              <w:rPr>
                <w:b/>
                <w:sz w:val="18"/>
                <w:szCs w:val="18"/>
              </w:rPr>
              <w:t xml:space="preserve"> </w:t>
            </w:r>
            <w:r w:rsidR="002F2989">
              <w:rPr>
                <w:b/>
                <w:i/>
                <w:sz w:val="18"/>
                <w:szCs w:val="18"/>
              </w:rPr>
              <w:t>Comparability and coherence</w:t>
            </w:r>
            <w:r w:rsidR="002F2989">
              <w:rPr>
                <w:b/>
                <w:sz w:val="18"/>
                <w:szCs w:val="18"/>
              </w:rPr>
              <w:t xml:space="preserve"> </w:t>
            </w:r>
          </w:p>
          <w:p w14:paraId="5D28C9C6" w14:textId="77777777" w:rsidR="00E808B7" w:rsidRPr="005A7DAC" w:rsidRDefault="00E808B7" w:rsidP="002F2989">
            <w:pPr>
              <w:rPr>
                <w:b/>
                <w:sz w:val="18"/>
                <w:szCs w:val="18"/>
              </w:rPr>
            </w:pPr>
          </w:p>
        </w:tc>
      </w:tr>
      <w:tr w:rsidR="002F2989" w:rsidRPr="005A7DAC" w14:paraId="057AD783" w14:textId="77777777" w:rsidTr="00FF2CEE">
        <w:tc>
          <w:tcPr>
            <w:tcW w:w="2507" w:type="dxa"/>
          </w:tcPr>
          <w:p w14:paraId="0329E935" w14:textId="77777777" w:rsidR="002F2989" w:rsidRDefault="002F2989" w:rsidP="002F29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Subcomponent</w:t>
            </w:r>
          </w:p>
          <w:p w14:paraId="79E43CFD" w14:textId="77777777" w:rsidR="00E808B7" w:rsidRPr="005A7DAC" w:rsidRDefault="00E808B7" w:rsidP="002F2989">
            <w:pPr>
              <w:rPr>
                <w:b/>
                <w:sz w:val="18"/>
                <w:szCs w:val="18"/>
              </w:rPr>
            </w:pPr>
          </w:p>
        </w:tc>
        <w:tc>
          <w:tcPr>
            <w:tcW w:w="2817" w:type="dxa"/>
          </w:tcPr>
          <w:p w14:paraId="4404BE17" w14:textId="77777777" w:rsidR="002F2989" w:rsidRPr="005A7DAC" w:rsidRDefault="002F2989" w:rsidP="002F29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Sub-subcomponent</w:t>
            </w:r>
          </w:p>
        </w:tc>
        <w:tc>
          <w:tcPr>
            <w:tcW w:w="1271" w:type="dxa"/>
          </w:tcPr>
          <w:p w14:paraId="04FD538C" w14:textId="77777777" w:rsidR="002F2989" w:rsidRPr="005A7DAC" w:rsidRDefault="002F2989" w:rsidP="002F29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Described in </w:t>
            </w:r>
          </w:p>
        </w:tc>
      </w:tr>
      <w:tr w:rsidR="002F2989" w:rsidRPr="005A7DAC" w14:paraId="2B6A799C" w14:textId="77777777" w:rsidTr="00904CEA">
        <w:trPr>
          <w:trHeight w:val="283"/>
        </w:trPr>
        <w:tc>
          <w:tcPr>
            <w:tcW w:w="2507" w:type="dxa"/>
          </w:tcPr>
          <w:p w14:paraId="54AA722A" w14:textId="77777777" w:rsidR="002F2989" w:rsidRPr="00342D74" w:rsidRDefault="002F2989" w:rsidP="002F29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Comparability over time</w:t>
            </w:r>
          </w:p>
        </w:tc>
        <w:tc>
          <w:tcPr>
            <w:tcW w:w="2817" w:type="dxa"/>
          </w:tcPr>
          <w:p w14:paraId="29EA8A3A" w14:textId="77777777" w:rsidR="002F2989" w:rsidRPr="005A7DAC" w:rsidRDefault="002F2989" w:rsidP="002F2989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</w:tcPr>
          <w:p w14:paraId="25C5AC29" w14:textId="77777777" w:rsidR="002F2989" w:rsidRPr="005A7DAC" w:rsidRDefault="002F2989" w:rsidP="002F2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 43</w:t>
            </w:r>
          </w:p>
        </w:tc>
      </w:tr>
      <w:tr w:rsidR="002F2989" w:rsidRPr="005A7DAC" w14:paraId="5BB787A5" w14:textId="77777777" w:rsidTr="00904CEA">
        <w:trPr>
          <w:trHeight w:val="283"/>
        </w:trPr>
        <w:tc>
          <w:tcPr>
            <w:tcW w:w="2507" w:type="dxa"/>
          </w:tcPr>
          <w:p w14:paraId="2EC831E9" w14:textId="77777777" w:rsidR="002F2989" w:rsidRPr="00342D74" w:rsidRDefault="002F2989" w:rsidP="002F29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Comparability among groups</w:t>
            </w:r>
          </w:p>
        </w:tc>
        <w:tc>
          <w:tcPr>
            <w:tcW w:w="2817" w:type="dxa"/>
          </w:tcPr>
          <w:p w14:paraId="512F821F" w14:textId="77777777" w:rsidR="002F2989" w:rsidRPr="005A7DAC" w:rsidRDefault="002F2989" w:rsidP="002F2989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</w:tcPr>
          <w:p w14:paraId="269FCE3B" w14:textId="77777777" w:rsidR="002F2989" w:rsidRPr="005A7DAC" w:rsidRDefault="002F2989" w:rsidP="002F2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 44</w:t>
            </w:r>
          </w:p>
        </w:tc>
      </w:tr>
      <w:tr w:rsidR="002F2989" w:rsidRPr="005A7DAC" w14:paraId="157B1DB2" w14:textId="77777777" w:rsidTr="00904CEA">
        <w:trPr>
          <w:trHeight w:val="283"/>
        </w:trPr>
        <w:tc>
          <w:tcPr>
            <w:tcW w:w="2507" w:type="dxa"/>
          </w:tcPr>
          <w:p w14:paraId="2ADBB975" w14:textId="77777777" w:rsidR="002F2989" w:rsidRPr="00342D74" w:rsidRDefault="002F2989" w:rsidP="002F29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Other coherence</w:t>
            </w:r>
          </w:p>
        </w:tc>
        <w:tc>
          <w:tcPr>
            <w:tcW w:w="2817" w:type="dxa"/>
          </w:tcPr>
          <w:p w14:paraId="4A66824A" w14:textId="77777777" w:rsidR="002F2989" w:rsidRPr="005A7DAC" w:rsidRDefault="002F2989" w:rsidP="002F2989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</w:tcPr>
          <w:p w14:paraId="59A120FB" w14:textId="77777777" w:rsidR="002F2989" w:rsidRPr="005A7DAC" w:rsidRDefault="002F2989" w:rsidP="002F2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 45</w:t>
            </w:r>
          </w:p>
        </w:tc>
      </w:tr>
      <w:tr w:rsidR="002F2989" w:rsidRPr="005A7DAC" w14:paraId="71C0646F" w14:textId="77777777" w:rsidTr="00904CEA">
        <w:trPr>
          <w:trHeight w:val="283"/>
        </w:trPr>
        <w:tc>
          <w:tcPr>
            <w:tcW w:w="2507" w:type="dxa"/>
          </w:tcPr>
          <w:p w14:paraId="2F2EE758" w14:textId="77777777" w:rsidR="002F2989" w:rsidRPr="00342D74" w:rsidRDefault="002F2989" w:rsidP="0017325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Numerical </w:t>
            </w:r>
            <w:r w:rsidR="00173251">
              <w:rPr>
                <w:i/>
                <w:sz w:val="18"/>
                <w:szCs w:val="18"/>
              </w:rPr>
              <w:t>consistency</w:t>
            </w:r>
          </w:p>
        </w:tc>
        <w:tc>
          <w:tcPr>
            <w:tcW w:w="2817" w:type="dxa"/>
          </w:tcPr>
          <w:p w14:paraId="356DDEDB" w14:textId="77777777" w:rsidR="002F2989" w:rsidRPr="005A7DAC" w:rsidRDefault="002F2989" w:rsidP="002F2989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</w:tcPr>
          <w:p w14:paraId="530B40C3" w14:textId="77777777" w:rsidR="002F2989" w:rsidRPr="005A7DAC" w:rsidRDefault="002F2989" w:rsidP="002F2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 46</w:t>
            </w:r>
          </w:p>
        </w:tc>
      </w:tr>
    </w:tbl>
    <w:p w14:paraId="7CD9F03B" w14:textId="77777777" w:rsidR="002F2989" w:rsidRPr="008E60EC" w:rsidRDefault="002F2989" w:rsidP="003E2249">
      <w:pPr>
        <w:spacing w:before="240" w:after="60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Definitions</w:t>
      </w:r>
    </w:p>
    <w:p w14:paraId="4FE1F5A7" w14:textId="77777777" w:rsidR="002F2989" w:rsidRDefault="00B46475" w:rsidP="00175C82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Section </w:t>
      </w:r>
      <w:proofErr w:type="gramStart"/>
      <w:r w:rsidR="002F2989">
        <w:rPr>
          <w:rFonts w:ascii="Times New Roman" w:hAnsi="Times New Roman"/>
          <w:b/>
        </w:rPr>
        <w:t>4</w:t>
      </w:r>
      <w:proofErr w:type="gramEnd"/>
      <w:r w:rsidR="002F2989">
        <w:rPr>
          <w:rFonts w:ascii="Times New Roman" w:hAnsi="Times New Roman"/>
          <w:b/>
        </w:rPr>
        <w:t xml:space="preserve"> </w:t>
      </w:r>
      <w:r w:rsidR="002F2989">
        <w:rPr>
          <w:rFonts w:ascii="Times New Roman" w:hAnsi="Times New Roman"/>
        </w:rPr>
        <w:t xml:space="preserve"> </w:t>
      </w:r>
      <w:r w:rsidR="002F2989">
        <w:rPr>
          <w:rFonts w:ascii="Times New Roman" w:hAnsi="Times New Roman"/>
        </w:rPr>
        <w:tab/>
        <w:t>In this regulation, the following terms are used with the meanings stated below.</w:t>
      </w:r>
    </w:p>
    <w:p w14:paraId="2A99E900" w14:textId="77777777" w:rsidR="00B46475" w:rsidRPr="00DE377C" w:rsidRDefault="00B46475" w:rsidP="00175C82">
      <w:pPr>
        <w:tabs>
          <w:tab w:val="left" w:pos="567"/>
        </w:tabs>
        <w:jc w:val="both"/>
        <w:rPr>
          <w:rFonts w:ascii="Times New Roman" w:hAnsi="Times New Roman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4536"/>
      </w:tblGrid>
      <w:tr w:rsidR="002F2989" w:rsidRPr="00904CEA" w14:paraId="2351877E" w14:textId="77777777" w:rsidTr="002F2989">
        <w:tc>
          <w:tcPr>
            <w:tcW w:w="2381" w:type="dxa"/>
          </w:tcPr>
          <w:p w14:paraId="6D8C7CF7" w14:textId="77777777" w:rsidR="002F2989" w:rsidRPr="00904CEA" w:rsidRDefault="002F2989" w:rsidP="00C00108">
            <w:pPr>
              <w:keepNext/>
              <w:spacing w:before="120" w:after="60"/>
              <w:jc w:val="both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Term</w:t>
            </w:r>
          </w:p>
        </w:tc>
        <w:tc>
          <w:tcPr>
            <w:tcW w:w="4536" w:type="dxa"/>
          </w:tcPr>
          <w:p w14:paraId="41A2F303" w14:textId="77777777" w:rsidR="002F2989" w:rsidRPr="00904CEA" w:rsidRDefault="002F2989" w:rsidP="00C00108">
            <w:pPr>
              <w:keepNext/>
              <w:spacing w:before="120" w:after="60"/>
              <w:jc w:val="both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Meaning</w:t>
            </w:r>
          </w:p>
        </w:tc>
      </w:tr>
      <w:tr w:rsidR="002F2989" w14:paraId="34050D97" w14:textId="77777777" w:rsidTr="002F2989">
        <w:tc>
          <w:tcPr>
            <w:tcW w:w="2381" w:type="dxa"/>
          </w:tcPr>
          <w:p w14:paraId="09C7B89B" w14:textId="77777777" w:rsidR="002F2989" w:rsidRPr="006F063C" w:rsidRDefault="002F2989" w:rsidP="003E2249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63C">
              <w:rPr>
                <w:rFonts w:ascii="Times New Roman" w:hAnsi="Times New Roman" w:cs="Times New Roman"/>
                <w:sz w:val="20"/>
                <w:szCs w:val="20"/>
              </w:rPr>
              <w:t>Statistical measure</w:t>
            </w:r>
          </w:p>
        </w:tc>
        <w:tc>
          <w:tcPr>
            <w:tcW w:w="4536" w:type="dxa"/>
          </w:tcPr>
          <w:p w14:paraId="4E01BEE4" w14:textId="77777777" w:rsidR="002F2989" w:rsidRPr="00464912" w:rsidRDefault="002F2989" w:rsidP="000A3E11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63C">
              <w:rPr>
                <w:rFonts w:ascii="Times New Roman" w:hAnsi="Times New Roman" w:cs="Times New Roman"/>
                <w:sz w:val="20"/>
                <w:szCs w:val="20"/>
              </w:rPr>
              <w:t>A computation</w:t>
            </w:r>
            <w:r w:rsidR="00DA0A87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Pr="006F063C">
              <w:rPr>
                <w:rFonts w:ascii="Times New Roman" w:hAnsi="Times New Roman" w:cs="Times New Roman"/>
                <w:sz w:val="20"/>
                <w:szCs w:val="20"/>
              </w:rPr>
              <w:t xml:space="preserve"> rule used to summarise variable values. Such a rule may involve the counting of </w:t>
            </w:r>
            <w:r w:rsidRPr="00464912">
              <w:rPr>
                <w:rFonts w:ascii="Times New Roman" w:hAnsi="Times New Roman" w:cs="Times New Roman"/>
                <w:sz w:val="20"/>
                <w:szCs w:val="20"/>
              </w:rPr>
              <w:t xml:space="preserve">numbers </w:t>
            </w:r>
            <w:r w:rsidRPr="006F063C">
              <w:rPr>
                <w:rFonts w:ascii="Times New Roman" w:hAnsi="Times New Roman" w:cs="Times New Roman"/>
                <w:sz w:val="20"/>
                <w:szCs w:val="20"/>
              </w:rPr>
              <w:t xml:space="preserve">or the </w:t>
            </w:r>
            <w:r w:rsidR="000A3E11">
              <w:rPr>
                <w:rFonts w:ascii="Times New Roman" w:hAnsi="Times New Roman" w:cs="Times New Roman"/>
                <w:sz w:val="20"/>
                <w:szCs w:val="20"/>
              </w:rPr>
              <w:t>computation</w:t>
            </w:r>
            <w:r w:rsidR="000A3E11" w:rsidRPr="006F06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063C">
              <w:rPr>
                <w:rFonts w:ascii="Times New Roman" w:hAnsi="Times New Roman" w:cs="Times New Roman"/>
                <w:sz w:val="20"/>
                <w:szCs w:val="20"/>
              </w:rPr>
              <w:t xml:space="preserve">of a </w:t>
            </w:r>
            <w:r w:rsidR="00E15E8A" w:rsidRPr="006F063C">
              <w:rPr>
                <w:rFonts w:ascii="Times New Roman" w:hAnsi="Times New Roman" w:cs="Times New Roman"/>
                <w:sz w:val="20"/>
                <w:szCs w:val="20"/>
              </w:rPr>
              <w:t>sum</w:t>
            </w:r>
            <w:r w:rsidRPr="006F063C">
              <w:rPr>
                <w:rFonts w:ascii="Times New Roman" w:hAnsi="Times New Roman" w:cs="Times New Roman"/>
                <w:sz w:val="20"/>
                <w:szCs w:val="20"/>
              </w:rPr>
              <w:t>, a mean value</w:t>
            </w:r>
            <w:r w:rsidR="004649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F063C">
              <w:rPr>
                <w:rFonts w:ascii="Times New Roman" w:hAnsi="Times New Roman" w:cs="Times New Roman"/>
                <w:sz w:val="20"/>
                <w:szCs w:val="20"/>
              </w:rPr>
              <w:t xml:space="preserve"> or a median.</w:t>
            </w:r>
          </w:p>
        </w:tc>
      </w:tr>
      <w:tr w:rsidR="002F2989" w14:paraId="1A2D40DA" w14:textId="77777777" w:rsidTr="002F2989">
        <w:tc>
          <w:tcPr>
            <w:tcW w:w="2381" w:type="dxa"/>
          </w:tcPr>
          <w:p w14:paraId="40E72EC0" w14:textId="77777777" w:rsidR="002F2989" w:rsidRPr="006F063C" w:rsidRDefault="002F2989" w:rsidP="00535875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63C">
              <w:rPr>
                <w:rFonts w:ascii="Times New Roman" w:hAnsi="Times New Roman" w:cs="Times New Roman"/>
                <w:sz w:val="20"/>
                <w:szCs w:val="20"/>
              </w:rPr>
              <w:t xml:space="preserve">Statistical </w:t>
            </w:r>
            <w:r w:rsidR="00535875" w:rsidRPr="006F063C">
              <w:rPr>
                <w:rFonts w:ascii="Times New Roman" w:hAnsi="Times New Roman" w:cs="Times New Roman"/>
                <w:sz w:val="20"/>
                <w:szCs w:val="20"/>
              </w:rPr>
              <w:t xml:space="preserve">characteristic </w:t>
            </w:r>
          </w:p>
        </w:tc>
        <w:tc>
          <w:tcPr>
            <w:tcW w:w="4536" w:type="dxa"/>
          </w:tcPr>
          <w:p w14:paraId="7FF94DDE" w14:textId="250145A2" w:rsidR="002F2989" w:rsidRPr="00464912" w:rsidRDefault="002F2989" w:rsidP="00442C7E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912">
              <w:rPr>
                <w:rFonts w:ascii="Times New Roman" w:hAnsi="Times New Roman" w:cs="Times New Roman"/>
                <w:sz w:val="20"/>
                <w:szCs w:val="20"/>
              </w:rPr>
              <w:t xml:space="preserve">The value received by summarising individual variable values for </w:t>
            </w:r>
            <w:r w:rsidR="00442C7E">
              <w:rPr>
                <w:rFonts w:ascii="Times New Roman" w:hAnsi="Times New Roman" w:cs="Times New Roman"/>
                <w:sz w:val="20"/>
                <w:szCs w:val="20"/>
              </w:rPr>
              <w:t>units</w:t>
            </w:r>
            <w:r w:rsidR="00442C7E" w:rsidRPr="004649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4912">
              <w:rPr>
                <w:rFonts w:ascii="Times New Roman" w:hAnsi="Times New Roman" w:cs="Times New Roman"/>
                <w:sz w:val="20"/>
                <w:szCs w:val="20"/>
              </w:rPr>
              <w:t xml:space="preserve">in a population or subpopulation using a statistical measure. Both </w:t>
            </w:r>
            <w:r w:rsidR="00012CE2">
              <w:rPr>
                <w:rFonts w:ascii="Times New Roman" w:hAnsi="Times New Roman" w:cs="Times New Roman"/>
                <w:sz w:val="20"/>
                <w:szCs w:val="20"/>
              </w:rPr>
              <w:t>units</w:t>
            </w:r>
            <w:r w:rsidR="00012CE2" w:rsidRPr="004649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4912">
              <w:rPr>
                <w:rFonts w:ascii="Times New Roman" w:hAnsi="Times New Roman" w:cs="Times New Roman"/>
                <w:sz w:val="20"/>
                <w:szCs w:val="20"/>
              </w:rPr>
              <w:t xml:space="preserve">and variables are associated with a specific time. </w:t>
            </w:r>
            <w:r w:rsidR="00012CE2">
              <w:rPr>
                <w:rFonts w:ascii="Times New Roman" w:hAnsi="Times New Roman" w:cs="Times New Roman"/>
                <w:sz w:val="20"/>
                <w:szCs w:val="20"/>
              </w:rPr>
              <w:t>Units</w:t>
            </w:r>
            <w:r w:rsidR="00012CE2" w:rsidRPr="004649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4912">
              <w:rPr>
                <w:rFonts w:ascii="Times New Roman" w:hAnsi="Times New Roman" w:cs="Times New Roman"/>
                <w:sz w:val="20"/>
                <w:szCs w:val="20"/>
              </w:rPr>
              <w:t xml:space="preserve">and variables are often, but not always, associated with the same point or </w:t>
            </w:r>
            <w:proofErr w:type="gramStart"/>
            <w:r w:rsidRPr="00464912">
              <w:rPr>
                <w:rFonts w:ascii="Times New Roman" w:hAnsi="Times New Roman" w:cs="Times New Roman"/>
                <w:sz w:val="20"/>
                <w:szCs w:val="20"/>
              </w:rPr>
              <w:t>period of time</w:t>
            </w:r>
            <w:proofErr w:type="gramEnd"/>
            <w:r w:rsidRPr="004649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F2989" w14:paraId="5642B2DC" w14:textId="77777777" w:rsidTr="002F2989">
        <w:tc>
          <w:tcPr>
            <w:tcW w:w="2381" w:type="dxa"/>
          </w:tcPr>
          <w:p w14:paraId="551DA0C5" w14:textId="77777777" w:rsidR="002F2989" w:rsidRPr="006F063C" w:rsidRDefault="002F2989" w:rsidP="003E2249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63C">
              <w:rPr>
                <w:rFonts w:ascii="Times New Roman" w:hAnsi="Times New Roman" w:cs="Times New Roman"/>
                <w:sz w:val="20"/>
                <w:szCs w:val="20"/>
              </w:rPr>
              <w:t>Estimation procedure</w:t>
            </w:r>
          </w:p>
        </w:tc>
        <w:tc>
          <w:tcPr>
            <w:tcW w:w="4536" w:type="dxa"/>
          </w:tcPr>
          <w:p w14:paraId="6CAD7A88" w14:textId="77777777" w:rsidR="002F2989" w:rsidRPr="00464912" w:rsidRDefault="002F2989" w:rsidP="00DA0A87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63C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DA0A87">
              <w:rPr>
                <w:rFonts w:ascii="Times New Roman" w:hAnsi="Times New Roman" w:cs="Times New Roman"/>
                <w:sz w:val="20"/>
                <w:szCs w:val="20"/>
              </w:rPr>
              <w:t>computational</w:t>
            </w:r>
            <w:r w:rsidR="00DA0A87" w:rsidRPr="006F06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063C">
              <w:rPr>
                <w:rFonts w:ascii="Times New Roman" w:hAnsi="Times New Roman" w:cs="Times New Roman"/>
                <w:sz w:val="20"/>
                <w:szCs w:val="20"/>
              </w:rPr>
              <w:t xml:space="preserve">algorithm used to estimate a statistical </w:t>
            </w:r>
            <w:r w:rsidR="00535875" w:rsidRPr="00464912">
              <w:rPr>
                <w:rFonts w:ascii="Times New Roman" w:hAnsi="Times New Roman" w:cs="Times New Roman"/>
                <w:sz w:val="20"/>
                <w:szCs w:val="20"/>
              </w:rPr>
              <w:t>characteristic</w:t>
            </w:r>
            <w:r w:rsidRPr="004649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F2989" w14:paraId="48ABE583" w14:textId="77777777" w:rsidTr="002F2989">
        <w:tc>
          <w:tcPr>
            <w:tcW w:w="2381" w:type="dxa"/>
          </w:tcPr>
          <w:p w14:paraId="57D47AB6" w14:textId="77777777" w:rsidR="002F2989" w:rsidRPr="006F063C" w:rsidRDefault="002F2989" w:rsidP="003E2249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63C">
              <w:rPr>
                <w:rFonts w:ascii="Times New Roman" w:hAnsi="Times New Roman" w:cs="Times New Roman"/>
                <w:sz w:val="20"/>
                <w:szCs w:val="20"/>
              </w:rPr>
              <w:t>Statistical value</w:t>
            </w:r>
          </w:p>
        </w:tc>
        <w:tc>
          <w:tcPr>
            <w:tcW w:w="4536" w:type="dxa"/>
          </w:tcPr>
          <w:p w14:paraId="0D747B53" w14:textId="77777777" w:rsidR="007E36DA" w:rsidRPr="00464912" w:rsidRDefault="002F2989" w:rsidP="00012CE2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63C">
              <w:rPr>
                <w:rFonts w:ascii="Times New Roman" w:hAnsi="Times New Roman" w:cs="Times New Roman"/>
                <w:sz w:val="20"/>
                <w:szCs w:val="20"/>
              </w:rPr>
              <w:t xml:space="preserve">The estimated value of a statistical </w:t>
            </w:r>
            <w:r w:rsidR="00012CE2">
              <w:rPr>
                <w:rFonts w:ascii="Times New Roman" w:hAnsi="Times New Roman" w:cs="Times New Roman"/>
                <w:sz w:val="20"/>
                <w:szCs w:val="20"/>
              </w:rPr>
              <w:t>characteristic</w:t>
            </w:r>
            <w:r w:rsidRPr="006F06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F2989" w14:paraId="63E813D7" w14:textId="77777777" w:rsidTr="002F2989">
        <w:tc>
          <w:tcPr>
            <w:tcW w:w="2381" w:type="dxa"/>
          </w:tcPr>
          <w:p w14:paraId="05909B93" w14:textId="77777777" w:rsidR="002F2989" w:rsidRPr="000A3416" w:rsidRDefault="00535875" w:rsidP="000A3416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A3416">
              <w:rPr>
                <w:rFonts w:ascii="Times New Roman" w:hAnsi="Times New Roman" w:cs="Times New Roman"/>
                <w:sz w:val="20"/>
                <w:szCs w:val="20"/>
              </w:rPr>
              <w:t xml:space="preserve">Characteristic </w:t>
            </w:r>
            <w:r w:rsidR="002F2989" w:rsidRPr="000A3416">
              <w:rPr>
                <w:rFonts w:ascii="Times New Roman" w:hAnsi="Times New Roman" w:cs="Times New Roman"/>
                <w:sz w:val="20"/>
                <w:szCs w:val="20"/>
              </w:rPr>
              <w:t>of interest</w:t>
            </w:r>
          </w:p>
        </w:tc>
        <w:tc>
          <w:tcPr>
            <w:tcW w:w="4536" w:type="dxa"/>
          </w:tcPr>
          <w:p w14:paraId="17AD06BC" w14:textId="77777777" w:rsidR="002F2989" w:rsidRPr="000A3416" w:rsidRDefault="002F2989" w:rsidP="000A3416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A3416">
              <w:rPr>
                <w:rFonts w:ascii="Times New Roman" w:hAnsi="Times New Roman" w:cs="Times New Roman"/>
                <w:sz w:val="20"/>
                <w:szCs w:val="20"/>
              </w:rPr>
              <w:t xml:space="preserve">The statistical </w:t>
            </w:r>
            <w:r w:rsidR="00535875" w:rsidRPr="000A3416">
              <w:rPr>
                <w:rFonts w:ascii="Times New Roman" w:hAnsi="Times New Roman" w:cs="Times New Roman"/>
                <w:sz w:val="20"/>
                <w:szCs w:val="20"/>
              </w:rPr>
              <w:t xml:space="preserve">characteristic </w:t>
            </w:r>
            <w:r w:rsidRPr="000A3416">
              <w:rPr>
                <w:rFonts w:ascii="Times New Roman" w:hAnsi="Times New Roman" w:cs="Times New Roman"/>
                <w:sz w:val="20"/>
                <w:szCs w:val="20"/>
              </w:rPr>
              <w:t xml:space="preserve">associated with a </w:t>
            </w:r>
            <w:r w:rsidR="00E15E8A" w:rsidRPr="000A3416">
              <w:rPr>
                <w:rFonts w:ascii="Times New Roman" w:hAnsi="Times New Roman" w:cs="Times New Roman"/>
                <w:sz w:val="20"/>
                <w:szCs w:val="20"/>
              </w:rPr>
              <w:t>need</w:t>
            </w:r>
            <w:r w:rsidRPr="000A341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35875" w:rsidRPr="000A3416">
              <w:rPr>
                <w:rFonts w:ascii="Times New Roman" w:hAnsi="Times New Roman" w:cs="Times New Roman"/>
                <w:sz w:val="20"/>
                <w:szCs w:val="20"/>
              </w:rPr>
              <w:t>Units</w:t>
            </w:r>
            <w:r w:rsidRPr="000A3416">
              <w:rPr>
                <w:rFonts w:ascii="Times New Roman" w:hAnsi="Times New Roman" w:cs="Times New Roman"/>
                <w:sz w:val="20"/>
                <w:szCs w:val="20"/>
              </w:rPr>
              <w:t>, populations</w:t>
            </w:r>
            <w:r w:rsidR="004B7B1E" w:rsidRPr="000A34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416">
              <w:rPr>
                <w:rFonts w:ascii="Times New Roman" w:hAnsi="Times New Roman" w:cs="Times New Roman"/>
                <w:sz w:val="20"/>
                <w:szCs w:val="20"/>
              </w:rPr>
              <w:t xml:space="preserve"> and variables included in </w:t>
            </w:r>
            <w:r w:rsidR="00535875" w:rsidRPr="000A3416">
              <w:rPr>
                <w:rFonts w:ascii="Times New Roman" w:hAnsi="Times New Roman" w:cs="Times New Roman"/>
                <w:sz w:val="20"/>
                <w:szCs w:val="20"/>
              </w:rPr>
              <w:t xml:space="preserve">characteristics </w:t>
            </w:r>
            <w:r w:rsidRPr="000A3416">
              <w:rPr>
                <w:rFonts w:ascii="Times New Roman" w:hAnsi="Times New Roman" w:cs="Times New Roman"/>
                <w:sz w:val="20"/>
                <w:szCs w:val="20"/>
              </w:rPr>
              <w:t xml:space="preserve">of interest </w:t>
            </w:r>
            <w:proofErr w:type="gramStart"/>
            <w:r w:rsidRPr="000A3416">
              <w:rPr>
                <w:rFonts w:ascii="Times New Roman" w:hAnsi="Times New Roman" w:cs="Times New Roman"/>
                <w:sz w:val="20"/>
                <w:szCs w:val="20"/>
              </w:rPr>
              <w:t>are referred</w:t>
            </w:r>
            <w:proofErr w:type="gramEnd"/>
            <w:r w:rsidRPr="000A3416">
              <w:rPr>
                <w:rFonts w:ascii="Times New Roman" w:hAnsi="Times New Roman" w:cs="Times New Roman"/>
                <w:sz w:val="20"/>
                <w:szCs w:val="20"/>
              </w:rPr>
              <w:t xml:space="preserve"> to as </w:t>
            </w:r>
            <w:r w:rsidR="00535875" w:rsidRPr="000A3416">
              <w:rPr>
                <w:rFonts w:ascii="Times New Roman" w:hAnsi="Times New Roman" w:cs="Times New Roman"/>
                <w:sz w:val="20"/>
                <w:szCs w:val="20"/>
              </w:rPr>
              <w:t xml:space="preserve">units </w:t>
            </w:r>
            <w:r w:rsidRPr="000A3416">
              <w:rPr>
                <w:rFonts w:ascii="Times New Roman" w:hAnsi="Times New Roman" w:cs="Times New Roman"/>
                <w:sz w:val="20"/>
                <w:szCs w:val="20"/>
              </w:rPr>
              <w:t>of interest, populations of interest</w:t>
            </w:r>
            <w:r w:rsidR="006F063C" w:rsidRPr="000A34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416">
              <w:rPr>
                <w:rFonts w:ascii="Times New Roman" w:hAnsi="Times New Roman" w:cs="Times New Roman"/>
                <w:sz w:val="20"/>
                <w:szCs w:val="20"/>
              </w:rPr>
              <w:t xml:space="preserve"> and variables of interest.</w:t>
            </w:r>
          </w:p>
        </w:tc>
      </w:tr>
      <w:tr w:rsidR="002F2989" w14:paraId="41CF90E4" w14:textId="77777777" w:rsidTr="002F2989">
        <w:tc>
          <w:tcPr>
            <w:tcW w:w="2381" w:type="dxa"/>
          </w:tcPr>
          <w:p w14:paraId="594E0C20" w14:textId="77777777" w:rsidR="002F2989" w:rsidRPr="006F063C" w:rsidRDefault="002F2989" w:rsidP="003E2249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63C">
              <w:rPr>
                <w:rFonts w:ascii="Times New Roman" w:hAnsi="Times New Roman" w:cs="Times New Roman"/>
                <w:sz w:val="20"/>
                <w:szCs w:val="20"/>
              </w:rPr>
              <w:t>Target characteristic</w:t>
            </w:r>
          </w:p>
        </w:tc>
        <w:tc>
          <w:tcPr>
            <w:tcW w:w="4536" w:type="dxa"/>
          </w:tcPr>
          <w:p w14:paraId="22340C7B" w14:textId="77777777" w:rsidR="002F2989" w:rsidRPr="006F063C" w:rsidRDefault="002F2989" w:rsidP="00535875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63C">
              <w:rPr>
                <w:rFonts w:ascii="Times New Roman" w:hAnsi="Times New Roman" w:cs="Times New Roman"/>
                <w:sz w:val="20"/>
                <w:szCs w:val="20"/>
              </w:rPr>
              <w:t xml:space="preserve">The statistical </w:t>
            </w:r>
            <w:r w:rsidR="00535875" w:rsidRPr="006F063C">
              <w:rPr>
                <w:rFonts w:ascii="Times New Roman" w:hAnsi="Times New Roman" w:cs="Times New Roman"/>
                <w:sz w:val="20"/>
                <w:szCs w:val="20"/>
              </w:rPr>
              <w:t xml:space="preserve">characteristic </w:t>
            </w:r>
            <w:r w:rsidRPr="00464912">
              <w:rPr>
                <w:rFonts w:ascii="Times New Roman" w:hAnsi="Times New Roman" w:cs="Times New Roman"/>
                <w:sz w:val="20"/>
                <w:szCs w:val="20"/>
              </w:rPr>
              <w:t xml:space="preserve">that the statistical agency has decided to estimate. </w:t>
            </w:r>
            <w:r w:rsidR="00535875" w:rsidRPr="00464912">
              <w:rPr>
                <w:rFonts w:ascii="Times New Roman" w:hAnsi="Times New Roman" w:cs="Times New Roman"/>
                <w:sz w:val="20"/>
                <w:szCs w:val="20"/>
              </w:rPr>
              <w:t>Units</w:t>
            </w:r>
            <w:r w:rsidRPr="00464912">
              <w:rPr>
                <w:rFonts w:ascii="Times New Roman" w:hAnsi="Times New Roman" w:cs="Times New Roman"/>
                <w:sz w:val="20"/>
                <w:szCs w:val="20"/>
              </w:rPr>
              <w:t>, populations</w:t>
            </w:r>
            <w:r w:rsidR="006F063C" w:rsidRPr="004649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4912">
              <w:rPr>
                <w:rFonts w:ascii="Times New Roman" w:hAnsi="Times New Roman" w:cs="Times New Roman"/>
                <w:sz w:val="20"/>
                <w:szCs w:val="20"/>
              </w:rPr>
              <w:t xml:space="preserve"> and variables included in target characteristics </w:t>
            </w:r>
            <w:proofErr w:type="gramStart"/>
            <w:r w:rsidRPr="00464912">
              <w:rPr>
                <w:rFonts w:ascii="Times New Roman" w:hAnsi="Times New Roman" w:cs="Times New Roman"/>
                <w:sz w:val="20"/>
                <w:szCs w:val="20"/>
              </w:rPr>
              <w:t>are referred</w:t>
            </w:r>
            <w:proofErr w:type="gramEnd"/>
            <w:r w:rsidRPr="00464912">
              <w:rPr>
                <w:rFonts w:ascii="Times New Roman" w:hAnsi="Times New Roman" w:cs="Times New Roman"/>
                <w:sz w:val="20"/>
                <w:szCs w:val="20"/>
              </w:rPr>
              <w:t xml:space="preserve"> to as target </w:t>
            </w:r>
            <w:r w:rsidR="00535875" w:rsidRPr="00464912">
              <w:rPr>
                <w:rFonts w:ascii="Times New Roman" w:hAnsi="Times New Roman" w:cs="Times New Roman"/>
                <w:sz w:val="20"/>
                <w:szCs w:val="20"/>
              </w:rPr>
              <w:t>units</w:t>
            </w:r>
            <w:r w:rsidRPr="00464912">
              <w:rPr>
                <w:rFonts w:ascii="Times New Roman" w:hAnsi="Times New Roman" w:cs="Times New Roman"/>
                <w:sz w:val="20"/>
                <w:szCs w:val="20"/>
              </w:rPr>
              <w:t>, target populations</w:t>
            </w:r>
            <w:r w:rsidR="006F063C" w:rsidRPr="004649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4912">
              <w:rPr>
                <w:rFonts w:ascii="Times New Roman" w:hAnsi="Times New Roman" w:cs="Times New Roman"/>
                <w:sz w:val="20"/>
                <w:szCs w:val="20"/>
              </w:rPr>
              <w:t xml:space="preserve"> and target variables.</w:t>
            </w:r>
          </w:p>
        </w:tc>
      </w:tr>
      <w:tr w:rsidR="002F2989" w14:paraId="5A1C0D17" w14:textId="77777777" w:rsidTr="002F2989">
        <w:tc>
          <w:tcPr>
            <w:tcW w:w="2381" w:type="dxa"/>
          </w:tcPr>
          <w:p w14:paraId="52F65C3C" w14:textId="77777777" w:rsidR="002F2989" w:rsidRPr="006F063C" w:rsidRDefault="002F2989" w:rsidP="00535875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63C">
              <w:rPr>
                <w:rFonts w:ascii="Times New Roman" w:hAnsi="Times New Roman" w:cs="Times New Roman"/>
                <w:sz w:val="20"/>
                <w:szCs w:val="20"/>
              </w:rPr>
              <w:t xml:space="preserve">Observation </w:t>
            </w:r>
            <w:r w:rsidR="00535875" w:rsidRPr="006F063C">
              <w:rPr>
                <w:rFonts w:ascii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4536" w:type="dxa"/>
          </w:tcPr>
          <w:p w14:paraId="503D48BB" w14:textId="77777777" w:rsidR="002F2989" w:rsidRPr="00464912" w:rsidRDefault="002F2989" w:rsidP="00BC7269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912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535875" w:rsidRPr="00464912">
              <w:rPr>
                <w:rFonts w:ascii="Times New Roman" w:hAnsi="Times New Roman" w:cs="Times New Roman"/>
                <w:sz w:val="20"/>
                <w:szCs w:val="20"/>
              </w:rPr>
              <w:t xml:space="preserve">unit </w:t>
            </w:r>
            <w:r w:rsidRPr="00464912">
              <w:rPr>
                <w:rFonts w:ascii="Times New Roman" w:hAnsi="Times New Roman" w:cs="Times New Roman"/>
                <w:sz w:val="20"/>
                <w:szCs w:val="20"/>
              </w:rPr>
              <w:t>about which data is collected.</w:t>
            </w:r>
          </w:p>
        </w:tc>
      </w:tr>
      <w:tr w:rsidR="002F2989" w14:paraId="192850DE" w14:textId="77777777" w:rsidTr="002F2989">
        <w:tc>
          <w:tcPr>
            <w:tcW w:w="2381" w:type="dxa"/>
          </w:tcPr>
          <w:p w14:paraId="012F1F6C" w14:textId="77777777" w:rsidR="002F2989" w:rsidRPr="006F063C" w:rsidRDefault="002F2989" w:rsidP="003E2249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63C">
              <w:rPr>
                <w:rFonts w:ascii="Times New Roman" w:hAnsi="Times New Roman" w:cs="Times New Roman"/>
                <w:sz w:val="20"/>
                <w:szCs w:val="20"/>
              </w:rPr>
              <w:t>Observation variable</w:t>
            </w:r>
          </w:p>
        </w:tc>
        <w:tc>
          <w:tcPr>
            <w:tcW w:w="4536" w:type="dxa"/>
          </w:tcPr>
          <w:p w14:paraId="07D53393" w14:textId="77777777" w:rsidR="002F2989" w:rsidRPr="00464912" w:rsidRDefault="002F2989" w:rsidP="003E2249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63C">
              <w:rPr>
                <w:rFonts w:ascii="Times New Roman" w:hAnsi="Times New Roman" w:cs="Times New Roman"/>
                <w:sz w:val="20"/>
                <w:szCs w:val="20"/>
              </w:rPr>
              <w:t>A variable for which values are collected.</w:t>
            </w:r>
          </w:p>
        </w:tc>
      </w:tr>
      <w:tr w:rsidR="002F2989" w14:paraId="52B873CD" w14:textId="77777777" w:rsidTr="002F2989">
        <w:tc>
          <w:tcPr>
            <w:tcW w:w="2381" w:type="dxa"/>
          </w:tcPr>
          <w:p w14:paraId="3AB3180C" w14:textId="77777777" w:rsidR="002F2989" w:rsidRPr="006F063C" w:rsidRDefault="002F2989" w:rsidP="003E2249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63C">
              <w:rPr>
                <w:rFonts w:ascii="Times New Roman" w:hAnsi="Times New Roman" w:cs="Times New Roman"/>
                <w:sz w:val="20"/>
                <w:szCs w:val="20"/>
              </w:rPr>
              <w:t>Data source</w:t>
            </w:r>
          </w:p>
        </w:tc>
        <w:tc>
          <w:tcPr>
            <w:tcW w:w="4536" w:type="dxa"/>
          </w:tcPr>
          <w:p w14:paraId="03AE59D2" w14:textId="77777777" w:rsidR="002F2989" w:rsidRPr="006F063C" w:rsidRDefault="002F2989" w:rsidP="003E2249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63C">
              <w:rPr>
                <w:rFonts w:ascii="Times New Roman" w:hAnsi="Times New Roman" w:cs="Times New Roman"/>
                <w:sz w:val="20"/>
                <w:szCs w:val="20"/>
              </w:rPr>
              <w:t>A source – such as an individual, a register or a database – from which variable values are collected.</w:t>
            </w:r>
          </w:p>
        </w:tc>
      </w:tr>
      <w:tr w:rsidR="002F2989" w14:paraId="4492BFE1" w14:textId="77777777" w:rsidTr="002F2989">
        <w:tc>
          <w:tcPr>
            <w:tcW w:w="2381" w:type="dxa"/>
          </w:tcPr>
          <w:p w14:paraId="093F6741" w14:textId="77777777" w:rsidR="002F2989" w:rsidRPr="006F063C" w:rsidRDefault="002F2989" w:rsidP="003E2249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63C">
              <w:rPr>
                <w:rFonts w:ascii="Times New Roman" w:hAnsi="Times New Roman" w:cs="Times New Roman"/>
                <w:sz w:val="20"/>
                <w:szCs w:val="20"/>
              </w:rPr>
              <w:t>Frame procedure</w:t>
            </w:r>
          </w:p>
        </w:tc>
        <w:tc>
          <w:tcPr>
            <w:tcW w:w="4536" w:type="dxa"/>
          </w:tcPr>
          <w:p w14:paraId="6068CBAE" w14:textId="3CD9113F" w:rsidR="002F2989" w:rsidRPr="00464912" w:rsidRDefault="002F2989" w:rsidP="003E2249">
            <w:pPr>
              <w:spacing w:before="12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63C">
              <w:rPr>
                <w:rFonts w:ascii="Times New Roman" w:hAnsi="Times New Roman" w:cs="Times New Roman"/>
                <w:sz w:val="20"/>
                <w:szCs w:val="20"/>
              </w:rPr>
              <w:t xml:space="preserve">The procedure leading to the determination of observation </w:t>
            </w:r>
            <w:r w:rsidR="00535875" w:rsidRPr="00464912">
              <w:rPr>
                <w:rFonts w:ascii="Times New Roman" w:hAnsi="Times New Roman" w:cs="Times New Roman"/>
                <w:sz w:val="20"/>
                <w:szCs w:val="20"/>
              </w:rPr>
              <w:t>units</w:t>
            </w:r>
            <w:r w:rsidRPr="00464912">
              <w:rPr>
                <w:rFonts w:ascii="Times New Roman" w:hAnsi="Times New Roman" w:cs="Times New Roman"/>
                <w:sz w:val="20"/>
                <w:szCs w:val="20"/>
              </w:rPr>
              <w:t>, data sources, frame</w:t>
            </w:r>
            <w:r w:rsidR="006F063C" w:rsidRPr="004649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4912">
              <w:rPr>
                <w:rFonts w:ascii="Times New Roman" w:hAnsi="Times New Roman" w:cs="Times New Roman"/>
                <w:sz w:val="20"/>
                <w:szCs w:val="20"/>
              </w:rPr>
              <w:t xml:space="preserve"> and means of contacting data sources.</w:t>
            </w:r>
          </w:p>
          <w:p w14:paraId="2F5AAC5A" w14:textId="77777777" w:rsidR="002F2989" w:rsidRPr="00464912" w:rsidRDefault="002F2989" w:rsidP="00535875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912">
              <w:rPr>
                <w:rFonts w:ascii="Times New Roman" w:hAnsi="Times New Roman" w:cs="Times New Roman"/>
                <w:sz w:val="20"/>
                <w:szCs w:val="20"/>
              </w:rPr>
              <w:t xml:space="preserve">Observation </w:t>
            </w:r>
            <w:r w:rsidR="00535875" w:rsidRPr="00464912">
              <w:rPr>
                <w:rFonts w:ascii="Times New Roman" w:hAnsi="Times New Roman" w:cs="Times New Roman"/>
                <w:sz w:val="20"/>
                <w:szCs w:val="20"/>
              </w:rPr>
              <w:t xml:space="preserve">units </w:t>
            </w:r>
            <w:r w:rsidRPr="00464912">
              <w:rPr>
                <w:rFonts w:ascii="Times New Roman" w:hAnsi="Times New Roman" w:cs="Times New Roman"/>
                <w:sz w:val="20"/>
                <w:szCs w:val="20"/>
              </w:rPr>
              <w:t xml:space="preserve">and data sources may coincide, but </w:t>
            </w:r>
            <w:r w:rsidR="00E15E8A" w:rsidRPr="00464912">
              <w:rPr>
                <w:rFonts w:ascii="Times New Roman" w:hAnsi="Times New Roman" w:cs="Times New Roman"/>
                <w:sz w:val="20"/>
                <w:szCs w:val="20"/>
              </w:rPr>
              <w:t>not necessarily</w:t>
            </w:r>
            <w:r w:rsidRPr="004649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4CD7E3A5" w14:textId="77777777" w:rsidR="00CB7653" w:rsidRDefault="00CB7653">
      <w:pPr>
        <w:autoSpaceDE/>
        <w:autoSpaceDN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114500AB" w14:textId="77777777" w:rsidR="00CB7653" w:rsidRDefault="00CB7653" w:rsidP="000E132A"/>
    <w:p w14:paraId="1F375DCA" w14:textId="77777777" w:rsidR="002F2989" w:rsidRPr="008E60EC" w:rsidRDefault="008C526D" w:rsidP="003E2249">
      <w:pPr>
        <w:keepNext/>
        <w:spacing w:before="240" w:after="60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Main component:</w:t>
      </w:r>
      <w:r w:rsidR="002F2989">
        <w:rPr>
          <w:rFonts w:ascii="Arial" w:hAnsi="Arial"/>
          <w:b/>
        </w:rPr>
        <w:t xml:space="preserve"> </w:t>
      </w:r>
      <w:r w:rsidR="002F2989">
        <w:rPr>
          <w:rFonts w:ascii="Arial" w:hAnsi="Arial"/>
          <w:b/>
          <w:i/>
        </w:rPr>
        <w:t>Relevance</w:t>
      </w:r>
    </w:p>
    <w:p w14:paraId="2A15D4AB" w14:textId="77777777" w:rsidR="002F2989" w:rsidRPr="005359DB" w:rsidRDefault="002F2989" w:rsidP="008C526D">
      <w:pPr>
        <w:keepNext/>
        <w:spacing w:before="120" w:after="60"/>
        <w:jc w:val="both"/>
        <w:outlineLvl w:val="0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General provisions</w:t>
      </w:r>
    </w:p>
    <w:p w14:paraId="228C6623" w14:textId="77777777" w:rsidR="002F2989" w:rsidRPr="00DE377C" w:rsidRDefault="002F2989" w:rsidP="00175C82">
      <w:pPr>
        <w:tabs>
          <w:tab w:val="left" w:pos="567"/>
        </w:tabs>
        <w:jc w:val="both"/>
        <w:rPr>
          <w:rFonts w:ascii="Times New Roman" w:hAnsi="Times New Roman"/>
          <w:color w:val="000000"/>
        </w:rPr>
      </w:pPr>
      <w:r w:rsidRPr="00264446">
        <w:rPr>
          <w:rFonts w:ascii="Times New Roman" w:hAnsi="Times New Roman"/>
          <w:b/>
        </w:rPr>
        <w:t xml:space="preserve">Section </w:t>
      </w:r>
      <w:proofErr w:type="gramStart"/>
      <w:r w:rsidRPr="00264446">
        <w:rPr>
          <w:rFonts w:ascii="Times New Roman" w:hAnsi="Times New Roman"/>
          <w:b/>
        </w:rPr>
        <w:t>5</w:t>
      </w:r>
      <w:proofErr w:type="gramEnd"/>
      <w:r w:rsidRPr="00264446">
        <w:rPr>
          <w:rFonts w:ascii="Times New Roman" w:hAnsi="Times New Roman"/>
        </w:rPr>
        <w:t xml:space="preserve"> </w:t>
      </w:r>
      <w:r w:rsidRPr="00264446">
        <w:rPr>
          <w:rFonts w:ascii="Times New Roman" w:hAnsi="Times New Roman"/>
        </w:rPr>
        <w:tab/>
        <w:t xml:space="preserve">Relevance refers to how well statistics </w:t>
      </w:r>
      <w:r w:rsidR="00507382">
        <w:rPr>
          <w:rFonts w:ascii="Times New Roman" w:hAnsi="Times New Roman"/>
        </w:rPr>
        <w:t>illuminate</w:t>
      </w:r>
      <w:r w:rsidR="00507382" w:rsidRPr="00264446">
        <w:rPr>
          <w:rFonts w:ascii="Times New Roman" w:hAnsi="Times New Roman"/>
        </w:rPr>
        <w:t xml:space="preserve"> </w:t>
      </w:r>
      <w:r w:rsidRPr="00264446">
        <w:rPr>
          <w:rFonts w:ascii="Times New Roman" w:hAnsi="Times New Roman"/>
        </w:rPr>
        <w:t xml:space="preserve">the issues that are of importance for users of the statistics. The agreement between target characteristics and </w:t>
      </w:r>
      <w:r w:rsidR="00535875" w:rsidRPr="00264446">
        <w:rPr>
          <w:rFonts w:ascii="Times New Roman" w:hAnsi="Times New Roman"/>
          <w:szCs w:val="20"/>
        </w:rPr>
        <w:t xml:space="preserve">characteristics </w:t>
      </w:r>
      <w:r w:rsidRPr="00264446">
        <w:rPr>
          <w:rFonts w:ascii="Times New Roman" w:hAnsi="Times New Roman"/>
        </w:rPr>
        <w:t xml:space="preserve">of interest is an important element in the assessment of the relevance of statistics. </w:t>
      </w:r>
      <w:r w:rsidRPr="00264446">
        <w:rPr>
          <w:rFonts w:ascii="Times New Roman" w:hAnsi="Times New Roman"/>
          <w:color w:val="000000"/>
        </w:rPr>
        <w:t xml:space="preserve">Before the statistical agency defines the target characteristics to </w:t>
      </w:r>
      <w:proofErr w:type="gramStart"/>
      <w:r w:rsidRPr="00264446">
        <w:rPr>
          <w:rFonts w:ascii="Times New Roman" w:hAnsi="Times New Roman"/>
          <w:color w:val="000000"/>
        </w:rPr>
        <w:t>be estimated</w:t>
      </w:r>
      <w:proofErr w:type="gramEnd"/>
      <w:r w:rsidRPr="00264446">
        <w:rPr>
          <w:rFonts w:ascii="Times New Roman" w:hAnsi="Times New Roman"/>
          <w:color w:val="000000"/>
        </w:rPr>
        <w:t xml:space="preserve">, the agency makes considerations regarding user </w:t>
      </w:r>
      <w:r w:rsidR="002B08E3" w:rsidRPr="00264446">
        <w:rPr>
          <w:rFonts w:ascii="Times New Roman" w:hAnsi="Times New Roman"/>
          <w:color w:val="000000"/>
        </w:rPr>
        <w:t>information needs</w:t>
      </w:r>
      <w:r w:rsidRPr="00264446">
        <w:rPr>
          <w:rFonts w:ascii="Times New Roman" w:hAnsi="Times New Roman"/>
          <w:color w:val="000000"/>
        </w:rPr>
        <w:t>, quality requirements associated with the statistics, the cost of producing the statistics</w:t>
      </w:r>
      <w:r w:rsidR="009836F1" w:rsidRPr="00264446">
        <w:rPr>
          <w:rFonts w:ascii="Times New Roman" w:hAnsi="Times New Roman"/>
          <w:color w:val="000000"/>
        </w:rPr>
        <w:t>,</w:t>
      </w:r>
      <w:r w:rsidRPr="00264446">
        <w:rPr>
          <w:rFonts w:ascii="Times New Roman" w:hAnsi="Times New Roman"/>
          <w:color w:val="000000"/>
        </w:rPr>
        <w:t xml:space="preserve"> and the response burden.</w:t>
      </w:r>
      <w:r>
        <w:rPr>
          <w:rFonts w:ascii="Times New Roman" w:hAnsi="Times New Roman"/>
          <w:color w:val="000000"/>
        </w:rPr>
        <w:t xml:space="preserve"> </w:t>
      </w:r>
    </w:p>
    <w:p w14:paraId="7F370129" w14:textId="77777777" w:rsidR="002F2989" w:rsidRPr="00DE377C" w:rsidRDefault="0024507A" w:rsidP="00175C82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br/>
        <w:t xml:space="preserve">Section 6 </w:t>
      </w:r>
      <w:r>
        <w:rPr>
          <w:rFonts w:ascii="Times New Roman" w:hAnsi="Times New Roman"/>
        </w:rPr>
        <w:tab/>
      </w:r>
      <w:r w:rsidR="00476B14">
        <w:rPr>
          <w:rFonts w:ascii="Times New Roman" w:hAnsi="Times New Roman"/>
        </w:rPr>
        <w:t>Section</w:t>
      </w:r>
      <w:r>
        <w:rPr>
          <w:rFonts w:ascii="Times New Roman" w:hAnsi="Times New Roman"/>
        </w:rPr>
        <w:t xml:space="preserve"> 3</w:t>
      </w:r>
      <w:r w:rsidR="00476B14">
        <w:rPr>
          <w:rFonts w:ascii="Times New Roman" w:hAnsi="Times New Roman"/>
        </w:rPr>
        <w:t xml:space="preserve"> </w:t>
      </w:r>
      <w:r w:rsidR="00F37266">
        <w:rPr>
          <w:rFonts w:ascii="Times New Roman" w:hAnsi="Times New Roman"/>
        </w:rPr>
        <w:t>set</w:t>
      </w:r>
      <w:r w:rsidR="0001418B">
        <w:rPr>
          <w:rFonts w:ascii="Times New Roman" w:hAnsi="Times New Roman"/>
        </w:rPr>
        <w:t>s</w:t>
      </w:r>
      <w:r w:rsidR="00F37266">
        <w:rPr>
          <w:rFonts w:ascii="Times New Roman" w:hAnsi="Times New Roman"/>
        </w:rPr>
        <w:t xml:space="preserve"> out </w:t>
      </w:r>
      <w:r w:rsidR="00476B14">
        <w:rPr>
          <w:rFonts w:ascii="Times New Roman" w:hAnsi="Times New Roman"/>
        </w:rPr>
        <w:t>that</w:t>
      </w:r>
      <w:r>
        <w:rPr>
          <w:rFonts w:ascii="Times New Roman" w:hAnsi="Times New Roman"/>
        </w:rPr>
        <w:t xml:space="preserve"> the main component </w:t>
      </w:r>
      <w:r>
        <w:rPr>
          <w:rFonts w:ascii="Times New Roman" w:hAnsi="Times New Roman"/>
          <w:i/>
        </w:rPr>
        <w:t>Relevance</w:t>
      </w:r>
      <w:r>
        <w:rPr>
          <w:rFonts w:ascii="Times New Roman" w:hAnsi="Times New Roman"/>
        </w:rPr>
        <w:t xml:space="preserve"> consists of the subcomponents </w:t>
      </w:r>
      <w:r w:rsidR="00535875">
        <w:rPr>
          <w:rFonts w:ascii="Times New Roman" w:hAnsi="Times New Roman"/>
          <w:i/>
        </w:rPr>
        <w:t xml:space="preserve">Purpose </w:t>
      </w:r>
      <w:r>
        <w:rPr>
          <w:rFonts w:ascii="Times New Roman" w:hAnsi="Times New Roman"/>
          <w:i/>
        </w:rPr>
        <w:t xml:space="preserve">and information </w:t>
      </w:r>
      <w:r w:rsidR="002B08E3">
        <w:rPr>
          <w:rFonts w:ascii="Times New Roman" w:hAnsi="Times New Roman"/>
          <w:i/>
        </w:rPr>
        <w:t>needs</w:t>
      </w:r>
      <w:r w:rsidR="002B08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and </w:t>
      </w:r>
      <w:r>
        <w:rPr>
          <w:rFonts w:ascii="Times New Roman" w:hAnsi="Times New Roman"/>
          <w:i/>
        </w:rPr>
        <w:t>Content of the statistics.</w:t>
      </w:r>
      <w:r>
        <w:rPr>
          <w:rFonts w:ascii="Times New Roman" w:hAnsi="Times New Roman"/>
        </w:rPr>
        <w:t xml:space="preserve"> </w:t>
      </w:r>
    </w:p>
    <w:p w14:paraId="7C3487CA" w14:textId="77777777" w:rsidR="002F2989" w:rsidRPr="005359DB" w:rsidRDefault="002F2989" w:rsidP="003E2249">
      <w:pPr>
        <w:keepNext/>
        <w:spacing w:before="240" w:after="60"/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The subcomponent </w:t>
      </w:r>
      <w:r w:rsidR="00535875">
        <w:rPr>
          <w:rFonts w:ascii="Times New Roman" w:hAnsi="Times New Roman"/>
          <w:b/>
          <w:i/>
          <w:szCs w:val="20"/>
        </w:rPr>
        <w:t xml:space="preserve">Purpose </w:t>
      </w:r>
      <w:r>
        <w:rPr>
          <w:rFonts w:ascii="Times New Roman" w:hAnsi="Times New Roman"/>
          <w:b/>
          <w:i/>
          <w:szCs w:val="20"/>
        </w:rPr>
        <w:t xml:space="preserve">and information </w:t>
      </w:r>
      <w:r w:rsidR="002B08E3">
        <w:rPr>
          <w:rFonts w:ascii="Times New Roman" w:hAnsi="Times New Roman"/>
          <w:b/>
          <w:i/>
          <w:szCs w:val="20"/>
        </w:rPr>
        <w:t>needs</w:t>
      </w:r>
      <w:r w:rsidR="002B08E3">
        <w:rPr>
          <w:rFonts w:ascii="Times New Roman" w:hAnsi="Times New Roman"/>
          <w:b/>
          <w:szCs w:val="20"/>
        </w:rPr>
        <w:t xml:space="preserve"> </w:t>
      </w:r>
      <w:r>
        <w:rPr>
          <w:rFonts w:ascii="Times New Roman" w:hAnsi="Times New Roman"/>
          <w:b/>
          <w:szCs w:val="20"/>
        </w:rPr>
        <w:t>and its associated sub-subcomponents</w:t>
      </w:r>
    </w:p>
    <w:p w14:paraId="064A4101" w14:textId="77777777" w:rsidR="002F2989" w:rsidRPr="0024507A" w:rsidRDefault="002F2989" w:rsidP="00D75053">
      <w:pPr>
        <w:rPr>
          <w:b/>
        </w:rPr>
      </w:pPr>
      <w:r>
        <w:rPr>
          <w:b/>
        </w:rPr>
        <w:t xml:space="preserve">Section 7 </w:t>
      </w:r>
      <w:r>
        <w:tab/>
        <w:t xml:space="preserve">The subcomponent </w:t>
      </w:r>
      <w:r w:rsidR="00535875">
        <w:rPr>
          <w:i/>
        </w:rPr>
        <w:t xml:space="preserve">Purpose </w:t>
      </w:r>
      <w:r>
        <w:rPr>
          <w:i/>
        </w:rPr>
        <w:t xml:space="preserve">and information </w:t>
      </w:r>
      <w:r w:rsidR="00012CE2">
        <w:rPr>
          <w:i/>
        </w:rPr>
        <w:t>needs</w:t>
      </w:r>
      <w:r w:rsidR="00012CE2">
        <w:t xml:space="preserve"> </w:t>
      </w:r>
      <w:r>
        <w:t xml:space="preserve">refers to the statistical </w:t>
      </w:r>
      <w:proofErr w:type="gramStart"/>
      <w:r>
        <w:t>agency’s</w:t>
      </w:r>
      <w:proofErr w:type="gramEnd"/>
      <w:r>
        <w:t xml:space="preserve"> overarching considerations for the statistics. It involves the purpose, the information </w:t>
      </w:r>
      <w:r w:rsidR="00535875">
        <w:t xml:space="preserve">needs </w:t>
      </w:r>
      <w:r>
        <w:t xml:space="preserve">that the statistics </w:t>
      </w:r>
      <w:proofErr w:type="gramStart"/>
      <w:r>
        <w:t>are intended</w:t>
      </w:r>
      <w:proofErr w:type="gramEnd"/>
      <w:r>
        <w:t xml:space="preserve"> to meet</w:t>
      </w:r>
      <w:r w:rsidR="00464912">
        <w:t>,</w:t>
      </w:r>
      <w:r>
        <w:t xml:space="preserve"> and the knowledge about the </w:t>
      </w:r>
      <w:r w:rsidR="002B08E3">
        <w:t xml:space="preserve">needs </w:t>
      </w:r>
      <w:r>
        <w:t>for statistical information.</w:t>
      </w:r>
    </w:p>
    <w:p w14:paraId="69AC7723" w14:textId="77777777" w:rsidR="002F2989" w:rsidRPr="0024507A" w:rsidRDefault="0024507A" w:rsidP="00B96930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br/>
        <w:t>Section 8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B64B3D">
        <w:rPr>
          <w:rFonts w:ascii="Times New Roman" w:hAnsi="Times New Roman"/>
        </w:rPr>
        <w:t xml:space="preserve">Section 3 </w:t>
      </w:r>
      <w:r w:rsidR="00F37266">
        <w:rPr>
          <w:rFonts w:ascii="Times New Roman" w:hAnsi="Times New Roman"/>
        </w:rPr>
        <w:t xml:space="preserve">sets out </w:t>
      </w:r>
      <w:r w:rsidR="00B64B3D">
        <w:rPr>
          <w:rFonts w:ascii="Times New Roman" w:hAnsi="Times New Roman"/>
        </w:rPr>
        <w:t>that</w:t>
      </w:r>
      <w:r>
        <w:rPr>
          <w:rFonts w:ascii="Times New Roman" w:hAnsi="Times New Roman"/>
        </w:rPr>
        <w:t xml:space="preserve"> the subcomponent </w:t>
      </w:r>
      <w:r w:rsidR="00535875">
        <w:rPr>
          <w:rFonts w:ascii="Times New Roman" w:hAnsi="Times New Roman"/>
          <w:i/>
        </w:rPr>
        <w:t xml:space="preserve">Purpose </w:t>
      </w:r>
      <w:r>
        <w:rPr>
          <w:rFonts w:ascii="Times New Roman" w:hAnsi="Times New Roman"/>
          <w:i/>
        </w:rPr>
        <w:t xml:space="preserve">and information </w:t>
      </w:r>
      <w:r w:rsidR="002B08E3">
        <w:rPr>
          <w:rFonts w:ascii="Times New Roman" w:hAnsi="Times New Roman"/>
          <w:i/>
        </w:rPr>
        <w:t>needs</w:t>
      </w:r>
      <w:r w:rsidR="002B08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consists of the sub-subcomponents </w:t>
      </w:r>
      <w:r w:rsidR="00535875">
        <w:rPr>
          <w:rFonts w:ascii="Times New Roman" w:hAnsi="Times New Roman"/>
          <w:i/>
        </w:rPr>
        <w:t xml:space="preserve">Purpose </w:t>
      </w:r>
      <w:r>
        <w:rPr>
          <w:rFonts w:ascii="Times New Roman" w:hAnsi="Times New Roman"/>
          <w:i/>
        </w:rPr>
        <w:t>of the statistics</w:t>
      </w:r>
      <w:r>
        <w:rPr>
          <w:rFonts w:ascii="Times New Roman" w:hAnsi="Times New Roman"/>
        </w:rPr>
        <w:t xml:space="preserve"> and</w:t>
      </w:r>
      <w:r w:rsidR="002B08E3">
        <w:rPr>
          <w:rFonts w:ascii="Times New Roman" w:hAnsi="Times New Roman"/>
        </w:rPr>
        <w:t xml:space="preserve"> </w:t>
      </w:r>
      <w:r w:rsidR="002B08E3" w:rsidRPr="002B08E3">
        <w:rPr>
          <w:rFonts w:ascii="Times New Roman" w:hAnsi="Times New Roman"/>
          <w:i/>
        </w:rPr>
        <w:t>User</w:t>
      </w:r>
      <w:r w:rsidR="002B08E3">
        <w:rPr>
          <w:rFonts w:ascii="Times New Roman" w:hAnsi="Times New Roman"/>
          <w:i/>
        </w:rPr>
        <w:t xml:space="preserve"> </w:t>
      </w:r>
      <w:r w:rsidR="002B08E3" w:rsidRPr="002B08E3">
        <w:rPr>
          <w:rFonts w:ascii="Times New Roman" w:hAnsi="Times New Roman"/>
          <w:i/>
        </w:rPr>
        <w:t>i</w:t>
      </w:r>
      <w:r>
        <w:rPr>
          <w:rFonts w:ascii="Times New Roman" w:hAnsi="Times New Roman"/>
          <w:i/>
        </w:rPr>
        <w:t xml:space="preserve">nformation </w:t>
      </w:r>
      <w:r w:rsidR="002B08E3">
        <w:rPr>
          <w:rFonts w:ascii="Times New Roman" w:hAnsi="Times New Roman"/>
          <w:i/>
        </w:rPr>
        <w:t>needs</w:t>
      </w:r>
      <w:r>
        <w:rPr>
          <w:rFonts w:ascii="Times New Roman" w:hAnsi="Times New Roman"/>
        </w:rPr>
        <w:t xml:space="preserve">. </w:t>
      </w:r>
    </w:p>
    <w:p w14:paraId="18636743" w14:textId="77777777" w:rsidR="002F2989" w:rsidRPr="0024507A" w:rsidRDefault="0024507A" w:rsidP="00B96930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br/>
        <w:t xml:space="preserve">Section 9 </w:t>
      </w:r>
      <w:r>
        <w:rPr>
          <w:rFonts w:ascii="Times New Roman" w:hAnsi="Times New Roman"/>
        </w:rPr>
        <w:tab/>
      </w:r>
      <w:r w:rsidR="000A3E11">
        <w:rPr>
          <w:rFonts w:ascii="Times New Roman" w:hAnsi="Times New Roman"/>
          <w:i/>
        </w:rPr>
        <w:t>Purpose</w:t>
      </w:r>
      <w:r w:rsidR="00535875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of the statistics</w:t>
      </w:r>
      <w:r>
        <w:rPr>
          <w:rFonts w:ascii="Times New Roman" w:hAnsi="Times New Roman"/>
        </w:rPr>
        <w:t xml:space="preserve"> refers to the primary objective and area of use of the </w:t>
      </w:r>
      <w:r w:rsidR="006F063C">
        <w:rPr>
          <w:rFonts w:ascii="Times New Roman" w:hAnsi="Times New Roman"/>
        </w:rPr>
        <w:t xml:space="preserve">disseminated </w:t>
      </w:r>
      <w:r>
        <w:rPr>
          <w:rFonts w:ascii="Times New Roman" w:hAnsi="Times New Roman"/>
        </w:rPr>
        <w:t>statistics.</w:t>
      </w:r>
    </w:p>
    <w:p w14:paraId="387D3E3F" w14:textId="77777777" w:rsidR="002F2989" w:rsidRPr="0024507A" w:rsidRDefault="0024507A" w:rsidP="00B96930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br/>
        <w:t>Section 10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2D7849">
        <w:rPr>
          <w:rFonts w:ascii="Times New Roman" w:hAnsi="Times New Roman"/>
          <w:i/>
        </w:rPr>
        <w:t xml:space="preserve">User </w:t>
      </w:r>
      <w:r w:rsidR="002B08E3" w:rsidRPr="005C0785">
        <w:rPr>
          <w:rFonts w:ascii="Times New Roman" w:hAnsi="Times New Roman"/>
          <w:i/>
        </w:rPr>
        <w:t>i</w:t>
      </w:r>
      <w:r w:rsidR="002D7849">
        <w:rPr>
          <w:rFonts w:ascii="Times New Roman" w:hAnsi="Times New Roman"/>
          <w:i/>
        </w:rPr>
        <w:t xml:space="preserve">nformation </w:t>
      </w:r>
      <w:r w:rsidR="002B08E3">
        <w:rPr>
          <w:rFonts w:ascii="Times New Roman" w:hAnsi="Times New Roman"/>
          <w:i/>
        </w:rPr>
        <w:t>needs</w:t>
      </w:r>
      <w:r w:rsidR="002D7849">
        <w:rPr>
          <w:rFonts w:ascii="Times New Roman" w:hAnsi="Times New Roman"/>
          <w:i/>
        </w:rPr>
        <w:t xml:space="preserve"> </w:t>
      </w:r>
      <w:r w:rsidR="002D7849">
        <w:rPr>
          <w:rFonts w:ascii="Times New Roman" w:hAnsi="Times New Roman"/>
        </w:rPr>
        <w:t xml:space="preserve">refers </w:t>
      </w:r>
      <w:r>
        <w:rPr>
          <w:rFonts w:ascii="Times New Roman" w:hAnsi="Times New Roman"/>
        </w:rPr>
        <w:t xml:space="preserve">to the statistical agency’s knowledge about the need for statistics </w:t>
      </w:r>
      <w:r w:rsidR="0001418B">
        <w:rPr>
          <w:rFonts w:ascii="Times New Roman" w:hAnsi="Times New Roman"/>
        </w:rPr>
        <w:t xml:space="preserve">as well as </w:t>
      </w:r>
      <w:r>
        <w:rPr>
          <w:rFonts w:ascii="Times New Roman" w:hAnsi="Times New Roman"/>
        </w:rPr>
        <w:t>main users and uses.</w:t>
      </w:r>
    </w:p>
    <w:p w14:paraId="37C9C69C" w14:textId="77777777" w:rsidR="002F2989" w:rsidRPr="005359DB" w:rsidRDefault="002F2989" w:rsidP="003E2249">
      <w:pPr>
        <w:keepNext/>
        <w:spacing w:before="240" w:after="60"/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The subcomponent </w:t>
      </w:r>
      <w:r>
        <w:rPr>
          <w:rFonts w:ascii="Times New Roman" w:hAnsi="Times New Roman"/>
          <w:b/>
          <w:i/>
          <w:szCs w:val="20"/>
        </w:rPr>
        <w:t>Content of the statistics</w:t>
      </w:r>
      <w:r>
        <w:rPr>
          <w:rFonts w:ascii="Times New Roman" w:hAnsi="Times New Roman"/>
          <w:b/>
          <w:szCs w:val="20"/>
        </w:rPr>
        <w:t xml:space="preserve"> with associated sub-subcomponents</w:t>
      </w:r>
    </w:p>
    <w:p w14:paraId="52D532B3" w14:textId="77777777" w:rsidR="002F2989" w:rsidRDefault="002F2989" w:rsidP="00B96930">
      <w:pPr>
        <w:tabs>
          <w:tab w:val="left" w:pos="567"/>
        </w:tabs>
        <w:jc w:val="both"/>
      </w:pPr>
      <w:r w:rsidRPr="00264446">
        <w:rPr>
          <w:b/>
        </w:rPr>
        <w:t xml:space="preserve">Section 11 </w:t>
      </w:r>
      <w:r w:rsidRPr="00264446">
        <w:tab/>
        <w:t xml:space="preserve">The subcomponent </w:t>
      </w:r>
      <w:r w:rsidRPr="00264446">
        <w:rPr>
          <w:i/>
        </w:rPr>
        <w:t>Content of the statistics</w:t>
      </w:r>
      <w:r w:rsidRPr="00264446">
        <w:t xml:space="preserve"> refers to</w:t>
      </w:r>
      <w:r w:rsidR="002B08E3" w:rsidRPr="00264446">
        <w:t xml:space="preserve"> the</w:t>
      </w:r>
      <w:r w:rsidRPr="00264446">
        <w:t xml:space="preserve"> target characteristics.</w:t>
      </w:r>
      <w:r>
        <w:t xml:space="preserve"> </w:t>
      </w:r>
    </w:p>
    <w:p w14:paraId="5806E9AC" w14:textId="79022330" w:rsidR="002F2989" w:rsidRDefault="0024507A" w:rsidP="00B96930">
      <w:pPr>
        <w:tabs>
          <w:tab w:val="left" w:pos="567"/>
        </w:tabs>
        <w:jc w:val="both"/>
      </w:pPr>
      <w:r>
        <w:rPr>
          <w:b/>
        </w:rPr>
        <w:br/>
        <w:t xml:space="preserve">Section 12 </w:t>
      </w:r>
      <w:r>
        <w:tab/>
        <w:t>Section 3</w:t>
      </w:r>
      <w:r w:rsidR="00BE7E1D">
        <w:t xml:space="preserve"> </w:t>
      </w:r>
      <w:r w:rsidR="00F37266">
        <w:t xml:space="preserve">sets out </w:t>
      </w:r>
      <w:r w:rsidR="00BE7E1D">
        <w:t>that</w:t>
      </w:r>
      <w:r>
        <w:t xml:space="preserve"> the subcomponent consists of the sub-subcomponents </w:t>
      </w:r>
      <w:r w:rsidR="00535875">
        <w:rPr>
          <w:i/>
        </w:rPr>
        <w:t xml:space="preserve">Unit </w:t>
      </w:r>
      <w:r>
        <w:rPr>
          <w:i/>
        </w:rPr>
        <w:t>and population, Variables</w:t>
      </w:r>
      <w:r>
        <w:t xml:space="preserve">, </w:t>
      </w:r>
      <w:r>
        <w:rPr>
          <w:i/>
        </w:rPr>
        <w:t>Statistical measures, Study domains</w:t>
      </w:r>
      <w:r w:rsidR="00464912">
        <w:rPr>
          <w:i/>
        </w:rPr>
        <w:t>,</w:t>
      </w:r>
      <w:r>
        <w:t xml:space="preserve"> and </w:t>
      </w:r>
      <w:r>
        <w:rPr>
          <w:i/>
        </w:rPr>
        <w:t xml:space="preserve">Reference </w:t>
      </w:r>
      <w:r w:rsidR="002B08E3">
        <w:rPr>
          <w:i/>
        </w:rPr>
        <w:t>times</w:t>
      </w:r>
      <w:r>
        <w:rPr>
          <w:i/>
        </w:rPr>
        <w:t>.</w:t>
      </w:r>
    </w:p>
    <w:p w14:paraId="1C3F53DD" w14:textId="77777777" w:rsidR="0024507A" w:rsidRDefault="0024507A" w:rsidP="003E2249">
      <w:pPr>
        <w:jc w:val="both"/>
        <w:rPr>
          <w:b/>
        </w:rPr>
      </w:pPr>
    </w:p>
    <w:p w14:paraId="4480F9BC" w14:textId="2137D081" w:rsidR="002F2989" w:rsidRPr="00AA5C95" w:rsidRDefault="002F2989" w:rsidP="00B96930">
      <w:pPr>
        <w:tabs>
          <w:tab w:val="left" w:pos="567"/>
        </w:tabs>
        <w:jc w:val="both"/>
      </w:pPr>
      <w:r>
        <w:rPr>
          <w:b/>
        </w:rPr>
        <w:t xml:space="preserve">Section 13 </w:t>
      </w:r>
      <w:r>
        <w:tab/>
      </w:r>
      <w:r w:rsidR="00535875">
        <w:rPr>
          <w:i/>
        </w:rPr>
        <w:t xml:space="preserve">Unit </w:t>
      </w:r>
      <w:r>
        <w:rPr>
          <w:i/>
        </w:rPr>
        <w:t>and population</w:t>
      </w:r>
      <w:r>
        <w:t xml:space="preserve"> </w:t>
      </w:r>
      <w:r w:rsidR="008C526D">
        <w:t>refers to</w:t>
      </w:r>
      <w:r>
        <w:t xml:space="preserve"> the target population, with its associated target </w:t>
      </w:r>
      <w:r w:rsidR="00535875">
        <w:t xml:space="preserve">units </w:t>
      </w:r>
      <w:r>
        <w:t xml:space="preserve">and </w:t>
      </w:r>
      <w:r w:rsidR="001039F7">
        <w:t>delineation</w:t>
      </w:r>
      <w:r>
        <w:t xml:space="preserve">. The sub-subcomponent also includes the relations between the target population and the populations of interest </w:t>
      </w:r>
      <w:r w:rsidR="00803942">
        <w:t xml:space="preserve">as well as </w:t>
      </w:r>
      <w:r>
        <w:t xml:space="preserve">between the target </w:t>
      </w:r>
      <w:r w:rsidR="00535875">
        <w:t xml:space="preserve">units </w:t>
      </w:r>
      <w:r>
        <w:t xml:space="preserve">and observation units. </w:t>
      </w:r>
    </w:p>
    <w:p w14:paraId="22F980D5" w14:textId="77777777" w:rsidR="002F2989" w:rsidRPr="00A85FC5" w:rsidRDefault="0024507A" w:rsidP="00B96930">
      <w:pPr>
        <w:tabs>
          <w:tab w:val="left" w:pos="567"/>
        </w:tabs>
        <w:jc w:val="both"/>
      </w:pPr>
      <w:r>
        <w:rPr>
          <w:b/>
        </w:rPr>
        <w:br/>
        <w:t xml:space="preserve">Section 14 </w:t>
      </w:r>
      <w:r>
        <w:tab/>
      </w:r>
      <w:r>
        <w:rPr>
          <w:i/>
        </w:rPr>
        <w:t>Variables</w:t>
      </w:r>
      <w:r>
        <w:t xml:space="preserve"> </w:t>
      </w:r>
      <w:r w:rsidR="008C526D">
        <w:t>refers to</w:t>
      </w:r>
      <w:r>
        <w:t xml:space="preserve"> the target variables and their relations to the variables of interest and the observation variables. </w:t>
      </w:r>
    </w:p>
    <w:p w14:paraId="58D0358F" w14:textId="77777777" w:rsidR="002F2989" w:rsidRPr="00A85FC5" w:rsidRDefault="0024507A" w:rsidP="00B96930">
      <w:pPr>
        <w:tabs>
          <w:tab w:val="left" w:pos="567"/>
        </w:tabs>
        <w:jc w:val="both"/>
      </w:pPr>
      <w:r>
        <w:rPr>
          <w:b/>
        </w:rPr>
        <w:br/>
        <w:t xml:space="preserve">Section 15 </w:t>
      </w:r>
      <w:r>
        <w:tab/>
      </w:r>
      <w:r>
        <w:rPr>
          <w:i/>
        </w:rPr>
        <w:t xml:space="preserve">Statistical measures </w:t>
      </w:r>
      <w:r w:rsidR="008C526D">
        <w:t>refers to</w:t>
      </w:r>
      <w:r>
        <w:t xml:space="preserve"> the statistical measures used in the statistical </w:t>
      </w:r>
      <w:r w:rsidRPr="00264446">
        <w:t>target characteristics</w:t>
      </w:r>
      <w:r>
        <w:t>.</w:t>
      </w:r>
    </w:p>
    <w:p w14:paraId="46A3820B" w14:textId="77777777" w:rsidR="002F2989" w:rsidRPr="008A1E87" w:rsidRDefault="0024507A" w:rsidP="00B96930">
      <w:pPr>
        <w:tabs>
          <w:tab w:val="left" w:pos="567"/>
        </w:tabs>
        <w:jc w:val="both"/>
      </w:pPr>
      <w:r>
        <w:rPr>
          <w:b/>
        </w:rPr>
        <w:br/>
        <w:t xml:space="preserve">Section 16 </w:t>
      </w:r>
      <w:r>
        <w:tab/>
      </w:r>
      <w:r>
        <w:rPr>
          <w:i/>
        </w:rPr>
        <w:t>Study domains</w:t>
      </w:r>
      <w:r>
        <w:t xml:space="preserve"> </w:t>
      </w:r>
      <w:r w:rsidR="008C526D">
        <w:t>refers to</w:t>
      </w:r>
      <w:r>
        <w:t xml:space="preserve"> the divisions or breakdowns into subpopulations used in the statistical target characteristics.</w:t>
      </w:r>
    </w:p>
    <w:p w14:paraId="09C0CAB3" w14:textId="77777777" w:rsidR="00FF2CEE" w:rsidRDefault="00FF2CEE" w:rsidP="003E2249">
      <w:pPr>
        <w:jc w:val="both"/>
        <w:rPr>
          <w:rFonts w:ascii="Times New Roman" w:hAnsi="Times New Roman"/>
          <w:b/>
        </w:rPr>
      </w:pPr>
    </w:p>
    <w:p w14:paraId="442CDB51" w14:textId="7546A73F" w:rsidR="002F2989" w:rsidRPr="00264446" w:rsidRDefault="002F2989" w:rsidP="00B96930">
      <w:pPr>
        <w:tabs>
          <w:tab w:val="left" w:pos="567"/>
        </w:tabs>
        <w:jc w:val="both"/>
        <w:rPr>
          <w:rFonts w:ascii="Times New Roman" w:hAnsi="Times New Roman"/>
        </w:rPr>
      </w:pPr>
      <w:r w:rsidRPr="005A2730">
        <w:rPr>
          <w:rFonts w:ascii="Times New Roman" w:hAnsi="Times New Roman"/>
          <w:b/>
        </w:rPr>
        <w:t xml:space="preserve">Section 17 </w:t>
      </w:r>
      <w:r w:rsidRPr="005A2730">
        <w:rPr>
          <w:rFonts w:ascii="Times New Roman" w:hAnsi="Times New Roman"/>
        </w:rPr>
        <w:tab/>
      </w:r>
      <w:r w:rsidRPr="005A2730">
        <w:rPr>
          <w:rFonts w:ascii="Times New Roman" w:hAnsi="Times New Roman"/>
          <w:i/>
        </w:rPr>
        <w:t xml:space="preserve">Reference </w:t>
      </w:r>
      <w:r w:rsidR="002B08E3" w:rsidRPr="005A2730">
        <w:rPr>
          <w:rFonts w:ascii="Times New Roman" w:hAnsi="Times New Roman"/>
          <w:i/>
        </w:rPr>
        <w:t>tim</w:t>
      </w:r>
      <w:r w:rsidR="00535875" w:rsidRPr="005A2730">
        <w:rPr>
          <w:rFonts w:ascii="Times New Roman" w:hAnsi="Times New Roman"/>
          <w:i/>
        </w:rPr>
        <w:t>es</w:t>
      </w:r>
      <w:r w:rsidR="002B08E3" w:rsidRPr="005A2730">
        <w:rPr>
          <w:rFonts w:ascii="Times New Roman" w:hAnsi="Times New Roman"/>
        </w:rPr>
        <w:t xml:space="preserve"> </w:t>
      </w:r>
      <w:r w:rsidR="008C526D" w:rsidRPr="005A2730">
        <w:rPr>
          <w:rFonts w:ascii="Times New Roman" w:hAnsi="Times New Roman"/>
        </w:rPr>
        <w:t>refers to</w:t>
      </w:r>
      <w:r w:rsidRPr="005A2730">
        <w:rPr>
          <w:rFonts w:ascii="Times New Roman" w:hAnsi="Times New Roman"/>
        </w:rPr>
        <w:t xml:space="preserve"> the points </w:t>
      </w:r>
      <w:r w:rsidR="007E36DA">
        <w:rPr>
          <w:rFonts w:ascii="Times New Roman" w:hAnsi="Times New Roman"/>
        </w:rPr>
        <w:t>in</w:t>
      </w:r>
      <w:r w:rsidR="007E36DA" w:rsidRPr="005A2730">
        <w:rPr>
          <w:rFonts w:ascii="Times New Roman" w:hAnsi="Times New Roman"/>
        </w:rPr>
        <w:t xml:space="preserve"> </w:t>
      </w:r>
      <w:r w:rsidRPr="005A2730">
        <w:rPr>
          <w:rFonts w:ascii="Times New Roman" w:hAnsi="Times New Roman"/>
        </w:rPr>
        <w:t xml:space="preserve">time or </w:t>
      </w:r>
      <w:proofErr w:type="gramStart"/>
      <w:r w:rsidRPr="005A2730">
        <w:rPr>
          <w:rFonts w:ascii="Times New Roman" w:hAnsi="Times New Roman"/>
        </w:rPr>
        <w:t>periods of time</w:t>
      </w:r>
      <w:proofErr w:type="gramEnd"/>
      <w:r w:rsidRPr="005A2730">
        <w:rPr>
          <w:rFonts w:ascii="Times New Roman" w:hAnsi="Times New Roman"/>
        </w:rPr>
        <w:t xml:space="preserve"> associated with the statistical </w:t>
      </w:r>
      <w:r w:rsidRPr="00264446">
        <w:rPr>
          <w:rFonts w:ascii="Times New Roman" w:hAnsi="Times New Roman"/>
        </w:rPr>
        <w:t>target characteristics.</w:t>
      </w:r>
    </w:p>
    <w:p w14:paraId="07E6854D" w14:textId="77777777" w:rsidR="002E6D29" w:rsidRPr="005A2730" w:rsidRDefault="002E6D29" w:rsidP="000E132A"/>
    <w:p w14:paraId="31948A67" w14:textId="77777777" w:rsidR="00B06EEA" w:rsidRDefault="00B06EEA" w:rsidP="000E132A"/>
    <w:p w14:paraId="2A8E6A6F" w14:textId="77777777" w:rsidR="002F2989" w:rsidRPr="005A2730" w:rsidRDefault="008C526D" w:rsidP="008C526D">
      <w:pPr>
        <w:keepNext/>
        <w:spacing w:before="240" w:after="60"/>
        <w:jc w:val="both"/>
        <w:outlineLvl w:val="0"/>
        <w:rPr>
          <w:rFonts w:ascii="Arial" w:hAnsi="Arial" w:cs="Arial"/>
          <w:b/>
        </w:rPr>
      </w:pPr>
      <w:r w:rsidRPr="005A2730">
        <w:rPr>
          <w:rFonts w:ascii="Arial" w:hAnsi="Arial"/>
          <w:b/>
        </w:rPr>
        <w:lastRenderedPageBreak/>
        <w:t>Main component:</w:t>
      </w:r>
      <w:r w:rsidR="002F2989" w:rsidRPr="005A2730">
        <w:rPr>
          <w:rFonts w:ascii="Arial" w:hAnsi="Arial"/>
          <w:b/>
        </w:rPr>
        <w:t xml:space="preserve"> </w:t>
      </w:r>
      <w:r w:rsidR="009836F1" w:rsidRPr="005A2730">
        <w:rPr>
          <w:rFonts w:ascii="Arial" w:hAnsi="Arial"/>
          <w:b/>
          <w:i/>
        </w:rPr>
        <w:t>Accuracy</w:t>
      </w:r>
    </w:p>
    <w:p w14:paraId="3495F612" w14:textId="77777777" w:rsidR="002F2989" w:rsidRPr="005A2730" w:rsidRDefault="002F2989" w:rsidP="008C526D">
      <w:pPr>
        <w:keepNext/>
        <w:spacing w:before="120" w:after="60"/>
        <w:jc w:val="both"/>
        <w:outlineLvl w:val="0"/>
        <w:rPr>
          <w:rFonts w:ascii="Times New Roman" w:hAnsi="Times New Roman"/>
          <w:b/>
          <w:szCs w:val="20"/>
        </w:rPr>
      </w:pPr>
      <w:r w:rsidRPr="005A2730">
        <w:rPr>
          <w:rFonts w:ascii="Times New Roman" w:hAnsi="Times New Roman"/>
          <w:b/>
          <w:szCs w:val="20"/>
        </w:rPr>
        <w:t>General provisions</w:t>
      </w:r>
    </w:p>
    <w:p w14:paraId="780DF0E5" w14:textId="1D5FB480" w:rsidR="002F2989" w:rsidRPr="0024507A" w:rsidRDefault="002F2989" w:rsidP="008C526D">
      <w:pPr>
        <w:tabs>
          <w:tab w:val="left" w:pos="567"/>
        </w:tabs>
        <w:jc w:val="both"/>
        <w:rPr>
          <w:rFonts w:ascii="Times New Roman" w:hAnsi="Times New Roman"/>
          <w:bCs/>
        </w:rPr>
      </w:pPr>
      <w:r w:rsidRPr="005A2730">
        <w:rPr>
          <w:rFonts w:ascii="Times New Roman" w:hAnsi="Times New Roman"/>
          <w:b/>
        </w:rPr>
        <w:t>Section 18</w:t>
      </w:r>
      <w:r w:rsidRPr="005A2730">
        <w:rPr>
          <w:rFonts w:ascii="Times New Roman" w:hAnsi="Times New Roman"/>
        </w:rPr>
        <w:tab/>
      </w:r>
      <w:r w:rsidR="009836F1" w:rsidRPr="005A2730">
        <w:rPr>
          <w:rFonts w:ascii="Times New Roman" w:hAnsi="Times New Roman"/>
        </w:rPr>
        <w:t xml:space="preserve">Accuracy </w:t>
      </w:r>
      <w:r w:rsidRPr="005A2730">
        <w:rPr>
          <w:rFonts w:ascii="Times New Roman" w:hAnsi="Times New Roman"/>
        </w:rPr>
        <w:t xml:space="preserve">refers to how well a statistical value estimates its </w:t>
      </w:r>
      <w:r w:rsidRPr="00264446">
        <w:rPr>
          <w:rFonts w:ascii="Times New Roman" w:hAnsi="Times New Roman"/>
        </w:rPr>
        <w:t>target characteristic</w:t>
      </w:r>
      <w:r w:rsidRPr="005A2730">
        <w:rPr>
          <w:rFonts w:ascii="Times New Roman" w:hAnsi="Times New Roman"/>
        </w:rPr>
        <w:t xml:space="preserve">, i.e. the expected deviation between the statistical value and the </w:t>
      </w:r>
      <w:r w:rsidRPr="00264446">
        <w:rPr>
          <w:rFonts w:ascii="Times New Roman" w:hAnsi="Times New Roman"/>
        </w:rPr>
        <w:t>target characteristic</w:t>
      </w:r>
      <w:r w:rsidRPr="005A2730">
        <w:rPr>
          <w:rFonts w:ascii="Times New Roman" w:hAnsi="Times New Roman"/>
        </w:rPr>
        <w:t xml:space="preserve">. </w:t>
      </w:r>
      <w:r w:rsidR="009836F1" w:rsidRPr="005A2730">
        <w:rPr>
          <w:rFonts w:ascii="Times New Roman" w:hAnsi="Times New Roman"/>
        </w:rPr>
        <w:t xml:space="preserve">Accuracy </w:t>
      </w:r>
      <w:proofErr w:type="gramStart"/>
      <w:r w:rsidRPr="005A2730">
        <w:rPr>
          <w:rFonts w:ascii="Times New Roman" w:hAnsi="Times New Roman"/>
        </w:rPr>
        <w:t>is largely determined</w:t>
      </w:r>
      <w:proofErr w:type="gramEnd"/>
      <w:r w:rsidRPr="005A2730">
        <w:rPr>
          <w:rFonts w:ascii="Times New Roman" w:hAnsi="Times New Roman"/>
        </w:rPr>
        <w:t xml:space="preserve"> by the estimation procedure.</w:t>
      </w:r>
      <w:r w:rsidR="008C526D" w:rsidRPr="00264446">
        <w:rPr>
          <w:rFonts w:ascii="Times New Roman" w:hAnsi="Times New Roman"/>
          <w:bCs/>
        </w:rPr>
        <w:t xml:space="preserve"> </w:t>
      </w:r>
      <w:r w:rsidRPr="00264446">
        <w:rPr>
          <w:rFonts w:ascii="Times New Roman" w:hAnsi="Times New Roman"/>
        </w:rPr>
        <w:t xml:space="preserve">The total deviation </w:t>
      </w:r>
      <w:proofErr w:type="gramStart"/>
      <w:r w:rsidRPr="00264446">
        <w:rPr>
          <w:rFonts w:ascii="Times New Roman" w:hAnsi="Times New Roman"/>
        </w:rPr>
        <w:t>may be regarded</w:t>
      </w:r>
      <w:proofErr w:type="gramEnd"/>
      <w:r w:rsidRPr="00264446">
        <w:rPr>
          <w:rFonts w:ascii="Times New Roman" w:hAnsi="Times New Roman"/>
        </w:rPr>
        <w:t xml:space="preserve"> as the total of all partial deviations, whether positive or negative, caused by various sources of </w:t>
      </w:r>
      <w:r w:rsidR="00572578">
        <w:rPr>
          <w:rFonts w:ascii="Times New Roman" w:hAnsi="Times New Roman"/>
        </w:rPr>
        <w:t>uncertainty</w:t>
      </w:r>
      <w:r w:rsidRPr="005A2730">
        <w:rPr>
          <w:rFonts w:ascii="Times New Roman" w:hAnsi="Times New Roman"/>
        </w:rPr>
        <w:t>. Partial deviations may interact in various ways.</w:t>
      </w:r>
      <w:r w:rsidRPr="005A2730">
        <w:rPr>
          <w:rFonts w:ascii="Times New Roman" w:hAnsi="Times New Roman"/>
          <w:color w:val="000000"/>
          <w:szCs w:val="20"/>
        </w:rPr>
        <w:t xml:space="preserve"> Statistics </w:t>
      </w:r>
      <w:proofErr w:type="gramStart"/>
      <w:r w:rsidRPr="005A2730">
        <w:rPr>
          <w:rFonts w:ascii="Times New Roman" w:hAnsi="Times New Roman"/>
          <w:color w:val="000000"/>
          <w:szCs w:val="20"/>
        </w:rPr>
        <w:t xml:space="preserve">may be </w:t>
      </w:r>
      <w:r w:rsidR="00E11B75">
        <w:rPr>
          <w:rFonts w:ascii="Times New Roman" w:hAnsi="Times New Roman"/>
          <w:color w:val="000000"/>
          <w:szCs w:val="20"/>
        </w:rPr>
        <w:t>disseminated</w:t>
      </w:r>
      <w:proofErr w:type="gramEnd"/>
      <w:r w:rsidRPr="005A2730">
        <w:rPr>
          <w:rFonts w:ascii="Times New Roman" w:hAnsi="Times New Roman"/>
          <w:color w:val="000000"/>
          <w:szCs w:val="20"/>
        </w:rPr>
        <w:t xml:space="preserve"> using preliminary statistical values, once or more, followed by final statistical values </w:t>
      </w:r>
      <w:r w:rsidR="00E11B75">
        <w:rPr>
          <w:rFonts w:ascii="Times New Roman" w:hAnsi="Times New Roman"/>
          <w:color w:val="000000"/>
          <w:szCs w:val="20"/>
        </w:rPr>
        <w:t>disseminated</w:t>
      </w:r>
      <w:r w:rsidRPr="005A2730">
        <w:rPr>
          <w:rFonts w:ascii="Times New Roman" w:hAnsi="Times New Roman"/>
          <w:color w:val="000000"/>
          <w:szCs w:val="20"/>
        </w:rPr>
        <w:t xml:space="preserve"> at a later stage. Preliminary values are generally associated with greater </w:t>
      </w:r>
      <w:r w:rsidR="00572578">
        <w:rPr>
          <w:rFonts w:ascii="Times New Roman" w:hAnsi="Times New Roman"/>
          <w:color w:val="000000"/>
          <w:szCs w:val="20"/>
        </w:rPr>
        <w:t>uncertainty</w:t>
      </w:r>
      <w:r w:rsidRPr="005A2730">
        <w:rPr>
          <w:rFonts w:ascii="Times New Roman" w:hAnsi="Times New Roman"/>
          <w:color w:val="000000"/>
          <w:szCs w:val="20"/>
        </w:rPr>
        <w:t xml:space="preserve">, which affects the total deviation from the </w:t>
      </w:r>
      <w:r w:rsidRPr="00264446">
        <w:rPr>
          <w:rFonts w:ascii="Times New Roman" w:hAnsi="Times New Roman"/>
          <w:color w:val="000000"/>
          <w:szCs w:val="20"/>
        </w:rPr>
        <w:t>target characteristics</w:t>
      </w:r>
      <w:r>
        <w:rPr>
          <w:rFonts w:ascii="Times New Roman" w:hAnsi="Times New Roman"/>
          <w:color w:val="000000"/>
          <w:szCs w:val="20"/>
        </w:rPr>
        <w:t>.</w:t>
      </w:r>
    </w:p>
    <w:p w14:paraId="49DF71A9" w14:textId="7B9C6584" w:rsidR="002F2989" w:rsidRPr="0024507A" w:rsidRDefault="0024507A" w:rsidP="00B96930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br/>
        <w:t xml:space="preserve">Section 19 </w:t>
      </w:r>
      <w:r>
        <w:rPr>
          <w:rFonts w:ascii="Times New Roman" w:hAnsi="Times New Roman"/>
        </w:rPr>
        <w:tab/>
        <w:t>Section 3</w:t>
      </w:r>
      <w:r w:rsidR="009836F1">
        <w:rPr>
          <w:rFonts w:ascii="Times New Roman" w:hAnsi="Times New Roman"/>
        </w:rPr>
        <w:t xml:space="preserve"> sets out that</w:t>
      </w:r>
      <w:r>
        <w:rPr>
          <w:rFonts w:ascii="Times New Roman" w:hAnsi="Times New Roman"/>
        </w:rPr>
        <w:t xml:space="preserve"> the main component </w:t>
      </w:r>
      <w:r w:rsidR="009836F1">
        <w:rPr>
          <w:rFonts w:ascii="Times New Roman" w:hAnsi="Times New Roman"/>
          <w:i/>
        </w:rPr>
        <w:t>Accuracy</w:t>
      </w:r>
      <w:r w:rsidR="009836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consists of the subcomponents </w:t>
      </w:r>
      <w:r>
        <w:rPr>
          <w:rFonts w:ascii="Times New Roman" w:hAnsi="Times New Roman"/>
          <w:i/>
        </w:rPr>
        <w:t xml:space="preserve">Overall </w:t>
      </w:r>
      <w:r w:rsidR="009836F1">
        <w:rPr>
          <w:rFonts w:ascii="Times New Roman" w:hAnsi="Times New Roman"/>
          <w:i/>
        </w:rPr>
        <w:t>accuracy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 xml:space="preserve">Sources of </w:t>
      </w:r>
      <w:r w:rsidR="00572578">
        <w:rPr>
          <w:rFonts w:ascii="Times New Roman" w:hAnsi="Times New Roman"/>
          <w:i/>
        </w:rPr>
        <w:t>uncertainty</w:t>
      </w:r>
      <w:r w:rsidR="006F063C">
        <w:rPr>
          <w:rFonts w:ascii="Times New Roman" w:hAnsi="Times New Roman"/>
          <w:i/>
        </w:rPr>
        <w:t>,</w:t>
      </w:r>
      <w:r w:rsidR="009836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and </w:t>
      </w:r>
      <w:r>
        <w:rPr>
          <w:rFonts w:ascii="Times New Roman" w:hAnsi="Times New Roman"/>
          <w:i/>
        </w:rPr>
        <w:t>Preliminary statistics compared with final statistics.</w:t>
      </w:r>
    </w:p>
    <w:p w14:paraId="1C182C99" w14:textId="77777777" w:rsidR="002F2989" w:rsidRPr="005359DB" w:rsidRDefault="002F2989" w:rsidP="008C526D">
      <w:pPr>
        <w:keepNext/>
        <w:spacing w:before="240" w:after="60"/>
        <w:jc w:val="both"/>
        <w:outlineLvl w:val="0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The subcomponent </w:t>
      </w:r>
      <w:r>
        <w:rPr>
          <w:rFonts w:ascii="Times New Roman" w:hAnsi="Times New Roman"/>
          <w:b/>
          <w:i/>
          <w:szCs w:val="20"/>
        </w:rPr>
        <w:t xml:space="preserve">Overall </w:t>
      </w:r>
      <w:r w:rsidR="009836F1">
        <w:rPr>
          <w:rFonts w:ascii="Times New Roman" w:hAnsi="Times New Roman"/>
          <w:b/>
          <w:i/>
          <w:szCs w:val="20"/>
        </w:rPr>
        <w:t>accuracy</w:t>
      </w:r>
    </w:p>
    <w:p w14:paraId="6673B901" w14:textId="77777777" w:rsidR="002F2989" w:rsidRDefault="002F2989" w:rsidP="00B96930">
      <w:pPr>
        <w:tabs>
          <w:tab w:val="left" w:pos="567"/>
        </w:tabs>
        <w:jc w:val="both"/>
      </w:pPr>
      <w:r>
        <w:rPr>
          <w:b/>
        </w:rPr>
        <w:t>Section 20</w:t>
      </w:r>
      <w:r>
        <w:t xml:space="preserve"> </w:t>
      </w:r>
      <w:r>
        <w:tab/>
      </w:r>
      <w:r>
        <w:rPr>
          <w:i/>
        </w:rPr>
        <w:t xml:space="preserve">Overall </w:t>
      </w:r>
      <w:r w:rsidR="009836F1">
        <w:rPr>
          <w:i/>
        </w:rPr>
        <w:t>accuracy</w:t>
      </w:r>
      <w:r w:rsidR="009836F1">
        <w:t xml:space="preserve"> </w:t>
      </w:r>
      <w:r>
        <w:t xml:space="preserve">refers to the expected deviation of the statistical value from the </w:t>
      </w:r>
      <w:r w:rsidRPr="00264446">
        <w:t>target characteristic</w:t>
      </w:r>
      <w:r>
        <w:t>.</w:t>
      </w:r>
    </w:p>
    <w:p w14:paraId="008D49E3" w14:textId="39EF830C" w:rsidR="002F2989" w:rsidRPr="005359DB" w:rsidRDefault="002F2989" w:rsidP="003E2249">
      <w:pPr>
        <w:keepNext/>
        <w:spacing w:before="240" w:after="60"/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The subcomponent </w:t>
      </w:r>
      <w:r>
        <w:rPr>
          <w:rFonts w:ascii="Times New Roman" w:hAnsi="Times New Roman"/>
          <w:b/>
          <w:i/>
          <w:szCs w:val="20"/>
        </w:rPr>
        <w:t xml:space="preserve">Sources of </w:t>
      </w:r>
      <w:r w:rsidR="00572578">
        <w:rPr>
          <w:rFonts w:ascii="Times New Roman" w:hAnsi="Times New Roman"/>
          <w:b/>
          <w:i/>
          <w:szCs w:val="20"/>
        </w:rPr>
        <w:t xml:space="preserve">uncertainty </w:t>
      </w:r>
      <w:r>
        <w:rPr>
          <w:rFonts w:ascii="Times New Roman" w:hAnsi="Times New Roman"/>
          <w:b/>
          <w:i/>
          <w:szCs w:val="20"/>
        </w:rPr>
        <w:t>with associated sub-subcomponents</w:t>
      </w:r>
    </w:p>
    <w:p w14:paraId="475839DE" w14:textId="6C199E09" w:rsidR="002F2989" w:rsidRPr="00C679AB" w:rsidRDefault="002F2989" w:rsidP="00B96930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Section 21</w:t>
      </w:r>
      <w:r w:rsidR="008C526D"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Sources of </w:t>
      </w:r>
      <w:r w:rsidR="00572578">
        <w:rPr>
          <w:rFonts w:ascii="Times New Roman" w:hAnsi="Times New Roman"/>
          <w:i/>
        </w:rPr>
        <w:t>uncertainty</w:t>
      </w:r>
      <w:r w:rsidR="005725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refers to each source of </w:t>
      </w:r>
      <w:r w:rsidR="00D75053">
        <w:rPr>
          <w:rFonts w:ascii="Times New Roman" w:hAnsi="Times New Roman"/>
        </w:rPr>
        <w:t xml:space="preserve">uncertainty </w:t>
      </w:r>
      <w:r>
        <w:rPr>
          <w:rFonts w:ascii="Times New Roman" w:hAnsi="Times New Roman"/>
        </w:rPr>
        <w:t>and its impact on the statistics.</w:t>
      </w:r>
    </w:p>
    <w:p w14:paraId="1EB0E087" w14:textId="77777777" w:rsidR="00C679AB" w:rsidRPr="00C679AB" w:rsidRDefault="00C679AB" w:rsidP="003E2249">
      <w:pPr>
        <w:jc w:val="both"/>
        <w:rPr>
          <w:rFonts w:ascii="Times New Roman" w:hAnsi="Times New Roman"/>
          <w:b/>
        </w:rPr>
      </w:pPr>
    </w:p>
    <w:p w14:paraId="02A2690C" w14:textId="77777777" w:rsidR="002F2989" w:rsidRPr="00C679AB" w:rsidRDefault="002F2989" w:rsidP="00B96930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Section 22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Section 3</w:t>
      </w:r>
      <w:r w:rsidR="009836F1">
        <w:rPr>
          <w:rFonts w:ascii="Times New Roman" w:hAnsi="Times New Roman"/>
        </w:rPr>
        <w:t xml:space="preserve"> sets out that</w:t>
      </w:r>
      <w:r>
        <w:rPr>
          <w:rFonts w:ascii="Times New Roman" w:hAnsi="Times New Roman"/>
        </w:rPr>
        <w:t xml:space="preserve"> the subcomponent consists of the sub-subcomponents </w:t>
      </w:r>
      <w:r>
        <w:rPr>
          <w:rFonts w:ascii="Times New Roman" w:hAnsi="Times New Roman"/>
          <w:i/>
        </w:rPr>
        <w:t>Sampl</w:t>
      </w:r>
      <w:r w:rsidR="009836F1">
        <w:rPr>
          <w:rFonts w:ascii="Times New Roman" w:hAnsi="Times New Roman"/>
          <w:i/>
        </w:rPr>
        <w:t>ing</w:t>
      </w:r>
      <w:r>
        <w:rPr>
          <w:rFonts w:ascii="Times New Roman" w:hAnsi="Times New Roman"/>
          <w:szCs w:val="20"/>
        </w:rPr>
        <w:t xml:space="preserve">, </w:t>
      </w:r>
      <w:r>
        <w:rPr>
          <w:rFonts w:ascii="Times New Roman" w:hAnsi="Times New Roman"/>
          <w:i/>
          <w:szCs w:val="20"/>
        </w:rPr>
        <w:t>Frame coverage</w:t>
      </w:r>
      <w:r>
        <w:rPr>
          <w:rFonts w:ascii="Times New Roman" w:hAnsi="Times New Roman"/>
          <w:szCs w:val="20"/>
        </w:rPr>
        <w:t xml:space="preserve">, </w:t>
      </w:r>
      <w:r>
        <w:rPr>
          <w:rFonts w:ascii="Times New Roman" w:hAnsi="Times New Roman"/>
          <w:i/>
          <w:szCs w:val="20"/>
        </w:rPr>
        <w:t>Measurement</w:t>
      </w:r>
      <w:r>
        <w:rPr>
          <w:rFonts w:ascii="Times New Roman" w:hAnsi="Times New Roman"/>
          <w:szCs w:val="20"/>
        </w:rPr>
        <w:t xml:space="preserve">, </w:t>
      </w:r>
      <w:r>
        <w:rPr>
          <w:rFonts w:ascii="Times New Roman" w:hAnsi="Times New Roman"/>
          <w:i/>
          <w:szCs w:val="20"/>
        </w:rPr>
        <w:t>Non-response</w:t>
      </w:r>
      <w:r>
        <w:rPr>
          <w:rFonts w:ascii="Times New Roman" w:hAnsi="Times New Roman"/>
          <w:szCs w:val="20"/>
        </w:rPr>
        <w:t xml:space="preserve">, </w:t>
      </w:r>
      <w:r w:rsidR="002B08E3">
        <w:rPr>
          <w:rFonts w:ascii="Times New Roman" w:hAnsi="Times New Roman"/>
          <w:i/>
          <w:szCs w:val="20"/>
        </w:rPr>
        <w:t>Data p</w:t>
      </w:r>
      <w:r>
        <w:rPr>
          <w:rFonts w:ascii="Times New Roman" w:hAnsi="Times New Roman"/>
          <w:i/>
          <w:szCs w:val="20"/>
        </w:rPr>
        <w:t>rocessing</w:t>
      </w:r>
      <w:r w:rsidR="00803942">
        <w:rPr>
          <w:rFonts w:ascii="Times New Roman" w:hAnsi="Times New Roman"/>
          <w:i/>
          <w:szCs w:val="20"/>
        </w:rPr>
        <w:t>,</w:t>
      </w:r>
      <w:r>
        <w:rPr>
          <w:rFonts w:ascii="Times New Roman" w:hAnsi="Times New Roman"/>
          <w:szCs w:val="20"/>
        </w:rPr>
        <w:t xml:space="preserve"> and </w:t>
      </w:r>
      <w:r>
        <w:rPr>
          <w:rFonts w:ascii="Times New Roman" w:hAnsi="Times New Roman"/>
          <w:i/>
          <w:szCs w:val="20"/>
        </w:rPr>
        <w:t>Model assumptions</w:t>
      </w:r>
      <w:r>
        <w:rPr>
          <w:rFonts w:ascii="Times New Roman" w:hAnsi="Times New Roman"/>
          <w:szCs w:val="20"/>
        </w:rPr>
        <w:t>.</w:t>
      </w:r>
    </w:p>
    <w:p w14:paraId="2BA4A835" w14:textId="77777777" w:rsidR="00C679AB" w:rsidRPr="00C679AB" w:rsidRDefault="00C679AB" w:rsidP="003E2249">
      <w:pPr>
        <w:jc w:val="both"/>
        <w:rPr>
          <w:rFonts w:ascii="Times New Roman" w:hAnsi="Times New Roman"/>
          <w:b/>
        </w:rPr>
      </w:pPr>
    </w:p>
    <w:p w14:paraId="66D5D198" w14:textId="2DD0AD44" w:rsidR="002F2989" w:rsidRPr="00C679AB" w:rsidRDefault="002F2989" w:rsidP="00B96930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Section 23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Sampl</w:t>
      </w:r>
      <w:r w:rsidR="009836F1">
        <w:rPr>
          <w:rFonts w:ascii="Times New Roman" w:hAnsi="Times New Roman"/>
          <w:i/>
        </w:rPr>
        <w:t>ing</w:t>
      </w:r>
      <w:r>
        <w:rPr>
          <w:rFonts w:ascii="Times New Roman" w:hAnsi="Times New Roman"/>
        </w:rPr>
        <w:t xml:space="preserve"> refers to the element of </w:t>
      </w:r>
      <w:r w:rsidR="00572578">
        <w:rPr>
          <w:rFonts w:ascii="Times New Roman" w:hAnsi="Times New Roman"/>
        </w:rPr>
        <w:t xml:space="preserve">uncertainty </w:t>
      </w:r>
      <w:r>
        <w:rPr>
          <w:rFonts w:ascii="Times New Roman" w:hAnsi="Times New Roman"/>
        </w:rPr>
        <w:t xml:space="preserve">caused by the fact that the statistics </w:t>
      </w:r>
      <w:proofErr w:type="gramStart"/>
      <w:r>
        <w:rPr>
          <w:rFonts w:ascii="Times New Roman" w:hAnsi="Times New Roman"/>
        </w:rPr>
        <w:t>are based</w:t>
      </w:r>
      <w:proofErr w:type="gramEnd"/>
      <w:r>
        <w:rPr>
          <w:rFonts w:ascii="Times New Roman" w:hAnsi="Times New Roman"/>
        </w:rPr>
        <w:t xml:space="preserve"> on </w:t>
      </w:r>
      <w:r w:rsidRPr="00B60096">
        <w:rPr>
          <w:rFonts w:ascii="Times New Roman" w:hAnsi="Times New Roman"/>
        </w:rPr>
        <w:t>observations</w:t>
      </w:r>
      <w:r>
        <w:rPr>
          <w:rFonts w:ascii="Times New Roman" w:hAnsi="Times New Roman"/>
        </w:rPr>
        <w:t xml:space="preserve"> of a sample of observation </w:t>
      </w:r>
      <w:r w:rsidR="005A2730">
        <w:rPr>
          <w:rFonts w:ascii="Times New Roman" w:hAnsi="Times New Roman"/>
        </w:rPr>
        <w:t>units</w:t>
      </w:r>
      <w:r>
        <w:rPr>
          <w:rFonts w:ascii="Times New Roman" w:hAnsi="Times New Roman"/>
        </w:rPr>
        <w:t>.</w:t>
      </w:r>
    </w:p>
    <w:p w14:paraId="33D6AAFB" w14:textId="77777777" w:rsidR="00C679AB" w:rsidRPr="00C679AB" w:rsidRDefault="00C679AB" w:rsidP="003E2249">
      <w:pPr>
        <w:jc w:val="both"/>
        <w:rPr>
          <w:rFonts w:ascii="Times New Roman" w:hAnsi="Times New Roman"/>
          <w:b/>
          <w:color w:val="000000"/>
          <w:szCs w:val="20"/>
        </w:rPr>
      </w:pPr>
    </w:p>
    <w:p w14:paraId="4D6A3533" w14:textId="3993D60E" w:rsidR="002F2989" w:rsidRPr="00C679AB" w:rsidRDefault="002F2989" w:rsidP="00B96930">
      <w:pPr>
        <w:tabs>
          <w:tab w:val="left" w:pos="567"/>
        </w:tabs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b/>
          <w:color w:val="000000"/>
          <w:szCs w:val="20"/>
        </w:rPr>
        <w:t>Section 24</w:t>
      </w:r>
      <w:r>
        <w:rPr>
          <w:rFonts w:ascii="Times New Roman" w:hAnsi="Times New Roman"/>
          <w:color w:val="000000"/>
          <w:szCs w:val="20"/>
        </w:rPr>
        <w:t xml:space="preserve"> </w:t>
      </w:r>
      <w:r>
        <w:rPr>
          <w:rFonts w:ascii="Times New Roman" w:hAnsi="Times New Roman"/>
          <w:color w:val="000000"/>
          <w:szCs w:val="20"/>
        </w:rPr>
        <w:tab/>
      </w:r>
      <w:r>
        <w:rPr>
          <w:rFonts w:ascii="Times New Roman" w:hAnsi="Times New Roman"/>
          <w:i/>
          <w:color w:val="000000"/>
          <w:szCs w:val="20"/>
        </w:rPr>
        <w:t>Frame coverage</w:t>
      </w:r>
      <w:r>
        <w:rPr>
          <w:rFonts w:ascii="Times New Roman" w:hAnsi="Times New Roman"/>
          <w:color w:val="000000"/>
          <w:szCs w:val="20"/>
        </w:rPr>
        <w:t xml:space="preserve"> refers to the element of </w:t>
      </w:r>
      <w:r w:rsidR="00572578">
        <w:rPr>
          <w:rFonts w:ascii="Times New Roman" w:hAnsi="Times New Roman"/>
        </w:rPr>
        <w:t xml:space="preserve">uncertainty </w:t>
      </w:r>
      <w:r>
        <w:rPr>
          <w:rFonts w:ascii="Times New Roman" w:hAnsi="Times New Roman"/>
          <w:color w:val="000000"/>
          <w:szCs w:val="20"/>
        </w:rPr>
        <w:t xml:space="preserve">caused by differences between the frame population, the </w:t>
      </w:r>
      <w:r w:rsidR="00AF2B68">
        <w:rPr>
          <w:rFonts w:ascii="Times New Roman" w:hAnsi="Times New Roman"/>
          <w:color w:val="000000"/>
          <w:szCs w:val="20"/>
        </w:rPr>
        <w:t>set</w:t>
      </w:r>
      <w:r>
        <w:rPr>
          <w:rFonts w:ascii="Times New Roman" w:hAnsi="Times New Roman"/>
          <w:color w:val="000000"/>
          <w:szCs w:val="20"/>
        </w:rPr>
        <w:t xml:space="preserve"> of </w:t>
      </w:r>
      <w:r w:rsidR="005A2730">
        <w:rPr>
          <w:rFonts w:ascii="Times New Roman" w:hAnsi="Times New Roman"/>
          <w:color w:val="000000"/>
          <w:szCs w:val="20"/>
        </w:rPr>
        <w:t xml:space="preserve">units </w:t>
      </w:r>
      <w:r>
        <w:rPr>
          <w:rFonts w:ascii="Times New Roman" w:hAnsi="Times New Roman"/>
          <w:color w:val="000000"/>
          <w:szCs w:val="20"/>
        </w:rPr>
        <w:t>identified in the frame procedure</w:t>
      </w:r>
      <w:r w:rsidR="002B08E3">
        <w:rPr>
          <w:rFonts w:ascii="Times New Roman" w:hAnsi="Times New Roman"/>
          <w:color w:val="000000"/>
          <w:szCs w:val="20"/>
        </w:rPr>
        <w:t>,</w:t>
      </w:r>
      <w:r>
        <w:rPr>
          <w:rFonts w:ascii="Times New Roman" w:hAnsi="Times New Roman"/>
          <w:color w:val="000000"/>
          <w:szCs w:val="20"/>
        </w:rPr>
        <w:t xml:space="preserve"> and the target population. </w:t>
      </w:r>
    </w:p>
    <w:p w14:paraId="7E87D372" w14:textId="7787B472" w:rsidR="002F2989" w:rsidRPr="00C679AB" w:rsidRDefault="00C679AB" w:rsidP="00B96930">
      <w:pPr>
        <w:tabs>
          <w:tab w:val="left" w:pos="567"/>
        </w:tabs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br/>
        <w:t>Section 25</w:t>
      </w:r>
      <w:r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i/>
          <w:szCs w:val="20"/>
        </w:rPr>
        <w:t>Measurement</w:t>
      </w:r>
      <w:r>
        <w:rPr>
          <w:rFonts w:ascii="Times New Roman" w:hAnsi="Times New Roman"/>
          <w:szCs w:val="20"/>
        </w:rPr>
        <w:t xml:space="preserve"> refers to the element of </w:t>
      </w:r>
      <w:r w:rsidR="00572578">
        <w:rPr>
          <w:rFonts w:ascii="Times New Roman" w:hAnsi="Times New Roman"/>
        </w:rPr>
        <w:t xml:space="preserve">uncertainty </w:t>
      </w:r>
      <w:r>
        <w:rPr>
          <w:rFonts w:ascii="Times New Roman" w:hAnsi="Times New Roman"/>
          <w:szCs w:val="20"/>
        </w:rPr>
        <w:t xml:space="preserve">caused by differences between observed variable values and true variable values. </w:t>
      </w:r>
    </w:p>
    <w:p w14:paraId="3BC7A829" w14:textId="2C225FB1" w:rsidR="002F2989" w:rsidRPr="00C679AB" w:rsidRDefault="00C679AB" w:rsidP="00B96930">
      <w:pPr>
        <w:tabs>
          <w:tab w:val="left" w:pos="567"/>
        </w:tabs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b/>
          <w:color w:val="000000"/>
          <w:szCs w:val="20"/>
        </w:rPr>
        <w:br/>
      </w:r>
      <w:r w:rsidRPr="000455C0">
        <w:rPr>
          <w:rFonts w:ascii="Times New Roman" w:hAnsi="Times New Roman"/>
          <w:b/>
          <w:color w:val="000000"/>
          <w:szCs w:val="20"/>
        </w:rPr>
        <w:t>Section 26</w:t>
      </w:r>
      <w:r w:rsidRPr="000455C0">
        <w:rPr>
          <w:rFonts w:ascii="Times New Roman" w:hAnsi="Times New Roman"/>
          <w:color w:val="000000"/>
          <w:szCs w:val="20"/>
        </w:rPr>
        <w:t xml:space="preserve"> </w:t>
      </w:r>
      <w:r w:rsidRPr="000455C0">
        <w:rPr>
          <w:rFonts w:ascii="Times New Roman" w:hAnsi="Times New Roman"/>
          <w:color w:val="000000"/>
          <w:szCs w:val="20"/>
        </w:rPr>
        <w:tab/>
      </w:r>
      <w:r w:rsidRPr="000455C0">
        <w:rPr>
          <w:rFonts w:ascii="Times New Roman" w:hAnsi="Times New Roman"/>
          <w:i/>
          <w:color w:val="000000"/>
          <w:szCs w:val="20"/>
        </w:rPr>
        <w:t>Non-response</w:t>
      </w:r>
      <w:r w:rsidRPr="000455C0">
        <w:rPr>
          <w:rFonts w:ascii="Times New Roman" w:hAnsi="Times New Roman"/>
          <w:color w:val="000000"/>
          <w:szCs w:val="20"/>
        </w:rPr>
        <w:t xml:space="preserve"> refers to the element of </w:t>
      </w:r>
      <w:r w:rsidR="00D75053">
        <w:rPr>
          <w:rFonts w:ascii="Times New Roman" w:hAnsi="Times New Roman"/>
        </w:rPr>
        <w:t xml:space="preserve">uncertainty </w:t>
      </w:r>
      <w:r w:rsidRPr="000455C0">
        <w:rPr>
          <w:rFonts w:ascii="Times New Roman" w:hAnsi="Times New Roman"/>
          <w:color w:val="000000"/>
          <w:szCs w:val="20"/>
        </w:rPr>
        <w:t xml:space="preserve">that arises when all variable values are missing for some of the planned observation </w:t>
      </w:r>
      <w:r w:rsidR="005A2730" w:rsidRPr="000455C0">
        <w:rPr>
          <w:rFonts w:ascii="Times New Roman" w:hAnsi="Times New Roman"/>
          <w:color w:val="000000"/>
          <w:szCs w:val="20"/>
        </w:rPr>
        <w:t>units</w:t>
      </w:r>
      <w:r w:rsidRPr="000455C0">
        <w:rPr>
          <w:rFonts w:ascii="Times New Roman" w:hAnsi="Times New Roman"/>
          <w:color w:val="000000"/>
          <w:szCs w:val="20"/>
        </w:rPr>
        <w:t xml:space="preserve">, referred to as </w:t>
      </w:r>
      <w:r w:rsidR="005A2730" w:rsidRPr="000455C0">
        <w:rPr>
          <w:rFonts w:ascii="Times New Roman" w:hAnsi="Times New Roman"/>
          <w:color w:val="000000"/>
          <w:szCs w:val="20"/>
        </w:rPr>
        <w:t xml:space="preserve">unit </w:t>
      </w:r>
      <w:r w:rsidRPr="000455C0">
        <w:rPr>
          <w:rFonts w:ascii="Times New Roman" w:hAnsi="Times New Roman"/>
          <w:color w:val="000000"/>
          <w:szCs w:val="20"/>
        </w:rPr>
        <w:t>non</w:t>
      </w:r>
      <w:r w:rsidR="000455C0" w:rsidRPr="000455C0">
        <w:rPr>
          <w:rFonts w:ascii="Times New Roman" w:hAnsi="Times New Roman"/>
          <w:color w:val="000000"/>
          <w:szCs w:val="20"/>
        </w:rPr>
        <w:t>-</w:t>
      </w:r>
      <w:r w:rsidRPr="000455C0">
        <w:rPr>
          <w:rFonts w:ascii="Times New Roman" w:hAnsi="Times New Roman"/>
          <w:color w:val="000000"/>
          <w:szCs w:val="20"/>
        </w:rPr>
        <w:t xml:space="preserve">response, or when individual variable values are missing for certain observation </w:t>
      </w:r>
      <w:r w:rsidR="005A2730" w:rsidRPr="000455C0">
        <w:rPr>
          <w:rFonts w:ascii="Times New Roman" w:hAnsi="Times New Roman"/>
          <w:color w:val="000000"/>
          <w:szCs w:val="20"/>
        </w:rPr>
        <w:t>units</w:t>
      </w:r>
      <w:r w:rsidRPr="000455C0">
        <w:rPr>
          <w:rFonts w:ascii="Times New Roman" w:hAnsi="Times New Roman"/>
          <w:color w:val="000000"/>
          <w:szCs w:val="20"/>
        </w:rPr>
        <w:t>, referred to as item non</w:t>
      </w:r>
      <w:r w:rsidR="000455C0" w:rsidRPr="000455C0">
        <w:rPr>
          <w:rFonts w:ascii="Times New Roman" w:hAnsi="Times New Roman"/>
          <w:color w:val="000000"/>
          <w:szCs w:val="20"/>
        </w:rPr>
        <w:t>-</w:t>
      </w:r>
      <w:r w:rsidRPr="000455C0">
        <w:rPr>
          <w:rFonts w:ascii="Times New Roman" w:hAnsi="Times New Roman"/>
          <w:color w:val="000000"/>
          <w:szCs w:val="20"/>
        </w:rPr>
        <w:t>response.</w:t>
      </w:r>
      <w:r>
        <w:rPr>
          <w:rFonts w:ascii="Times New Roman" w:hAnsi="Times New Roman"/>
          <w:color w:val="000000"/>
          <w:szCs w:val="20"/>
        </w:rPr>
        <w:t xml:space="preserve"> </w:t>
      </w:r>
    </w:p>
    <w:p w14:paraId="758B0E86" w14:textId="3DBDE0E4" w:rsidR="002F2989" w:rsidRPr="00C679AB" w:rsidRDefault="00C679AB" w:rsidP="00B96930">
      <w:pPr>
        <w:tabs>
          <w:tab w:val="left" w:pos="567"/>
        </w:tabs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br/>
        <w:t>Section 27</w:t>
      </w:r>
      <w:r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ab/>
      </w:r>
      <w:r w:rsidR="002B08E3" w:rsidRPr="008A6952">
        <w:rPr>
          <w:rFonts w:ascii="Times New Roman" w:hAnsi="Times New Roman"/>
          <w:i/>
          <w:szCs w:val="20"/>
        </w:rPr>
        <w:t>Data</w:t>
      </w:r>
      <w:r w:rsidR="00AF2B68">
        <w:rPr>
          <w:rFonts w:ascii="Times New Roman" w:hAnsi="Times New Roman"/>
          <w:i/>
          <w:szCs w:val="20"/>
        </w:rPr>
        <w:t xml:space="preserve"> </w:t>
      </w:r>
      <w:r w:rsidR="002B08E3" w:rsidRPr="008A6952">
        <w:rPr>
          <w:rFonts w:ascii="Times New Roman" w:hAnsi="Times New Roman"/>
          <w:i/>
          <w:szCs w:val="20"/>
        </w:rPr>
        <w:t>p</w:t>
      </w:r>
      <w:r>
        <w:rPr>
          <w:rFonts w:ascii="Times New Roman" w:hAnsi="Times New Roman"/>
          <w:i/>
          <w:szCs w:val="20"/>
        </w:rPr>
        <w:t>rocessing</w:t>
      </w:r>
      <w:r>
        <w:rPr>
          <w:rFonts w:ascii="Times New Roman" w:hAnsi="Times New Roman"/>
          <w:szCs w:val="20"/>
        </w:rPr>
        <w:t xml:space="preserve"> refers to the element of </w:t>
      </w:r>
      <w:r w:rsidR="00D75053">
        <w:rPr>
          <w:rFonts w:ascii="Times New Roman" w:hAnsi="Times New Roman"/>
        </w:rPr>
        <w:t xml:space="preserve">uncertainty </w:t>
      </w:r>
      <w:r>
        <w:rPr>
          <w:rFonts w:ascii="Times New Roman" w:hAnsi="Times New Roman"/>
          <w:szCs w:val="20"/>
        </w:rPr>
        <w:t xml:space="preserve">caused by data processing deficiencies. </w:t>
      </w:r>
    </w:p>
    <w:p w14:paraId="72B91E84" w14:textId="77777777" w:rsidR="00C679AB" w:rsidRPr="00C679AB" w:rsidRDefault="00C679AB" w:rsidP="003E2249">
      <w:pPr>
        <w:jc w:val="both"/>
        <w:rPr>
          <w:rFonts w:ascii="Times New Roman" w:hAnsi="Times New Roman"/>
          <w:b/>
          <w:color w:val="000000"/>
          <w:szCs w:val="20"/>
        </w:rPr>
      </w:pPr>
    </w:p>
    <w:p w14:paraId="42D4A743" w14:textId="386971A1" w:rsidR="002F2989" w:rsidRDefault="002F2989" w:rsidP="00B96930">
      <w:pPr>
        <w:tabs>
          <w:tab w:val="left" w:pos="567"/>
        </w:tabs>
        <w:jc w:val="both"/>
        <w:rPr>
          <w:color w:val="000000"/>
          <w:szCs w:val="20"/>
        </w:rPr>
      </w:pPr>
      <w:r>
        <w:rPr>
          <w:rFonts w:ascii="Times New Roman" w:hAnsi="Times New Roman"/>
          <w:b/>
          <w:color w:val="000000"/>
          <w:szCs w:val="20"/>
        </w:rPr>
        <w:t>Section 28</w:t>
      </w:r>
      <w:r>
        <w:rPr>
          <w:rFonts w:ascii="Times New Roman" w:hAnsi="Times New Roman"/>
          <w:color w:val="000000"/>
          <w:szCs w:val="20"/>
        </w:rPr>
        <w:t xml:space="preserve"> </w:t>
      </w:r>
      <w:r>
        <w:rPr>
          <w:rFonts w:ascii="Times New Roman" w:hAnsi="Times New Roman"/>
          <w:color w:val="000000"/>
          <w:szCs w:val="20"/>
        </w:rPr>
        <w:tab/>
      </w:r>
      <w:r>
        <w:rPr>
          <w:rFonts w:ascii="Times New Roman" w:hAnsi="Times New Roman"/>
          <w:i/>
          <w:color w:val="000000"/>
          <w:szCs w:val="20"/>
        </w:rPr>
        <w:t>Model assumptions</w:t>
      </w:r>
      <w:r>
        <w:rPr>
          <w:rFonts w:ascii="Times New Roman" w:hAnsi="Times New Roman"/>
          <w:color w:val="000000"/>
          <w:szCs w:val="20"/>
        </w:rPr>
        <w:t xml:space="preserve"> </w:t>
      </w:r>
      <w:r w:rsidR="008C526D">
        <w:rPr>
          <w:rFonts w:ascii="Times New Roman" w:hAnsi="Times New Roman"/>
          <w:color w:val="000000"/>
          <w:szCs w:val="20"/>
        </w:rPr>
        <w:t>refers to</w:t>
      </w:r>
      <w:r>
        <w:rPr>
          <w:rFonts w:ascii="Times New Roman" w:hAnsi="Times New Roman"/>
          <w:color w:val="000000"/>
          <w:szCs w:val="20"/>
        </w:rPr>
        <w:t xml:space="preserve"> the element of </w:t>
      </w:r>
      <w:r w:rsidR="00D75053">
        <w:rPr>
          <w:rFonts w:ascii="Times New Roman" w:hAnsi="Times New Roman"/>
        </w:rPr>
        <w:t xml:space="preserve">uncertainty </w:t>
      </w:r>
      <w:r>
        <w:rPr>
          <w:rFonts w:ascii="Times New Roman" w:hAnsi="Times New Roman"/>
          <w:color w:val="000000"/>
          <w:szCs w:val="20"/>
        </w:rPr>
        <w:t>caused when assumptions in the models</w:t>
      </w:r>
      <w:r>
        <w:rPr>
          <w:rFonts w:ascii="Times New Roman" w:hAnsi="Times New Roman"/>
          <w:szCs w:val="20"/>
        </w:rPr>
        <w:t xml:space="preserve"> on which the statistics are wholly or partially based have not been fully met.</w:t>
      </w:r>
      <w:r>
        <w:rPr>
          <w:color w:val="000000"/>
          <w:szCs w:val="20"/>
        </w:rPr>
        <w:t xml:space="preserve"> </w:t>
      </w:r>
    </w:p>
    <w:p w14:paraId="7321922C" w14:textId="77777777" w:rsidR="002F2989" w:rsidRPr="005359DB" w:rsidRDefault="002F2989" w:rsidP="008C526D">
      <w:pPr>
        <w:keepNext/>
        <w:spacing w:before="240" w:after="60"/>
        <w:jc w:val="both"/>
        <w:outlineLvl w:val="0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The subcomponent </w:t>
      </w:r>
      <w:r>
        <w:rPr>
          <w:rFonts w:ascii="Times New Roman" w:hAnsi="Times New Roman"/>
          <w:b/>
          <w:i/>
          <w:szCs w:val="20"/>
        </w:rPr>
        <w:t>Preliminary statistics compared with final statistics</w:t>
      </w:r>
    </w:p>
    <w:p w14:paraId="69F1A435" w14:textId="77777777" w:rsidR="002F2989" w:rsidRDefault="002F2989" w:rsidP="00B96930">
      <w:pPr>
        <w:tabs>
          <w:tab w:val="left" w:pos="567"/>
        </w:tabs>
        <w:jc w:val="both"/>
      </w:pPr>
      <w:r>
        <w:rPr>
          <w:b/>
        </w:rPr>
        <w:t xml:space="preserve">Section 29 </w:t>
      </w:r>
      <w:r>
        <w:rPr>
          <w:b/>
        </w:rPr>
        <w:tab/>
      </w:r>
      <w:r>
        <w:rPr>
          <w:i/>
        </w:rPr>
        <w:t>Preliminary statistics compared with final statistics</w:t>
      </w:r>
      <w:r>
        <w:t xml:space="preserve"> </w:t>
      </w:r>
      <w:r w:rsidR="008C526D">
        <w:t>refers to</w:t>
      </w:r>
      <w:r>
        <w:t xml:space="preserve"> information on the size and direction of </w:t>
      </w:r>
      <w:r w:rsidR="006F063C">
        <w:t xml:space="preserve">the </w:t>
      </w:r>
      <w:r>
        <w:t>revisions made to the preliminary statistics before they become final.</w:t>
      </w:r>
    </w:p>
    <w:p w14:paraId="763579C4" w14:textId="77777777" w:rsidR="00E54271" w:rsidRDefault="00E54271" w:rsidP="00B96930">
      <w:pPr>
        <w:tabs>
          <w:tab w:val="left" w:pos="567"/>
        </w:tabs>
        <w:jc w:val="both"/>
      </w:pPr>
    </w:p>
    <w:p w14:paraId="7C8D3F59" w14:textId="77777777" w:rsidR="00E54271" w:rsidRDefault="00E54271" w:rsidP="00B96930">
      <w:pPr>
        <w:tabs>
          <w:tab w:val="left" w:pos="567"/>
        </w:tabs>
        <w:jc w:val="both"/>
      </w:pPr>
    </w:p>
    <w:p w14:paraId="51C42FF1" w14:textId="77777777" w:rsidR="00CB7653" w:rsidRDefault="00CB7653" w:rsidP="00B96930">
      <w:pPr>
        <w:tabs>
          <w:tab w:val="left" w:pos="567"/>
        </w:tabs>
        <w:jc w:val="both"/>
      </w:pPr>
    </w:p>
    <w:p w14:paraId="6E701F11" w14:textId="77777777" w:rsidR="002F2989" w:rsidRPr="008E60EC" w:rsidRDefault="008C526D" w:rsidP="008C526D">
      <w:pPr>
        <w:keepNext/>
        <w:spacing w:before="240" w:after="60"/>
        <w:jc w:val="both"/>
        <w:outlineLvl w:val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Main component:</w:t>
      </w:r>
      <w:r w:rsidR="002F2989">
        <w:rPr>
          <w:rFonts w:ascii="Arial" w:hAnsi="Arial"/>
          <w:b/>
        </w:rPr>
        <w:t xml:space="preserve"> </w:t>
      </w:r>
      <w:r w:rsidR="002F2989">
        <w:rPr>
          <w:rFonts w:ascii="Arial" w:hAnsi="Arial"/>
          <w:b/>
          <w:i/>
        </w:rPr>
        <w:t>Timeliness and punctuality</w:t>
      </w:r>
    </w:p>
    <w:p w14:paraId="5E64CC4E" w14:textId="77777777" w:rsidR="002F2989" w:rsidRPr="00765EEC" w:rsidRDefault="002F2989" w:rsidP="008C526D">
      <w:pPr>
        <w:spacing w:before="120" w:after="6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General provisions</w:t>
      </w:r>
    </w:p>
    <w:p w14:paraId="5533C742" w14:textId="77777777" w:rsidR="002F2989" w:rsidRDefault="002F2989" w:rsidP="00B96930">
      <w:pPr>
        <w:tabs>
          <w:tab w:val="left" w:pos="567"/>
        </w:tabs>
        <w:jc w:val="both"/>
      </w:pPr>
      <w:r>
        <w:rPr>
          <w:b/>
        </w:rPr>
        <w:t xml:space="preserve">Section 30 </w:t>
      </w:r>
      <w:r>
        <w:rPr>
          <w:b/>
        </w:rPr>
        <w:tab/>
      </w:r>
      <w:r w:rsidRPr="00B60096">
        <w:t>Timeliness and punctuality</w:t>
      </w:r>
      <w:r w:rsidRPr="008C526D">
        <w:t xml:space="preserve"> </w:t>
      </w:r>
      <w:r w:rsidR="008C526D" w:rsidRPr="008C526D">
        <w:t>refers</w:t>
      </w:r>
      <w:r w:rsidR="008C526D">
        <w:t xml:space="preserve"> to</w:t>
      </w:r>
      <w:r>
        <w:t xml:space="preserve"> the time lag and frequency required of recurring statistics for the latest available statistics to </w:t>
      </w:r>
      <w:proofErr w:type="gramStart"/>
      <w:r>
        <w:t>be regarded</w:t>
      </w:r>
      <w:proofErr w:type="gramEnd"/>
      <w:r>
        <w:t xml:space="preserve"> as current. </w:t>
      </w:r>
    </w:p>
    <w:p w14:paraId="3E700BF7" w14:textId="77777777" w:rsidR="002F2989" w:rsidRDefault="00C679AB" w:rsidP="00B96930">
      <w:pPr>
        <w:tabs>
          <w:tab w:val="left" w:pos="567"/>
        </w:tabs>
        <w:jc w:val="both"/>
        <w:rPr>
          <w:i/>
        </w:rPr>
      </w:pPr>
      <w:r>
        <w:rPr>
          <w:b/>
        </w:rPr>
        <w:br/>
      </w:r>
      <w:r>
        <w:rPr>
          <w:rFonts w:ascii="Times New Roman" w:hAnsi="Times New Roman"/>
          <w:b/>
        </w:rPr>
        <w:t>Section 31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According to Section 3, the main component </w:t>
      </w:r>
      <w:r>
        <w:rPr>
          <w:rFonts w:ascii="Times New Roman" w:hAnsi="Times New Roman"/>
          <w:i/>
        </w:rPr>
        <w:t>Timeliness and punctuality</w:t>
      </w:r>
      <w:r>
        <w:rPr>
          <w:rFonts w:ascii="Times New Roman" w:hAnsi="Times New Roman"/>
        </w:rPr>
        <w:t xml:space="preserve"> consists of the subcomponents </w:t>
      </w:r>
      <w:r>
        <w:rPr>
          <w:rFonts w:ascii="Times New Roman" w:hAnsi="Times New Roman"/>
          <w:i/>
        </w:rPr>
        <w:t>Production time, Frequency</w:t>
      </w:r>
      <w:r w:rsidR="00803942">
        <w:rPr>
          <w:rFonts w:ascii="Times New Roman" w:hAnsi="Times New Roman"/>
          <w:i/>
        </w:rPr>
        <w:t>,</w:t>
      </w:r>
      <w:r>
        <w:rPr>
          <w:rFonts w:ascii="Times New Roman" w:hAnsi="Times New Roman"/>
        </w:rPr>
        <w:t xml:space="preserve"> and </w:t>
      </w:r>
      <w:r>
        <w:rPr>
          <w:rFonts w:ascii="Times New Roman" w:hAnsi="Times New Roman"/>
          <w:i/>
        </w:rPr>
        <w:t>Punctuality</w:t>
      </w:r>
      <w:r>
        <w:rPr>
          <w:rFonts w:ascii="Times New Roman" w:hAnsi="Times New Roman"/>
        </w:rPr>
        <w:t>.</w:t>
      </w:r>
    </w:p>
    <w:p w14:paraId="6B87C62A" w14:textId="77777777" w:rsidR="002F2989" w:rsidRPr="005F7909" w:rsidRDefault="002F2989" w:rsidP="008C526D">
      <w:pPr>
        <w:spacing w:before="240" w:after="60"/>
        <w:outlineLvl w:val="0"/>
        <w:rPr>
          <w:b/>
        </w:rPr>
      </w:pPr>
      <w:r>
        <w:rPr>
          <w:b/>
        </w:rPr>
        <w:t xml:space="preserve">The subcomponent </w:t>
      </w:r>
      <w:r>
        <w:rPr>
          <w:b/>
          <w:i/>
        </w:rPr>
        <w:t>Production time</w:t>
      </w:r>
    </w:p>
    <w:p w14:paraId="52CA2561" w14:textId="77777777" w:rsidR="002F2989" w:rsidRDefault="002F2989" w:rsidP="00B96930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Section 32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The </w:t>
      </w:r>
      <w:r>
        <w:rPr>
          <w:rFonts w:ascii="Times New Roman" w:hAnsi="Times New Roman"/>
          <w:i/>
        </w:rPr>
        <w:t>Production time</w:t>
      </w:r>
      <w:r>
        <w:rPr>
          <w:rFonts w:ascii="Times New Roman" w:hAnsi="Times New Roman"/>
        </w:rPr>
        <w:t xml:space="preserve"> of statistics refers to the time lag between the end of the reference </w:t>
      </w:r>
      <w:r w:rsidR="005A2730">
        <w:rPr>
          <w:rFonts w:ascii="Times New Roman" w:hAnsi="Times New Roman"/>
        </w:rPr>
        <w:t xml:space="preserve">time </w:t>
      </w:r>
      <w:r>
        <w:rPr>
          <w:rFonts w:ascii="Times New Roman" w:hAnsi="Times New Roman"/>
        </w:rPr>
        <w:t xml:space="preserve">and the </w:t>
      </w:r>
      <w:r w:rsidR="00E513EA">
        <w:rPr>
          <w:rFonts w:ascii="Times New Roman" w:hAnsi="Times New Roman"/>
        </w:rPr>
        <w:t xml:space="preserve">point in </w:t>
      </w:r>
      <w:r>
        <w:rPr>
          <w:rFonts w:ascii="Times New Roman" w:hAnsi="Times New Roman"/>
        </w:rPr>
        <w:t xml:space="preserve">time when the statistics </w:t>
      </w:r>
      <w:proofErr w:type="gramStart"/>
      <w:r>
        <w:rPr>
          <w:rFonts w:ascii="Times New Roman" w:hAnsi="Times New Roman"/>
        </w:rPr>
        <w:t xml:space="preserve">are </w:t>
      </w:r>
      <w:r w:rsidR="00E11B75">
        <w:rPr>
          <w:rFonts w:ascii="Times New Roman" w:hAnsi="Times New Roman"/>
        </w:rPr>
        <w:t>disseminated</w:t>
      </w:r>
      <w:proofErr w:type="gramEnd"/>
      <w:r>
        <w:rPr>
          <w:rFonts w:ascii="Times New Roman" w:hAnsi="Times New Roman"/>
        </w:rPr>
        <w:t xml:space="preserve">. </w:t>
      </w:r>
    </w:p>
    <w:p w14:paraId="3008D846" w14:textId="77777777" w:rsidR="002F2989" w:rsidRPr="005F7909" w:rsidRDefault="002F2989" w:rsidP="008C526D">
      <w:pPr>
        <w:spacing w:before="240" w:after="60"/>
        <w:outlineLvl w:val="0"/>
        <w:rPr>
          <w:b/>
        </w:rPr>
      </w:pPr>
      <w:r>
        <w:rPr>
          <w:b/>
        </w:rPr>
        <w:t xml:space="preserve">The subcomponent </w:t>
      </w:r>
      <w:r>
        <w:rPr>
          <w:b/>
          <w:i/>
        </w:rPr>
        <w:t>Frequency</w:t>
      </w:r>
    </w:p>
    <w:p w14:paraId="5E5DCDB2" w14:textId="77777777" w:rsidR="002F2989" w:rsidRDefault="002F2989" w:rsidP="00B96930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Section 33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The </w:t>
      </w:r>
      <w:r w:rsidR="000455C0" w:rsidRPr="000455C0">
        <w:rPr>
          <w:rFonts w:ascii="Times New Roman" w:hAnsi="Times New Roman"/>
          <w:i/>
        </w:rPr>
        <w:t>F</w:t>
      </w:r>
      <w:r w:rsidRPr="008C526D">
        <w:rPr>
          <w:rFonts w:ascii="Times New Roman" w:hAnsi="Times New Roman"/>
          <w:i/>
        </w:rPr>
        <w:t>requency</w:t>
      </w:r>
      <w:r>
        <w:rPr>
          <w:rFonts w:ascii="Times New Roman" w:hAnsi="Times New Roman"/>
        </w:rPr>
        <w:t xml:space="preserve"> of recurring statistics refers to the periodicity of the reference </w:t>
      </w:r>
      <w:r w:rsidR="005A2730">
        <w:rPr>
          <w:rFonts w:ascii="Times New Roman" w:hAnsi="Times New Roman"/>
        </w:rPr>
        <w:t xml:space="preserve">time </w:t>
      </w:r>
      <w:r>
        <w:rPr>
          <w:rFonts w:ascii="Times New Roman" w:hAnsi="Times New Roman"/>
        </w:rPr>
        <w:t>of the statistics, the survey’s data collection</w:t>
      </w:r>
      <w:r w:rsidR="0080394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and the </w:t>
      </w:r>
      <w:r w:rsidR="00E11B75">
        <w:rPr>
          <w:rFonts w:ascii="Times New Roman" w:hAnsi="Times New Roman"/>
        </w:rPr>
        <w:t>dissemination</w:t>
      </w:r>
      <w:r w:rsidR="005C07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of the statistics. For recurring surveys, the time lag </w:t>
      </w:r>
      <w:r w:rsidR="008A1000">
        <w:rPr>
          <w:rFonts w:ascii="Times New Roman" w:hAnsi="Times New Roman"/>
        </w:rPr>
        <w:t>from</w:t>
      </w:r>
      <w:r>
        <w:rPr>
          <w:rFonts w:ascii="Times New Roman" w:hAnsi="Times New Roman"/>
        </w:rPr>
        <w:t xml:space="preserve"> the time of use to the last available reference time </w:t>
      </w:r>
      <w:proofErr w:type="gramStart"/>
      <w:r>
        <w:rPr>
          <w:rFonts w:ascii="Times New Roman" w:hAnsi="Times New Roman"/>
        </w:rPr>
        <w:t>is not only affected</w:t>
      </w:r>
      <w:proofErr w:type="gramEnd"/>
      <w:r>
        <w:rPr>
          <w:rFonts w:ascii="Times New Roman" w:hAnsi="Times New Roman"/>
        </w:rPr>
        <w:t xml:space="preserve"> by the production time but also by these periodicities.</w:t>
      </w:r>
    </w:p>
    <w:p w14:paraId="4FA8FE74" w14:textId="77777777" w:rsidR="002F2989" w:rsidRPr="005F7909" w:rsidRDefault="002F2989" w:rsidP="008C526D">
      <w:pPr>
        <w:spacing w:before="240" w:after="60"/>
        <w:outlineLvl w:val="0"/>
        <w:rPr>
          <w:b/>
        </w:rPr>
      </w:pPr>
      <w:r>
        <w:rPr>
          <w:b/>
        </w:rPr>
        <w:t xml:space="preserve">The subcomponent </w:t>
      </w:r>
      <w:r>
        <w:rPr>
          <w:b/>
          <w:i/>
        </w:rPr>
        <w:t>Punctuality</w:t>
      </w:r>
    </w:p>
    <w:p w14:paraId="21368B59" w14:textId="77777777" w:rsidR="002F2989" w:rsidRPr="00C679AB" w:rsidRDefault="002F2989" w:rsidP="00B96930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Section 34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i/>
        </w:rPr>
        <w:t>Punctuality</w:t>
      </w:r>
      <w:r>
        <w:rPr>
          <w:rFonts w:ascii="Times New Roman" w:hAnsi="Times New Roman"/>
        </w:rPr>
        <w:t xml:space="preserve"> refers to how well the actual </w:t>
      </w:r>
      <w:r w:rsidR="00420F46">
        <w:rPr>
          <w:rFonts w:ascii="Times New Roman" w:hAnsi="Times New Roman"/>
        </w:rPr>
        <w:t xml:space="preserve">point in </w:t>
      </w:r>
      <w:r>
        <w:rPr>
          <w:rFonts w:ascii="Times New Roman" w:hAnsi="Times New Roman"/>
        </w:rPr>
        <w:t xml:space="preserve">time when statistics </w:t>
      </w:r>
      <w:proofErr w:type="gramStart"/>
      <w:r>
        <w:rPr>
          <w:rFonts w:ascii="Times New Roman" w:hAnsi="Times New Roman"/>
        </w:rPr>
        <w:t>are made</w:t>
      </w:r>
      <w:proofErr w:type="gramEnd"/>
      <w:r>
        <w:rPr>
          <w:rFonts w:ascii="Times New Roman" w:hAnsi="Times New Roman"/>
        </w:rPr>
        <w:t xml:space="preserve"> </w:t>
      </w:r>
      <w:r w:rsidR="00420F46">
        <w:rPr>
          <w:rFonts w:ascii="Times New Roman" w:hAnsi="Times New Roman"/>
        </w:rPr>
        <w:t xml:space="preserve">accessible </w:t>
      </w:r>
      <w:r>
        <w:rPr>
          <w:rFonts w:ascii="Times New Roman" w:hAnsi="Times New Roman"/>
        </w:rPr>
        <w:t>correspond</w:t>
      </w:r>
      <w:r w:rsidR="00420F46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to the </w:t>
      </w:r>
      <w:r w:rsidR="006F063C">
        <w:rPr>
          <w:rFonts w:ascii="Times New Roman" w:hAnsi="Times New Roman"/>
        </w:rPr>
        <w:t>pre-announced</w:t>
      </w:r>
      <w:r w:rsidR="001D5423">
        <w:rPr>
          <w:rFonts w:ascii="Times New Roman" w:hAnsi="Times New Roman"/>
        </w:rPr>
        <w:t xml:space="preserve"> point in </w:t>
      </w:r>
      <w:r>
        <w:rPr>
          <w:rFonts w:ascii="Times New Roman" w:hAnsi="Times New Roman"/>
        </w:rPr>
        <w:t>time.</w:t>
      </w:r>
    </w:p>
    <w:p w14:paraId="448C9BB1" w14:textId="77777777" w:rsidR="002F2989" w:rsidRPr="008E60EC" w:rsidRDefault="008C526D" w:rsidP="008C526D">
      <w:pPr>
        <w:keepNext/>
        <w:spacing w:before="240" w:after="60"/>
        <w:jc w:val="both"/>
        <w:outlineLvl w:val="0"/>
        <w:rPr>
          <w:rFonts w:ascii="Arial" w:hAnsi="Arial" w:cs="Arial"/>
          <w:b/>
        </w:rPr>
      </w:pPr>
      <w:r>
        <w:rPr>
          <w:rFonts w:ascii="Arial" w:hAnsi="Arial"/>
          <w:b/>
        </w:rPr>
        <w:t>Main component:</w:t>
      </w:r>
      <w:r w:rsidR="002F2989">
        <w:rPr>
          <w:rFonts w:ascii="Arial" w:hAnsi="Arial"/>
          <w:b/>
        </w:rPr>
        <w:t xml:space="preserve"> </w:t>
      </w:r>
      <w:r w:rsidR="009836F1">
        <w:rPr>
          <w:rFonts w:ascii="Arial" w:hAnsi="Arial"/>
          <w:b/>
          <w:i/>
        </w:rPr>
        <w:t xml:space="preserve">Accessibility </w:t>
      </w:r>
      <w:r w:rsidR="002F2989">
        <w:rPr>
          <w:rFonts w:ascii="Arial" w:hAnsi="Arial"/>
          <w:b/>
          <w:i/>
        </w:rPr>
        <w:t>and clarity</w:t>
      </w:r>
    </w:p>
    <w:p w14:paraId="613D9E47" w14:textId="77777777" w:rsidR="002F2989" w:rsidRPr="005F7909" w:rsidRDefault="002F2989" w:rsidP="008C526D">
      <w:pPr>
        <w:spacing w:before="120" w:after="60"/>
        <w:outlineLvl w:val="0"/>
        <w:rPr>
          <w:b/>
        </w:rPr>
      </w:pPr>
      <w:r>
        <w:rPr>
          <w:b/>
        </w:rPr>
        <w:t>General provisions</w:t>
      </w:r>
    </w:p>
    <w:p w14:paraId="13EE06DA" w14:textId="77777777" w:rsidR="002F2989" w:rsidRDefault="002F2989" w:rsidP="00175C82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Section 35</w:t>
      </w:r>
      <w:r>
        <w:rPr>
          <w:rFonts w:ascii="Times New Roman" w:hAnsi="Times New Roman"/>
        </w:rPr>
        <w:tab/>
      </w:r>
      <w:r w:rsidR="009836F1" w:rsidRPr="007B3701">
        <w:rPr>
          <w:rFonts w:ascii="Times New Roman" w:hAnsi="Times New Roman"/>
        </w:rPr>
        <w:t xml:space="preserve">Accessibility </w:t>
      </w:r>
      <w:r w:rsidRPr="007B3701">
        <w:rPr>
          <w:rFonts w:ascii="Times New Roman" w:hAnsi="Times New Roman"/>
        </w:rPr>
        <w:t>and clarity</w:t>
      </w:r>
      <w:r w:rsidRPr="008C526D">
        <w:rPr>
          <w:rFonts w:ascii="Times New Roman" w:hAnsi="Times New Roman"/>
        </w:rPr>
        <w:t xml:space="preserve"> refers</w:t>
      </w:r>
      <w:r>
        <w:rPr>
          <w:rFonts w:ascii="Times New Roman" w:hAnsi="Times New Roman"/>
        </w:rPr>
        <w:t xml:space="preserve"> to the </w:t>
      </w:r>
      <w:r w:rsidR="008C526D">
        <w:rPr>
          <w:rFonts w:ascii="Times New Roman" w:hAnsi="Times New Roman"/>
        </w:rPr>
        <w:t>possibility of accessing</w:t>
      </w:r>
      <w:r>
        <w:rPr>
          <w:rFonts w:ascii="Times New Roman" w:hAnsi="Times New Roman"/>
        </w:rPr>
        <w:t xml:space="preserve"> statistics that </w:t>
      </w:r>
      <w:r w:rsidR="00E85ED2">
        <w:rPr>
          <w:rFonts w:ascii="Times New Roman" w:hAnsi="Times New Roman"/>
        </w:rPr>
        <w:t xml:space="preserve">have been </w:t>
      </w:r>
      <w:r>
        <w:rPr>
          <w:rFonts w:ascii="Times New Roman" w:hAnsi="Times New Roman"/>
        </w:rPr>
        <w:t xml:space="preserve">or </w:t>
      </w:r>
      <w:proofErr w:type="gramStart"/>
      <w:r>
        <w:rPr>
          <w:rFonts w:ascii="Times New Roman" w:hAnsi="Times New Roman"/>
        </w:rPr>
        <w:t>can be produced</w:t>
      </w:r>
      <w:proofErr w:type="gramEnd"/>
      <w:r>
        <w:rPr>
          <w:rFonts w:ascii="Times New Roman" w:hAnsi="Times New Roman"/>
        </w:rPr>
        <w:t xml:space="preserve"> </w:t>
      </w:r>
      <w:r w:rsidR="00420F46">
        <w:rPr>
          <w:rFonts w:ascii="Times New Roman" w:hAnsi="Times New Roman"/>
        </w:rPr>
        <w:t xml:space="preserve">as well as </w:t>
      </w:r>
      <w:r>
        <w:rPr>
          <w:rFonts w:ascii="Times New Roman" w:hAnsi="Times New Roman"/>
        </w:rPr>
        <w:t xml:space="preserve">information on the </w:t>
      </w:r>
      <w:r w:rsidR="00414792">
        <w:rPr>
          <w:rFonts w:ascii="Times New Roman" w:hAnsi="Times New Roman"/>
        </w:rPr>
        <w:t>properties</w:t>
      </w:r>
      <w:r>
        <w:rPr>
          <w:rFonts w:ascii="Times New Roman" w:hAnsi="Times New Roman"/>
        </w:rPr>
        <w:t xml:space="preserve"> of </w:t>
      </w:r>
      <w:r w:rsidR="00420F46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statistics. </w:t>
      </w:r>
    </w:p>
    <w:p w14:paraId="2D8992BE" w14:textId="77777777" w:rsidR="00313285" w:rsidRPr="00C679AB" w:rsidRDefault="00313285" w:rsidP="00175C82">
      <w:pPr>
        <w:tabs>
          <w:tab w:val="left" w:pos="567"/>
        </w:tabs>
        <w:jc w:val="both"/>
        <w:rPr>
          <w:rFonts w:ascii="Times New Roman" w:hAnsi="Times New Roman"/>
        </w:rPr>
      </w:pPr>
    </w:p>
    <w:p w14:paraId="584A7D10" w14:textId="68116538" w:rsidR="002F2989" w:rsidRDefault="002F2989" w:rsidP="00D75053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Section 36</w:t>
      </w:r>
      <w:r>
        <w:rPr>
          <w:rFonts w:ascii="Times New Roman" w:hAnsi="Times New Roman"/>
        </w:rPr>
        <w:tab/>
        <w:t>Section 3</w:t>
      </w:r>
      <w:r w:rsidR="009836F1">
        <w:rPr>
          <w:rFonts w:ascii="Times New Roman" w:hAnsi="Times New Roman"/>
        </w:rPr>
        <w:t xml:space="preserve"> sets out that</w:t>
      </w:r>
      <w:r>
        <w:rPr>
          <w:rFonts w:ascii="Times New Roman" w:hAnsi="Times New Roman"/>
        </w:rPr>
        <w:t xml:space="preserve"> the main component </w:t>
      </w:r>
      <w:r w:rsidR="009836F1">
        <w:rPr>
          <w:rFonts w:ascii="Times New Roman" w:hAnsi="Times New Roman"/>
          <w:i/>
        </w:rPr>
        <w:t xml:space="preserve">Accessibility </w:t>
      </w:r>
      <w:r>
        <w:rPr>
          <w:rFonts w:ascii="Times New Roman" w:hAnsi="Times New Roman"/>
          <w:i/>
        </w:rPr>
        <w:t>and clarity</w:t>
      </w:r>
      <w:r>
        <w:rPr>
          <w:rFonts w:ascii="Times New Roman" w:hAnsi="Times New Roman"/>
        </w:rPr>
        <w:t xml:space="preserve"> consists of the subcomponents </w:t>
      </w:r>
      <w:r>
        <w:rPr>
          <w:rFonts w:ascii="Times New Roman" w:hAnsi="Times New Roman"/>
          <w:i/>
        </w:rPr>
        <w:t>Access to</w:t>
      </w:r>
      <w:r w:rsidR="00E513EA">
        <w:rPr>
          <w:rFonts w:ascii="Times New Roman" w:hAnsi="Times New Roman"/>
          <w:i/>
        </w:rPr>
        <w:t xml:space="preserve"> the</w:t>
      </w:r>
      <w:r>
        <w:rPr>
          <w:rFonts w:ascii="Times New Roman" w:hAnsi="Times New Roman"/>
          <w:i/>
        </w:rPr>
        <w:t xml:space="preserve"> statistics</w:t>
      </w:r>
      <w:r>
        <w:rPr>
          <w:rFonts w:ascii="Times New Roman" w:hAnsi="Times New Roman"/>
        </w:rPr>
        <w:t xml:space="preserve">, </w:t>
      </w:r>
      <w:r w:rsidR="008C526D">
        <w:rPr>
          <w:rFonts w:ascii="Times New Roman" w:hAnsi="Times New Roman"/>
          <w:i/>
        </w:rPr>
        <w:t>Possibility</w:t>
      </w:r>
      <w:r>
        <w:rPr>
          <w:rFonts w:ascii="Times New Roman" w:hAnsi="Times New Roman"/>
          <w:i/>
        </w:rPr>
        <w:t xml:space="preserve"> </w:t>
      </w:r>
      <w:r w:rsidR="008C526D">
        <w:rPr>
          <w:rFonts w:ascii="Times New Roman" w:hAnsi="Times New Roman"/>
          <w:i/>
        </w:rPr>
        <w:t xml:space="preserve">of </w:t>
      </w:r>
      <w:r>
        <w:rPr>
          <w:rFonts w:ascii="Times New Roman" w:hAnsi="Times New Roman"/>
          <w:i/>
        </w:rPr>
        <w:t>additional statistic</w:t>
      </w:r>
      <w:r>
        <w:rPr>
          <w:rFonts w:ascii="Times New Roman" w:hAnsi="Times New Roman"/>
        </w:rPr>
        <w:t xml:space="preserve">s, </w:t>
      </w:r>
      <w:r>
        <w:rPr>
          <w:rFonts w:ascii="Times New Roman" w:hAnsi="Times New Roman"/>
          <w:i/>
        </w:rPr>
        <w:t>Presentation</w:t>
      </w:r>
      <w:r w:rsidR="00803942">
        <w:rPr>
          <w:rFonts w:ascii="Times New Roman" w:hAnsi="Times New Roman"/>
          <w:i/>
        </w:rPr>
        <w:t>,</w:t>
      </w:r>
      <w:r>
        <w:rPr>
          <w:rFonts w:ascii="Times New Roman" w:hAnsi="Times New Roman"/>
        </w:rPr>
        <w:t xml:space="preserve"> and </w:t>
      </w:r>
      <w:r>
        <w:rPr>
          <w:rFonts w:ascii="Times New Roman" w:hAnsi="Times New Roman"/>
          <w:i/>
        </w:rPr>
        <w:t>Documentation</w:t>
      </w:r>
      <w:r>
        <w:rPr>
          <w:rFonts w:ascii="Times New Roman" w:hAnsi="Times New Roman"/>
        </w:rPr>
        <w:t>.</w:t>
      </w:r>
    </w:p>
    <w:p w14:paraId="3CACBB62" w14:textId="77777777" w:rsidR="002F2989" w:rsidRPr="005F7909" w:rsidRDefault="002F2989" w:rsidP="008C526D">
      <w:pPr>
        <w:tabs>
          <w:tab w:val="left" w:pos="567"/>
        </w:tabs>
        <w:spacing w:before="240" w:after="60"/>
        <w:jc w:val="both"/>
        <w:outlineLvl w:val="0"/>
        <w:rPr>
          <w:b/>
        </w:rPr>
      </w:pPr>
      <w:r>
        <w:rPr>
          <w:b/>
        </w:rPr>
        <w:t xml:space="preserve">The subcomponent </w:t>
      </w:r>
      <w:r w:rsidRPr="00547A15">
        <w:rPr>
          <w:b/>
          <w:i/>
        </w:rPr>
        <w:t xml:space="preserve">Access to </w:t>
      </w:r>
      <w:r w:rsidR="00DA0A87" w:rsidRPr="00547A15">
        <w:rPr>
          <w:b/>
          <w:i/>
        </w:rPr>
        <w:t xml:space="preserve">the </w:t>
      </w:r>
      <w:r w:rsidRPr="00547A15">
        <w:rPr>
          <w:b/>
          <w:i/>
        </w:rPr>
        <w:t>statistics</w:t>
      </w:r>
    </w:p>
    <w:p w14:paraId="499D8002" w14:textId="77777777" w:rsidR="00765EEC" w:rsidRDefault="002F2989" w:rsidP="00765EEC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Section 37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Access to statistics</w:t>
      </w:r>
      <w:r>
        <w:rPr>
          <w:rFonts w:ascii="Times New Roman" w:hAnsi="Times New Roman"/>
        </w:rPr>
        <w:t xml:space="preserve"> refers to the distribution channels used to </w:t>
      </w:r>
      <w:r w:rsidR="00464912">
        <w:rPr>
          <w:rFonts w:ascii="Times New Roman" w:hAnsi="Times New Roman"/>
        </w:rPr>
        <w:t xml:space="preserve">relay </w:t>
      </w:r>
      <w:r>
        <w:rPr>
          <w:rFonts w:ascii="Times New Roman" w:hAnsi="Times New Roman"/>
        </w:rPr>
        <w:t xml:space="preserve">statistics to users. </w:t>
      </w:r>
    </w:p>
    <w:p w14:paraId="3A44ABA9" w14:textId="0371D625" w:rsidR="002F2989" w:rsidRPr="00765EEC" w:rsidRDefault="002F2989" w:rsidP="008C526D">
      <w:pPr>
        <w:tabs>
          <w:tab w:val="left" w:pos="567"/>
        </w:tabs>
        <w:spacing w:before="240" w:after="60"/>
        <w:jc w:val="both"/>
        <w:outlineLvl w:val="0"/>
        <w:rPr>
          <w:rFonts w:ascii="Times New Roman" w:hAnsi="Times New Roman"/>
        </w:rPr>
      </w:pPr>
      <w:r>
        <w:rPr>
          <w:b/>
        </w:rPr>
        <w:t xml:space="preserve">The subcomponent </w:t>
      </w:r>
      <w:r w:rsidR="008C526D" w:rsidRPr="00547A15">
        <w:rPr>
          <w:b/>
          <w:i/>
        </w:rPr>
        <w:t>Possibility</w:t>
      </w:r>
      <w:r w:rsidRPr="00547A15">
        <w:rPr>
          <w:b/>
          <w:i/>
        </w:rPr>
        <w:t xml:space="preserve"> </w:t>
      </w:r>
      <w:r w:rsidR="008C526D" w:rsidRPr="00547A15">
        <w:rPr>
          <w:b/>
          <w:i/>
        </w:rPr>
        <w:t xml:space="preserve">of </w:t>
      </w:r>
      <w:r w:rsidRPr="00547A15">
        <w:rPr>
          <w:b/>
          <w:i/>
        </w:rPr>
        <w:t>additional statistics</w:t>
      </w:r>
    </w:p>
    <w:p w14:paraId="777A518D" w14:textId="0DC5A7AB" w:rsidR="002F2989" w:rsidRDefault="002F2989" w:rsidP="00175C82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Section 38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8C526D">
        <w:rPr>
          <w:rFonts w:ascii="Times New Roman" w:hAnsi="Times New Roman"/>
          <w:i/>
        </w:rPr>
        <w:t xml:space="preserve">Possibility of </w:t>
      </w:r>
      <w:r w:rsidRPr="008C526D">
        <w:rPr>
          <w:rFonts w:ascii="Times New Roman" w:hAnsi="Times New Roman"/>
          <w:i/>
        </w:rPr>
        <w:t>additional statistics</w:t>
      </w:r>
      <w:r>
        <w:rPr>
          <w:rFonts w:ascii="Times New Roman" w:hAnsi="Times New Roman"/>
        </w:rPr>
        <w:t xml:space="preserve"> refers to the extent to which users </w:t>
      </w:r>
      <w:r w:rsidR="008C526D">
        <w:rPr>
          <w:rFonts w:ascii="Times New Roman" w:hAnsi="Times New Roman"/>
        </w:rPr>
        <w:t>may</w:t>
      </w:r>
      <w:r>
        <w:rPr>
          <w:rFonts w:ascii="Times New Roman" w:hAnsi="Times New Roman"/>
        </w:rPr>
        <w:t xml:space="preserve"> obtain access to statistics that </w:t>
      </w:r>
      <w:proofErr w:type="gramStart"/>
      <w:r>
        <w:rPr>
          <w:rFonts w:ascii="Times New Roman" w:hAnsi="Times New Roman"/>
        </w:rPr>
        <w:t>have not been produced</w:t>
      </w:r>
      <w:proofErr w:type="gramEnd"/>
      <w:r>
        <w:rPr>
          <w:rFonts w:ascii="Times New Roman" w:hAnsi="Times New Roman"/>
        </w:rPr>
        <w:t xml:space="preserve"> but can be produced based on existing data.</w:t>
      </w:r>
    </w:p>
    <w:p w14:paraId="2A97824A" w14:textId="77777777" w:rsidR="002F2989" w:rsidRPr="005F7909" w:rsidRDefault="002F2989" w:rsidP="008C526D">
      <w:pPr>
        <w:spacing w:before="240" w:after="60"/>
        <w:outlineLvl w:val="0"/>
        <w:rPr>
          <w:b/>
        </w:rPr>
      </w:pPr>
      <w:r>
        <w:rPr>
          <w:b/>
        </w:rPr>
        <w:t xml:space="preserve">The subcomponent </w:t>
      </w:r>
      <w:r>
        <w:rPr>
          <w:b/>
          <w:i/>
        </w:rPr>
        <w:t>Presentation</w:t>
      </w:r>
    </w:p>
    <w:p w14:paraId="116E124C" w14:textId="77777777" w:rsidR="002F2989" w:rsidRDefault="002F2989" w:rsidP="00175C82">
      <w:pPr>
        <w:tabs>
          <w:tab w:val="left" w:pos="567"/>
        </w:tabs>
        <w:jc w:val="both"/>
      </w:pPr>
      <w:r>
        <w:rPr>
          <w:b/>
        </w:rPr>
        <w:t>Section 39</w:t>
      </w:r>
      <w:r>
        <w:t xml:space="preserve"> </w:t>
      </w:r>
      <w:r>
        <w:tab/>
      </w:r>
      <w:r>
        <w:rPr>
          <w:i/>
        </w:rPr>
        <w:t>Presentation</w:t>
      </w:r>
      <w:r>
        <w:t xml:space="preserve"> refers to how statistical information is presented and visualised, such as in texts, tables</w:t>
      </w:r>
      <w:r w:rsidR="00464912">
        <w:t>,</w:t>
      </w:r>
      <w:r>
        <w:t xml:space="preserve"> and diagrams. </w:t>
      </w:r>
    </w:p>
    <w:p w14:paraId="46C0B70A" w14:textId="77777777" w:rsidR="002F2989" w:rsidRPr="005F7909" w:rsidRDefault="002F2989" w:rsidP="008C526D">
      <w:pPr>
        <w:spacing w:before="240" w:after="60"/>
        <w:outlineLvl w:val="0"/>
        <w:rPr>
          <w:b/>
        </w:rPr>
      </w:pPr>
      <w:r>
        <w:rPr>
          <w:b/>
        </w:rPr>
        <w:t xml:space="preserve">The subcomponent </w:t>
      </w:r>
      <w:r>
        <w:rPr>
          <w:b/>
          <w:i/>
        </w:rPr>
        <w:t>Documentation</w:t>
      </w:r>
    </w:p>
    <w:p w14:paraId="6A3AD4C5" w14:textId="77777777" w:rsidR="002F2989" w:rsidRDefault="002F2989" w:rsidP="00175C82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Section 40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Documentation</w:t>
      </w:r>
      <w:r>
        <w:rPr>
          <w:rFonts w:ascii="Times New Roman" w:hAnsi="Times New Roman"/>
        </w:rPr>
        <w:t xml:space="preserve"> refers to the users’ </w:t>
      </w:r>
      <w:r w:rsidR="00420F46">
        <w:rPr>
          <w:rFonts w:ascii="Times New Roman" w:hAnsi="Times New Roman"/>
        </w:rPr>
        <w:t xml:space="preserve">possibilities to </w:t>
      </w:r>
      <w:r>
        <w:rPr>
          <w:rFonts w:ascii="Times New Roman" w:hAnsi="Times New Roman"/>
        </w:rPr>
        <w:t xml:space="preserve">access information </w:t>
      </w:r>
      <w:r w:rsidR="005D71C8">
        <w:rPr>
          <w:rFonts w:ascii="Times New Roman" w:hAnsi="Times New Roman"/>
        </w:rPr>
        <w:t xml:space="preserve">to </w:t>
      </w:r>
      <w:r w:rsidR="00464912">
        <w:rPr>
          <w:rFonts w:ascii="Times New Roman" w:hAnsi="Times New Roman"/>
        </w:rPr>
        <w:t xml:space="preserve">facilitate </w:t>
      </w:r>
      <w:r>
        <w:rPr>
          <w:rFonts w:ascii="Times New Roman" w:hAnsi="Times New Roman"/>
        </w:rPr>
        <w:t xml:space="preserve">the understanding and interpretation of statistics. </w:t>
      </w:r>
    </w:p>
    <w:p w14:paraId="6E01771C" w14:textId="77777777" w:rsidR="00E54271" w:rsidRDefault="00E54271" w:rsidP="00175C82">
      <w:pPr>
        <w:tabs>
          <w:tab w:val="left" w:pos="567"/>
        </w:tabs>
        <w:jc w:val="both"/>
        <w:rPr>
          <w:rFonts w:ascii="Times New Roman" w:hAnsi="Times New Roman"/>
        </w:rPr>
      </w:pPr>
    </w:p>
    <w:p w14:paraId="49435C71" w14:textId="77777777" w:rsidR="00E54271" w:rsidRDefault="00E54271" w:rsidP="00175C82">
      <w:pPr>
        <w:tabs>
          <w:tab w:val="left" w:pos="567"/>
        </w:tabs>
        <w:jc w:val="both"/>
        <w:rPr>
          <w:rFonts w:ascii="Times New Roman" w:hAnsi="Times New Roman"/>
        </w:rPr>
      </w:pPr>
    </w:p>
    <w:p w14:paraId="383E2ADA" w14:textId="77777777" w:rsidR="00E54271" w:rsidRDefault="00E54271" w:rsidP="00175C82">
      <w:pPr>
        <w:tabs>
          <w:tab w:val="left" w:pos="567"/>
        </w:tabs>
        <w:jc w:val="both"/>
        <w:rPr>
          <w:rFonts w:ascii="Times New Roman" w:hAnsi="Times New Roman"/>
        </w:rPr>
      </w:pPr>
    </w:p>
    <w:p w14:paraId="43FEB1D4" w14:textId="77777777" w:rsidR="00313285" w:rsidRDefault="00313285" w:rsidP="00175C82">
      <w:pPr>
        <w:tabs>
          <w:tab w:val="left" w:pos="567"/>
        </w:tabs>
        <w:jc w:val="both"/>
        <w:rPr>
          <w:rFonts w:ascii="Times New Roman" w:hAnsi="Times New Roman"/>
        </w:rPr>
      </w:pPr>
    </w:p>
    <w:p w14:paraId="1CF8FA8B" w14:textId="77777777" w:rsidR="00313285" w:rsidRDefault="00313285" w:rsidP="008C526D">
      <w:pPr>
        <w:keepNext/>
        <w:spacing w:before="240" w:after="60"/>
        <w:jc w:val="both"/>
        <w:outlineLvl w:val="0"/>
        <w:rPr>
          <w:rFonts w:ascii="Arial" w:hAnsi="Arial"/>
          <w:b/>
        </w:rPr>
      </w:pPr>
    </w:p>
    <w:p w14:paraId="16B068E3" w14:textId="77777777" w:rsidR="002F2989" w:rsidRPr="008E60EC" w:rsidRDefault="008C526D" w:rsidP="008C526D">
      <w:pPr>
        <w:keepNext/>
        <w:spacing w:before="240" w:after="60"/>
        <w:jc w:val="both"/>
        <w:outlineLvl w:val="0"/>
        <w:rPr>
          <w:rFonts w:ascii="Arial" w:hAnsi="Arial" w:cs="Arial"/>
          <w:b/>
        </w:rPr>
      </w:pPr>
      <w:r>
        <w:rPr>
          <w:rFonts w:ascii="Arial" w:hAnsi="Arial"/>
          <w:b/>
        </w:rPr>
        <w:t>Main component:</w:t>
      </w:r>
      <w:r w:rsidR="002F2989">
        <w:rPr>
          <w:rFonts w:ascii="Arial" w:hAnsi="Arial"/>
          <w:b/>
        </w:rPr>
        <w:t xml:space="preserve"> </w:t>
      </w:r>
      <w:r w:rsidR="002F2989">
        <w:rPr>
          <w:rFonts w:ascii="Arial" w:hAnsi="Arial"/>
          <w:b/>
          <w:i/>
        </w:rPr>
        <w:t>Comparability and coherence</w:t>
      </w:r>
    </w:p>
    <w:p w14:paraId="08B47D66" w14:textId="77777777" w:rsidR="002F2989" w:rsidRPr="005F7909" w:rsidRDefault="002F2989" w:rsidP="008C526D">
      <w:pPr>
        <w:spacing w:before="120" w:after="60"/>
        <w:outlineLvl w:val="0"/>
        <w:rPr>
          <w:b/>
        </w:rPr>
      </w:pPr>
      <w:r>
        <w:rPr>
          <w:b/>
        </w:rPr>
        <w:t>General provisions</w:t>
      </w:r>
    </w:p>
    <w:p w14:paraId="0F3B569F" w14:textId="77777777" w:rsidR="002F2989" w:rsidRPr="008A03A3" w:rsidRDefault="002F2989" w:rsidP="00175C82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Section 41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7B3701">
        <w:rPr>
          <w:rFonts w:ascii="Times New Roman" w:hAnsi="Times New Roman"/>
        </w:rPr>
        <w:t>Comparability</w:t>
      </w:r>
      <w:r>
        <w:rPr>
          <w:rFonts w:ascii="Times New Roman" w:hAnsi="Times New Roman"/>
        </w:rPr>
        <w:t xml:space="preserve"> refers to the possibility of making comparisons between various reference </w:t>
      </w:r>
      <w:r w:rsidR="00420F46">
        <w:rPr>
          <w:rFonts w:ascii="Times New Roman" w:hAnsi="Times New Roman"/>
        </w:rPr>
        <w:t xml:space="preserve">times </w:t>
      </w:r>
      <w:r>
        <w:rPr>
          <w:rFonts w:ascii="Times New Roman" w:hAnsi="Times New Roman"/>
        </w:rPr>
        <w:t xml:space="preserve">or different groups. </w:t>
      </w:r>
      <w:r w:rsidRPr="007B3701">
        <w:rPr>
          <w:rFonts w:ascii="Times New Roman" w:hAnsi="Times New Roman"/>
        </w:rPr>
        <w:t>Coherence</w:t>
      </w:r>
      <w:r>
        <w:rPr>
          <w:rFonts w:ascii="Times New Roman" w:hAnsi="Times New Roman"/>
        </w:rPr>
        <w:t xml:space="preserve"> refers to the possibility of combining and joint</w:t>
      </w:r>
      <w:r w:rsidR="00707098">
        <w:rPr>
          <w:rFonts w:ascii="Times New Roman" w:hAnsi="Times New Roman"/>
        </w:rPr>
        <w:t>ly</w:t>
      </w:r>
      <w:r>
        <w:rPr>
          <w:rFonts w:ascii="Times New Roman" w:hAnsi="Times New Roman"/>
        </w:rPr>
        <w:t xml:space="preserve"> analys</w:t>
      </w:r>
      <w:r w:rsidR="00DA0A87">
        <w:rPr>
          <w:rFonts w:ascii="Times New Roman" w:hAnsi="Times New Roman"/>
        </w:rPr>
        <w:t>ing</w:t>
      </w:r>
      <w:r>
        <w:rPr>
          <w:rFonts w:ascii="Times New Roman" w:hAnsi="Times New Roman"/>
        </w:rPr>
        <w:t xml:space="preserve"> various statistical values. In both cases, the possibility is governed by how similarly or differently the </w:t>
      </w:r>
      <w:r w:rsidRPr="005A2730">
        <w:rPr>
          <w:rFonts w:ascii="Times New Roman" w:hAnsi="Times New Roman"/>
        </w:rPr>
        <w:t>target characteristics</w:t>
      </w:r>
      <w:r>
        <w:rPr>
          <w:rFonts w:ascii="Times New Roman" w:hAnsi="Times New Roman"/>
        </w:rPr>
        <w:t xml:space="preserve"> are defined and by differences in survey methods. Comparability is a specific aspect of coherence.</w:t>
      </w:r>
    </w:p>
    <w:p w14:paraId="7276DDD0" w14:textId="77777777" w:rsidR="002F2989" w:rsidRDefault="002F2989" w:rsidP="00313285">
      <w:pPr>
        <w:tabs>
          <w:tab w:val="left" w:pos="567"/>
        </w:tabs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Section 42</w:t>
      </w:r>
      <w:r>
        <w:rPr>
          <w:rFonts w:ascii="Times New Roman" w:hAnsi="Times New Roman"/>
        </w:rPr>
        <w:tab/>
        <w:t>Section 3</w:t>
      </w:r>
      <w:r w:rsidR="007B752A">
        <w:rPr>
          <w:rFonts w:ascii="Times New Roman" w:hAnsi="Times New Roman"/>
        </w:rPr>
        <w:t xml:space="preserve"> sets out that</w:t>
      </w:r>
      <w:r>
        <w:rPr>
          <w:rFonts w:ascii="Times New Roman" w:hAnsi="Times New Roman"/>
        </w:rPr>
        <w:t xml:space="preserve"> the main component </w:t>
      </w:r>
      <w:r>
        <w:rPr>
          <w:rFonts w:ascii="Times New Roman" w:hAnsi="Times New Roman"/>
          <w:i/>
        </w:rPr>
        <w:t>Comparability and coherence</w:t>
      </w:r>
      <w:r>
        <w:rPr>
          <w:rFonts w:ascii="Times New Roman" w:hAnsi="Times New Roman"/>
        </w:rPr>
        <w:t xml:space="preserve"> consists of the subcomponents </w:t>
      </w:r>
      <w:r>
        <w:rPr>
          <w:rFonts w:ascii="Times New Roman" w:hAnsi="Times New Roman"/>
          <w:i/>
        </w:rPr>
        <w:t>Comparability over time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Comparability among groups</w:t>
      </w:r>
      <w:r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  <w:i/>
        </w:rPr>
        <w:t>Other</w:t>
      </w:r>
      <w:proofErr w:type="gramEnd"/>
      <w:r>
        <w:rPr>
          <w:rFonts w:ascii="Times New Roman" w:hAnsi="Times New Roman"/>
          <w:i/>
        </w:rPr>
        <w:t xml:space="preserve"> coherence</w:t>
      </w:r>
      <w:r w:rsidR="00803942">
        <w:rPr>
          <w:rFonts w:ascii="Times New Roman" w:hAnsi="Times New Roman"/>
          <w:i/>
        </w:rPr>
        <w:t>,</w:t>
      </w:r>
      <w:r>
        <w:rPr>
          <w:rFonts w:ascii="Times New Roman" w:hAnsi="Times New Roman"/>
        </w:rPr>
        <w:t xml:space="preserve"> and </w:t>
      </w:r>
      <w:r>
        <w:rPr>
          <w:rFonts w:ascii="Times New Roman" w:hAnsi="Times New Roman"/>
          <w:i/>
        </w:rPr>
        <w:t>Numeric</w:t>
      </w:r>
      <w:r w:rsidR="005C6CBC">
        <w:rPr>
          <w:rFonts w:ascii="Times New Roman" w:hAnsi="Times New Roman"/>
          <w:i/>
        </w:rPr>
        <w:t>al</w:t>
      </w:r>
      <w:r>
        <w:rPr>
          <w:rFonts w:ascii="Times New Roman" w:hAnsi="Times New Roman"/>
          <w:i/>
        </w:rPr>
        <w:t xml:space="preserve"> </w:t>
      </w:r>
      <w:r w:rsidR="005C6CBC">
        <w:rPr>
          <w:rFonts w:ascii="Times New Roman" w:hAnsi="Times New Roman"/>
          <w:i/>
        </w:rPr>
        <w:t>consistency</w:t>
      </w:r>
      <w:r>
        <w:rPr>
          <w:rFonts w:ascii="Times New Roman" w:hAnsi="Times New Roman"/>
        </w:rPr>
        <w:t>.</w:t>
      </w:r>
    </w:p>
    <w:p w14:paraId="55285C6A" w14:textId="77777777" w:rsidR="002F2989" w:rsidRPr="005F7909" w:rsidRDefault="002F2989" w:rsidP="008C526D">
      <w:pPr>
        <w:spacing w:before="240" w:after="60"/>
        <w:outlineLvl w:val="0"/>
        <w:rPr>
          <w:b/>
        </w:rPr>
      </w:pPr>
      <w:r>
        <w:rPr>
          <w:b/>
        </w:rPr>
        <w:t xml:space="preserve">The subcomponent </w:t>
      </w:r>
      <w:r w:rsidRPr="00547A15">
        <w:rPr>
          <w:b/>
          <w:i/>
        </w:rPr>
        <w:t>Comparability over time</w:t>
      </w:r>
    </w:p>
    <w:p w14:paraId="086E1F0F" w14:textId="77777777" w:rsidR="002F2989" w:rsidRDefault="002F2989" w:rsidP="00175C82">
      <w:pPr>
        <w:tabs>
          <w:tab w:val="left" w:pos="567"/>
        </w:tabs>
        <w:jc w:val="both"/>
        <w:rPr>
          <w:color w:val="000000"/>
        </w:rPr>
      </w:pPr>
      <w:r>
        <w:rPr>
          <w:b/>
        </w:rPr>
        <w:t xml:space="preserve">Section 43 </w:t>
      </w:r>
      <w:r>
        <w:rPr>
          <w:b/>
        </w:rPr>
        <w:tab/>
      </w:r>
      <w:r>
        <w:rPr>
          <w:i/>
        </w:rPr>
        <w:t>Comparability over time</w:t>
      </w:r>
      <w:r>
        <w:t xml:space="preserve"> refers to the extent to which statistical values related to different reference </w:t>
      </w:r>
      <w:r w:rsidR="0031478C">
        <w:t xml:space="preserve">times </w:t>
      </w:r>
      <w:proofErr w:type="gramStart"/>
      <w:r>
        <w:t>can be compared</w:t>
      </w:r>
      <w:proofErr w:type="gramEnd"/>
      <w:r>
        <w:t xml:space="preserve">. The statistical values may </w:t>
      </w:r>
      <w:r w:rsidR="00464912">
        <w:t xml:space="preserve">come </w:t>
      </w:r>
      <w:r>
        <w:t>from one or several surveys.</w:t>
      </w:r>
    </w:p>
    <w:p w14:paraId="03AA400B" w14:textId="77777777" w:rsidR="002F2989" w:rsidRPr="005F7909" w:rsidRDefault="002F2989" w:rsidP="008C526D">
      <w:pPr>
        <w:spacing w:before="240" w:after="60"/>
        <w:outlineLvl w:val="0"/>
        <w:rPr>
          <w:b/>
        </w:rPr>
      </w:pPr>
      <w:r>
        <w:rPr>
          <w:b/>
        </w:rPr>
        <w:t xml:space="preserve">The subcomponent </w:t>
      </w:r>
      <w:r>
        <w:rPr>
          <w:b/>
          <w:i/>
        </w:rPr>
        <w:t>Comparability among groups</w:t>
      </w:r>
    </w:p>
    <w:p w14:paraId="3567A550" w14:textId="77777777" w:rsidR="002F2989" w:rsidRPr="008A03A3" w:rsidRDefault="002F2989" w:rsidP="00175C82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Section 44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i/>
        </w:rPr>
        <w:t>Comparability among groups</w:t>
      </w:r>
      <w:r>
        <w:rPr>
          <w:rFonts w:ascii="Times New Roman" w:hAnsi="Times New Roman"/>
        </w:rPr>
        <w:t xml:space="preserve"> refers to the extent to which statistical values related to different groups </w:t>
      </w:r>
      <w:proofErr w:type="gramStart"/>
      <w:r>
        <w:rPr>
          <w:rFonts w:ascii="Times New Roman" w:hAnsi="Times New Roman"/>
        </w:rPr>
        <w:t>can be compared</w:t>
      </w:r>
      <w:proofErr w:type="gramEnd"/>
      <w:r>
        <w:rPr>
          <w:rFonts w:ascii="Times New Roman" w:hAnsi="Times New Roman"/>
        </w:rPr>
        <w:t xml:space="preserve">. The statistical values may </w:t>
      </w:r>
      <w:r w:rsidR="00464912">
        <w:rPr>
          <w:rFonts w:ascii="Times New Roman" w:hAnsi="Times New Roman"/>
        </w:rPr>
        <w:t xml:space="preserve">come </w:t>
      </w:r>
      <w:r>
        <w:rPr>
          <w:rFonts w:ascii="Times New Roman" w:hAnsi="Times New Roman"/>
        </w:rPr>
        <w:t>from one or several surveys.</w:t>
      </w:r>
    </w:p>
    <w:p w14:paraId="643DB432" w14:textId="77777777" w:rsidR="007E36DA" w:rsidRPr="005F7909" w:rsidRDefault="002F2989" w:rsidP="008C526D">
      <w:pPr>
        <w:spacing w:before="240" w:after="60"/>
        <w:outlineLvl w:val="0"/>
        <w:rPr>
          <w:b/>
        </w:rPr>
      </w:pPr>
      <w:r>
        <w:rPr>
          <w:b/>
        </w:rPr>
        <w:t xml:space="preserve">The subcomponent </w:t>
      </w:r>
      <w:proofErr w:type="gramStart"/>
      <w:r w:rsidRPr="00547A15">
        <w:rPr>
          <w:b/>
          <w:i/>
        </w:rPr>
        <w:t>Other</w:t>
      </w:r>
      <w:proofErr w:type="gramEnd"/>
      <w:r w:rsidRPr="00547A15">
        <w:rPr>
          <w:b/>
          <w:i/>
        </w:rPr>
        <w:t xml:space="preserve"> coherence</w:t>
      </w:r>
    </w:p>
    <w:p w14:paraId="2E36BC9B" w14:textId="77777777" w:rsidR="007E36DA" w:rsidRPr="005F7909" w:rsidRDefault="002F2989" w:rsidP="00313285">
      <w:pPr>
        <w:spacing w:before="120"/>
        <w:outlineLvl w:val="0"/>
        <w:rPr>
          <w:b/>
        </w:rPr>
      </w:pPr>
      <w:r w:rsidRPr="00313285">
        <w:rPr>
          <w:b/>
        </w:rPr>
        <w:t>Section 45</w:t>
      </w:r>
      <w:r w:rsidRPr="00313285">
        <w:t xml:space="preserve"> </w:t>
      </w:r>
      <w:r w:rsidRPr="00313285">
        <w:tab/>
        <w:t xml:space="preserve">Other coherence refers to the extent to which statistical values </w:t>
      </w:r>
      <w:proofErr w:type="gramStart"/>
      <w:r w:rsidRPr="00313285">
        <w:t>can be combined</w:t>
      </w:r>
      <w:proofErr w:type="gramEnd"/>
      <w:r w:rsidRPr="00313285">
        <w:t xml:space="preserve"> for other purposes than comparisons over time and among groups. The statistical values may </w:t>
      </w:r>
      <w:r w:rsidR="00707098" w:rsidRPr="00313285">
        <w:t>come</w:t>
      </w:r>
      <w:r w:rsidRPr="00313285">
        <w:t xml:space="preserve"> from one or several surveys.</w:t>
      </w:r>
      <w:r>
        <w:rPr>
          <w:color w:val="000000"/>
        </w:rPr>
        <w:br/>
      </w:r>
      <w:r>
        <w:rPr>
          <w:b/>
        </w:rPr>
        <w:br/>
        <w:t xml:space="preserve">The subcomponent </w:t>
      </w:r>
      <w:r w:rsidRPr="00547A15">
        <w:rPr>
          <w:b/>
          <w:i/>
        </w:rPr>
        <w:t xml:space="preserve">Numerical </w:t>
      </w:r>
      <w:r w:rsidR="00173251" w:rsidRPr="00547A15">
        <w:rPr>
          <w:b/>
          <w:i/>
        </w:rPr>
        <w:t>consistency</w:t>
      </w:r>
    </w:p>
    <w:p w14:paraId="04EE4301" w14:textId="77777777" w:rsidR="002F2989" w:rsidRDefault="002F2989" w:rsidP="00313285">
      <w:pPr>
        <w:keepLines/>
        <w:pBdr>
          <w:bottom w:val="single" w:sz="6" w:space="20" w:color="auto"/>
        </w:pBdr>
        <w:tabs>
          <w:tab w:val="left" w:pos="567"/>
        </w:tabs>
        <w:spacing w:before="120"/>
        <w:jc w:val="both"/>
      </w:pPr>
      <w:r w:rsidRPr="00313285">
        <w:rPr>
          <w:b/>
        </w:rPr>
        <w:t>Section 46</w:t>
      </w:r>
      <w:r w:rsidRPr="00313285">
        <w:t xml:space="preserve"> </w:t>
      </w:r>
      <w:r w:rsidRPr="00313285">
        <w:tab/>
        <w:t xml:space="preserve">Numerical </w:t>
      </w:r>
      <w:r w:rsidR="00173251" w:rsidRPr="00313285">
        <w:t xml:space="preserve">consistency </w:t>
      </w:r>
      <w:r w:rsidRPr="00313285">
        <w:t xml:space="preserve">refers to whether statistical values relate to each other numerically in a way that </w:t>
      </w:r>
      <w:proofErr w:type="gramStart"/>
      <w:r w:rsidRPr="00313285">
        <w:t xml:space="preserve">is logically </w:t>
      </w:r>
      <w:r w:rsidR="005D71C8" w:rsidRPr="00313285">
        <w:t>warranted</w:t>
      </w:r>
      <w:proofErr w:type="gramEnd"/>
      <w:r w:rsidR="00FC20E2" w:rsidRPr="00313285">
        <w:t xml:space="preserve"> </w:t>
      </w:r>
      <w:r w:rsidRPr="00313285">
        <w:t xml:space="preserve">by the subject matters that the statistics are intended to illuminate. The statistical values may </w:t>
      </w:r>
      <w:r w:rsidR="00707098" w:rsidRPr="00313285">
        <w:t>come</w:t>
      </w:r>
      <w:r w:rsidRPr="00313285">
        <w:t xml:space="preserve"> from one or several surveys</w:t>
      </w:r>
      <w:r>
        <w:rPr>
          <w:rFonts w:ascii="Times New Roman" w:hAnsi="Times New Roman"/>
        </w:rPr>
        <w:t>.</w:t>
      </w:r>
    </w:p>
    <w:p w14:paraId="438D35C9" w14:textId="77777777" w:rsidR="003E2249" w:rsidRDefault="003E2249" w:rsidP="002F2989"/>
    <w:p w14:paraId="1B55313F" w14:textId="77777777" w:rsidR="004200CC" w:rsidRDefault="004200CC" w:rsidP="008C526D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</w:t>
      </w:r>
      <w:r w:rsidR="004E2692">
        <w:rPr>
          <w:rFonts w:ascii="Times New Roman" w:hAnsi="Times New Roman"/>
        </w:rPr>
        <w:t>statute</w:t>
      </w:r>
      <w:r>
        <w:rPr>
          <w:rFonts w:ascii="Times New Roman" w:hAnsi="Times New Roman"/>
        </w:rPr>
        <w:t xml:space="preserve"> shall enter into force on 1 January 2017.</w:t>
      </w:r>
    </w:p>
    <w:p w14:paraId="2E4EED78" w14:textId="77777777" w:rsidR="004200CC" w:rsidRDefault="004200CC" w:rsidP="004200CC">
      <w:pPr>
        <w:ind w:right="3277"/>
        <w:rPr>
          <w:rFonts w:ascii="Times New Roman" w:hAnsi="Times New Roman"/>
        </w:rPr>
      </w:pPr>
    </w:p>
    <w:p w14:paraId="24F8D52F" w14:textId="77777777" w:rsidR="004200CC" w:rsidRDefault="004200CC" w:rsidP="004200CC">
      <w:pPr>
        <w:ind w:right="3277"/>
        <w:rPr>
          <w:rFonts w:ascii="Times New Roman" w:hAnsi="Times New Roman"/>
        </w:rPr>
      </w:pPr>
    </w:p>
    <w:p w14:paraId="79173593" w14:textId="77777777" w:rsidR="004200CC" w:rsidRPr="0077775A" w:rsidRDefault="004200CC" w:rsidP="008C526D">
      <w:pPr>
        <w:spacing w:after="300"/>
        <w:ind w:right="3277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On behalf of Statistics Sweden</w:t>
      </w:r>
    </w:p>
    <w:p w14:paraId="0A6F4FE0" w14:textId="77777777" w:rsidR="002F2989" w:rsidRDefault="002F2989" w:rsidP="002F2989"/>
    <w:p w14:paraId="6B58076F" w14:textId="77777777" w:rsidR="003E2249" w:rsidRDefault="003E2249" w:rsidP="002F2989"/>
    <w:p w14:paraId="2B221CF8" w14:textId="77777777" w:rsidR="002F2989" w:rsidRDefault="002F2989" w:rsidP="008C526D">
      <w:pPr>
        <w:outlineLvl w:val="0"/>
      </w:pPr>
      <w:r>
        <w:t>Stefan Lundgren</w:t>
      </w:r>
    </w:p>
    <w:p w14:paraId="56BE2272" w14:textId="77777777" w:rsidR="002F2989" w:rsidRDefault="002F2989" w:rsidP="002F2989"/>
    <w:p w14:paraId="573C4CC6" w14:textId="77777777" w:rsidR="002F2989" w:rsidRPr="002F22CA" w:rsidRDefault="002F2989" w:rsidP="008C526D">
      <w:pPr>
        <w:outlineLvl w:val="0"/>
      </w:pPr>
      <w:r>
        <w:t xml:space="preserve">                                                                                     Eva Nilsson</w:t>
      </w:r>
    </w:p>
    <w:p w14:paraId="3F5A2E35" w14:textId="77777777" w:rsidR="00B5155E" w:rsidRDefault="00B5155E" w:rsidP="00946695">
      <w:pPr>
        <w:ind w:right="3419"/>
        <w:jc w:val="both"/>
        <w:rPr>
          <w:rFonts w:ascii="Times New Roman" w:hAnsi="Times New Roman"/>
        </w:rPr>
      </w:pPr>
    </w:p>
    <w:p w14:paraId="01AB7EC6" w14:textId="77777777" w:rsidR="001756A4" w:rsidRDefault="001756A4" w:rsidP="00A511E0">
      <w:pPr>
        <w:ind w:right="3277"/>
        <w:rPr>
          <w:rFonts w:ascii="Times New Roman" w:hAnsi="Times New Roman"/>
        </w:rPr>
      </w:pPr>
    </w:p>
    <w:p w14:paraId="2B2B2B67" w14:textId="77777777" w:rsidR="00EE0578" w:rsidRPr="0077775A" w:rsidRDefault="00EE0578">
      <w:pPr>
        <w:ind w:right="3277"/>
        <w:rPr>
          <w:rFonts w:ascii="Times New Roman" w:hAnsi="Times New Roman"/>
        </w:rPr>
      </w:pPr>
    </w:p>
    <w:sectPr w:rsidR="00EE0578" w:rsidRPr="0077775A" w:rsidSect="00FF2CEE">
      <w:headerReference w:type="default" r:id="rId8"/>
      <w:pgSz w:w="11953" w:h="16846"/>
      <w:pgMar w:top="431" w:right="3873" w:bottom="431" w:left="1701" w:header="431" w:footer="431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EE5D1" w14:textId="77777777" w:rsidR="0085326A" w:rsidRDefault="0085326A">
      <w:r>
        <w:separator/>
      </w:r>
    </w:p>
  </w:endnote>
  <w:endnote w:type="continuationSeparator" w:id="0">
    <w:p w14:paraId="10B5A622" w14:textId="77777777" w:rsidR="0085326A" w:rsidRDefault="0085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D8C7E" w14:textId="77777777" w:rsidR="0085326A" w:rsidRDefault="0085326A">
      <w:r>
        <w:separator/>
      </w:r>
    </w:p>
  </w:footnote>
  <w:footnote w:type="continuationSeparator" w:id="0">
    <w:p w14:paraId="3235962A" w14:textId="77777777" w:rsidR="0085326A" w:rsidRDefault="00853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28732" w14:textId="77777777" w:rsidR="00FF2CEE" w:rsidRDefault="00FF2CEE" w:rsidP="00C73D57">
    <w:pPr>
      <w:pStyle w:val="Sidhuvud"/>
      <w:tabs>
        <w:tab w:val="clear" w:pos="2592"/>
        <w:tab w:val="clear" w:pos="5184"/>
        <w:tab w:val="clear" w:pos="6480"/>
      </w:tabs>
      <w:spacing w:line="340" w:lineRule="exact"/>
      <w:ind w:left="851"/>
      <w:rPr>
        <w:b/>
        <w:position w:val="-36"/>
        <w:sz w:val="38"/>
      </w:rPr>
    </w:pPr>
    <w:r>
      <w:rPr>
        <w:noProof/>
        <w:lang w:val="sv-SE"/>
      </w:rPr>
      <w:drawing>
        <wp:anchor distT="0" distB="0" distL="114935" distR="114935" simplePos="0" relativeHeight="251657728" behindDoc="1" locked="0" layoutInCell="0" allowOverlap="1" wp14:anchorId="4343C88A" wp14:editId="1A71390A">
          <wp:simplePos x="0" y="0"/>
          <wp:positionH relativeFrom="column">
            <wp:posOffset>14605</wp:posOffset>
          </wp:positionH>
          <wp:positionV relativeFrom="paragraph">
            <wp:posOffset>3810</wp:posOffset>
          </wp:positionV>
          <wp:extent cx="1943100" cy="514350"/>
          <wp:effectExtent l="19050" t="0" r="0" b="0"/>
          <wp:wrapNone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8"/>
      </w:rPr>
      <w:t>Statistics Sweden’s Code of Statutes</w:t>
    </w:r>
    <w:r>
      <w:rPr>
        <w:b/>
        <w:sz w:val="38"/>
      </w:rPr>
      <w:tab/>
    </w:r>
  </w:p>
  <w:p w14:paraId="50498492" w14:textId="77777777" w:rsidR="00FF2CEE" w:rsidRDefault="00FF2CEE" w:rsidP="00C73D57">
    <w:pPr>
      <w:pStyle w:val="Sidhuvud"/>
      <w:tabs>
        <w:tab w:val="clear" w:pos="2592"/>
      </w:tabs>
      <w:ind w:left="851"/>
      <w:rPr>
        <w:sz w:val="20"/>
      </w:rPr>
    </w:pPr>
  </w:p>
  <w:p w14:paraId="2F6FB519" w14:textId="77777777" w:rsidR="00FF2CEE" w:rsidRPr="006B59C6" w:rsidRDefault="00FF2CEE" w:rsidP="00C73D57">
    <w:pPr>
      <w:pStyle w:val="Sidhuvud"/>
      <w:tabs>
        <w:tab w:val="clear" w:pos="2592"/>
        <w:tab w:val="left" w:pos="1276"/>
      </w:tabs>
      <w:ind w:left="851"/>
      <w:rPr>
        <w:sz w:val="20"/>
      </w:rPr>
    </w:pPr>
    <w:r>
      <w:rPr>
        <w:sz w:val="20"/>
      </w:rPr>
      <w:t>ISSN: 0284-0308</w:t>
    </w:r>
  </w:p>
  <w:p w14:paraId="6B8354AC" w14:textId="77777777" w:rsidR="00FF2CEE" w:rsidRPr="006B089F" w:rsidRDefault="00FF2CEE" w:rsidP="00C73D57">
    <w:pPr>
      <w:pStyle w:val="Sidhuvud"/>
      <w:tabs>
        <w:tab w:val="clear" w:pos="2592"/>
        <w:tab w:val="left" w:pos="1276"/>
      </w:tabs>
      <w:ind w:left="851"/>
      <w:rPr>
        <w:sz w:val="20"/>
      </w:rPr>
    </w:pPr>
    <w:r>
      <w:rPr>
        <w:sz w:val="20"/>
      </w:rPr>
      <w:t>Publisher: Chief Legal Advisor Eva Nilsson</w:t>
    </w:r>
  </w:p>
  <w:p w14:paraId="28544D76" w14:textId="77777777" w:rsidR="00FF2CEE" w:rsidRPr="007773D7" w:rsidRDefault="00FF2CEE" w:rsidP="00C73D57">
    <w:pPr>
      <w:pStyle w:val="Sidhuvud"/>
      <w:tabs>
        <w:tab w:val="clear" w:pos="2592"/>
        <w:tab w:val="left" w:pos="1276"/>
      </w:tabs>
      <w:ind w:left="851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81742"/>
    <w:multiLevelType w:val="hybridMultilevel"/>
    <w:tmpl w:val="E62A55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83"/>
    <w:rsid w:val="00012CE2"/>
    <w:rsid w:val="0001418B"/>
    <w:rsid w:val="000159A1"/>
    <w:rsid w:val="00022CC2"/>
    <w:rsid w:val="0002467C"/>
    <w:rsid w:val="0003119A"/>
    <w:rsid w:val="000428E4"/>
    <w:rsid w:val="000455C0"/>
    <w:rsid w:val="00045DE1"/>
    <w:rsid w:val="00052402"/>
    <w:rsid w:val="000563E3"/>
    <w:rsid w:val="00060EE2"/>
    <w:rsid w:val="00077D8E"/>
    <w:rsid w:val="00081279"/>
    <w:rsid w:val="000832EA"/>
    <w:rsid w:val="00092B72"/>
    <w:rsid w:val="000A3416"/>
    <w:rsid w:val="000A3E11"/>
    <w:rsid w:val="000B7D9C"/>
    <w:rsid w:val="000C6200"/>
    <w:rsid w:val="000D790D"/>
    <w:rsid w:val="000E132A"/>
    <w:rsid w:val="000E2C15"/>
    <w:rsid w:val="000E4547"/>
    <w:rsid w:val="000E7DCF"/>
    <w:rsid w:val="000F2AA1"/>
    <w:rsid w:val="000F5057"/>
    <w:rsid w:val="001039F7"/>
    <w:rsid w:val="00104AF3"/>
    <w:rsid w:val="00113B57"/>
    <w:rsid w:val="00120BE7"/>
    <w:rsid w:val="0012291F"/>
    <w:rsid w:val="00122D21"/>
    <w:rsid w:val="0012357A"/>
    <w:rsid w:val="00125A7A"/>
    <w:rsid w:val="00126FE6"/>
    <w:rsid w:val="0014534A"/>
    <w:rsid w:val="0015658F"/>
    <w:rsid w:val="001577F0"/>
    <w:rsid w:val="00173251"/>
    <w:rsid w:val="001756A4"/>
    <w:rsid w:val="00175C82"/>
    <w:rsid w:val="00185CD1"/>
    <w:rsid w:val="0018654D"/>
    <w:rsid w:val="001A2401"/>
    <w:rsid w:val="001A2A2F"/>
    <w:rsid w:val="001B4E25"/>
    <w:rsid w:val="001C0F31"/>
    <w:rsid w:val="001D3D7A"/>
    <w:rsid w:val="001D5423"/>
    <w:rsid w:val="001E4AC3"/>
    <w:rsid w:val="001F12DC"/>
    <w:rsid w:val="001F38EE"/>
    <w:rsid w:val="001F7855"/>
    <w:rsid w:val="00205994"/>
    <w:rsid w:val="00210091"/>
    <w:rsid w:val="00210A58"/>
    <w:rsid w:val="00212459"/>
    <w:rsid w:val="0022545D"/>
    <w:rsid w:val="00226007"/>
    <w:rsid w:val="00230587"/>
    <w:rsid w:val="0024107D"/>
    <w:rsid w:val="0024507A"/>
    <w:rsid w:val="00254F98"/>
    <w:rsid w:val="00257F7C"/>
    <w:rsid w:val="00264446"/>
    <w:rsid w:val="00266763"/>
    <w:rsid w:val="00281B06"/>
    <w:rsid w:val="002973F8"/>
    <w:rsid w:val="002A1C6B"/>
    <w:rsid w:val="002B08E3"/>
    <w:rsid w:val="002B1FF1"/>
    <w:rsid w:val="002B3BE1"/>
    <w:rsid w:val="002C0812"/>
    <w:rsid w:val="002C1713"/>
    <w:rsid w:val="002C5194"/>
    <w:rsid w:val="002D4748"/>
    <w:rsid w:val="002D7000"/>
    <w:rsid w:val="002D7849"/>
    <w:rsid w:val="002E6D29"/>
    <w:rsid w:val="002F262C"/>
    <w:rsid w:val="002F2989"/>
    <w:rsid w:val="002F6833"/>
    <w:rsid w:val="003051A3"/>
    <w:rsid w:val="00306BDE"/>
    <w:rsid w:val="00313285"/>
    <w:rsid w:val="00313DCC"/>
    <w:rsid w:val="0031478C"/>
    <w:rsid w:val="0031607B"/>
    <w:rsid w:val="00327586"/>
    <w:rsid w:val="00341632"/>
    <w:rsid w:val="003433BE"/>
    <w:rsid w:val="003475F0"/>
    <w:rsid w:val="003648FE"/>
    <w:rsid w:val="003663C5"/>
    <w:rsid w:val="003665D5"/>
    <w:rsid w:val="00371A9D"/>
    <w:rsid w:val="003752AE"/>
    <w:rsid w:val="003829C8"/>
    <w:rsid w:val="003835B1"/>
    <w:rsid w:val="0038462B"/>
    <w:rsid w:val="00392716"/>
    <w:rsid w:val="003A173B"/>
    <w:rsid w:val="003A6368"/>
    <w:rsid w:val="003C0B5D"/>
    <w:rsid w:val="003C1350"/>
    <w:rsid w:val="003C3E89"/>
    <w:rsid w:val="003C79C5"/>
    <w:rsid w:val="003D27C5"/>
    <w:rsid w:val="003D66A4"/>
    <w:rsid w:val="003E2249"/>
    <w:rsid w:val="003E23A5"/>
    <w:rsid w:val="003E6B71"/>
    <w:rsid w:val="003F388D"/>
    <w:rsid w:val="003F6912"/>
    <w:rsid w:val="00406A48"/>
    <w:rsid w:val="004110F3"/>
    <w:rsid w:val="004136FC"/>
    <w:rsid w:val="00414792"/>
    <w:rsid w:val="004200CC"/>
    <w:rsid w:val="00420F46"/>
    <w:rsid w:val="00424B80"/>
    <w:rsid w:val="004277A0"/>
    <w:rsid w:val="00433B1F"/>
    <w:rsid w:val="00442C7E"/>
    <w:rsid w:val="0044448D"/>
    <w:rsid w:val="00452BAA"/>
    <w:rsid w:val="00461132"/>
    <w:rsid w:val="00464912"/>
    <w:rsid w:val="00472C14"/>
    <w:rsid w:val="00476B14"/>
    <w:rsid w:val="00484B07"/>
    <w:rsid w:val="004915F1"/>
    <w:rsid w:val="00494FA3"/>
    <w:rsid w:val="004B7995"/>
    <w:rsid w:val="004B7B1E"/>
    <w:rsid w:val="004C6D9E"/>
    <w:rsid w:val="004D205F"/>
    <w:rsid w:val="004E2692"/>
    <w:rsid w:val="004E68DF"/>
    <w:rsid w:val="004F5DC6"/>
    <w:rsid w:val="00507382"/>
    <w:rsid w:val="00524434"/>
    <w:rsid w:val="005256E5"/>
    <w:rsid w:val="0052658E"/>
    <w:rsid w:val="00535875"/>
    <w:rsid w:val="005359DB"/>
    <w:rsid w:val="00536CD0"/>
    <w:rsid w:val="00547A15"/>
    <w:rsid w:val="00550EA7"/>
    <w:rsid w:val="0055439F"/>
    <w:rsid w:val="00564C29"/>
    <w:rsid w:val="00572103"/>
    <w:rsid w:val="00572578"/>
    <w:rsid w:val="00583DA8"/>
    <w:rsid w:val="005873FC"/>
    <w:rsid w:val="00590624"/>
    <w:rsid w:val="005A22FC"/>
    <w:rsid w:val="005A2730"/>
    <w:rsid w:val="005C0785"/>
    <w:rsid w:val="005C6CBC"/>
    <w:rsid w:val="005D2F52"/>
    <w:rsid w:val="005D5CAC"/>
    <w:rsid w:val="005D71C8"/>
    <w:rsid w:val="005D77A7"/>
    <w:rsid w:val="005E390D"/>
    <w:rsid w:val="005F0A3D"/>
    <w:rsid w:val="005F6A3E"/>
    <w:rsid w:val="005F7909"/>
    <w:rsid w:val="006063A8"/>
    <w:rsid w:val="00615DCC"/>
    <w:rsid w:val="00621715"/>
    <w:rsid w:val="00634A7D"/>
    <w:rsid w:val="0064071C"/>
    <w:rsid w:val="00640E42"/>
    <w:rsid w:val="00641453"/>
    <w:rsid w:val="006437E9"/>
    <w:rsid w:val="00647DC5"/>
    <w:rsid w:val="00651820"/>
    <w:rsid w:val="006662AE"/>
    <w:rsid w:val="0067225A"/>
    <w:rsid w:val="00673B4D"/>
    <w:rsid w:val="006A64A5"/>
    <w:rsid w:val="006B03BD"/>
    <w:rsid w:val="006B089F"/>
    <w:rsid w:val="006B59C6"/>
    <w:rsid w:val="006B73B8"/>
    <w:rsid w:val="006C61EC"/>
    <w:rsid w:val="006E6B7F"/>
    <w:rsid w:val="006F063C"/>
    <w:rsid w:val="006F3F4A"/>
    <w:rsid w:val="007004CA"/>
    <w:rsid w:val="00707098"/>
    <w:rsid w:val="00707D2D"/>
    <w:rsid w:val="007128D2"/>
    <w:rsid w:val="00714DBC"/>
    <w:rsid w:val="0072049E"/>
    <w:rsid w:val="00721A59"/>
    <w:rsid w:val="0072225D"/>
    <w:rsid w:val="00725C6C"/>
    <w:rsid w:val="00731BDD"/>
    <w:rsid w:val="007359BA"/>
    <w:rsid w:val="0073761D"/>
    <w:rsid w:val="0074100E"/>
    <w:rsid w:val="0074782F"/>
    <w:rsid w:val="007527DF"/>
    <w:rsid w:val="00754B1F"/>
    <w:rsid w:val="007606FF"/>
    <w:rsid w:val="00765A83"/>
    <w:rsid w:val="00765EEC"/>
    <w:rsid w:val="0077775A"/>
    <w:rsid w:val="0079363D"/>
    <w:rsid w:val="007942AD"/>
    <w:rsid w:val="007A4B65"/>
    <w:rsid w:val="007B3701"/>
    <w:rsid w:val="007B752A"/>
    <w:rsid w:val="007E36DA"/>
    <w:rsid w:val="007F3745"/>
    <w:rsid w:val="00801BEE"/>
    <w:rsid w:val="00803942"/>
    <w:rsid w:val="00806B43"/>
    <w:rsid w:val="008120F3"/>
    <w:rsid w:val="008133ED"/>
    <w:rsid w:val="0082119C"/>
    <w:rsid w:val="008423A7"/>
    <w:rsid w:val="00846D7F"/>
    <w:rsid w:val="0085326A"/>
    <w:rsid w:val="0085694B"/>
    <w:rsid w:val="00873B39"/>
    <w:rsid w:val="00884299"/>
    <w:rsid w:val="00887DDC"/>
    <w:rsid w:val="00891400"/>
    <w:rsid w:val="008A03A3"/>
    <w:rsid w:val="008A1000"/>
    <w:rsid w:val="008A38B8"/>
    <w:rsid w:val="008A5D40"/>
    <w:rsid w:val="008A6952"/>
    <w:rsid w:val="008B5442"/>
    <w:rsid w:val="008B62EA"/>
    <w:rsid w:val="008C03CE"/>
    <w:rsid w:val="008C5205"/>
    <w:rsid w:val="008C526D"/>
    <w:rsid w:val="008D0D60"/>
    <w:rsid w:val="008D4906"/>
    <w:rsid w:val="008E12F2"/>
    <w:rsid w:val="008E3C98"/>
    <w:rsid w:val="008F758C"/>
    <w:rsid w:val="00904CEA"/>
    <w:rsid w:val="009058CE"/>
    <w:rsid w:val="009068AE"/>
    <w:rsid w:val="009123E6"/>
    <w:rsid w:val="009204F3"/>
    <w:rsid w:val="00926621"/>
    <w:rsid w:val="0092717C"/>
    <w:rsid w:val="00936F87"/>
    <w:rsid w:val="00937D66"/>
    <w:rsid w:val="00946695"/>
    <w:rsid w:val="009506EC"/>
    <w:rsid w:val="0096197A"/>
    <w:rsid w:val="00961BC9"/>
    <w:rsid w:val="009836F1"/>
    <w:rsid w:val="00985467"/>
    <w:rsid w:val="00995D8A"/>
    <w:rsid w:val="009972E3"/>
    <w:rsid w:val="009A2097"/>
    <w:rsid w:val="009A51F8"/>
    <w:rsid w:val="009A54D6"/>
    <w:rsid w:val="009D146F"/>
    <w:rsid w:val="009D3B73"/>
    <w:rsid w:val="009F1738"/>
    <w:rsid w:val="00A06A4B"/>
    <w:rsid w:val="00A12182"/>
    <w:rsid w:val="00A17396"/>
    <w:rsid w:val="00A20025"/>
    <w:rsid w:val="00A27C01"/>
    <w:rsid w:val="00A44920"/>
    <w:rsid w:val="00A511E0"/>
    <w:rsid w:val="00A757CF"/>
    <w:rsid w:val="00AA1C0E"/>
    <w:rsid w:val="00AA2A31"/>
    <w:rsid w:val="00AB4A8C"/>
    <w:rsid w:val="00AB7966"/>
    <w:rsid w:val="00AF2B68"/>
    <w:rsid w:val="00AF4A3A"/>
    <w:rsid w:val="00AF5DFD"/>
    <w:rsid w:val="00B06EEA"/>
    <w:rsid w:val="00B312A5"/>
    <w:rsid w:val="00B4597E"/>
    <w:rsid w:val="00B45DA6"/>
    <w:rsid w:val="00B46475"/>
    <w:rsid w:val="00B5155E"/>
    <w:rsid w:val="00B52171"/>
    <w:rsid w:val="00B60096"/>
    <w:rsid w:val="00B64B3D"/>
    <w:rsid w:val="00B82E70"/>
    <w:rsid w:val="00B84011"/>
    <w:rsid w:val="00B85563"/>
    <w:rsid w:val="00B865CA"/>
    <w:rsid w:val="00B91D49"/>
    <w:rsid w:val="00B9336D"/>
    <w:rsid w:val="00B961C8"/>
    <w:rsid w:val="00B96930"/>
    <w:rsid w:val="00BA3E79"/>
    <w:rsid w:val="00BB55F5"/>
    <w:rsid w:val="00BC2D0B"/>
    <w:rsid w:val="00BC7269"/>
    <w:rsid w:val="00BD4A23"/>
    <w:rsid w:val="00BE7E1D"/>
    <w:rsid w:val="00C00108"/>
    <w:rsid w:val="00C055F0"/>
    <w:rsid w:val="00C1369D"/>
    <w:rsid w:val="00C22962"/>
    <w:rsid w:val="00C24CA0"/>
    <w:rsid w:val="00C26798"/>
    <w:rsid w:val="00C26ABF"/>
    <w:rsid w:val="00C32EFA"/>
    <w:rsid w:val="00C54245"/>
    <w:rsid w:val="00C572ED"/>
    <w:rsid w:val="00C679AB"/>
    <w:rsid w:val="00C67F53"/>
    <w:rsid w:val="00C67FED"/>
    <w:rsid w:val="00C72F90"/>
    <w:rsid w:val="00C73D57"/>
    <w:rsid w:val="00C756CD"/>
    <w:rsid w:val="00C801B0"/>
    <w:rsid w:val="00C82823"/>
    <w:rsid w:val="00C86B11"/>
    <w:rsid w:val="00C97B83"/>
    <w:rsid w:val="00CA2183"/>
    <w:rsid w:val="00CB7653"/>
    <w:rsid w:val="00CC0DC7"/>
    <w:rsid w:val="00CC174C"/>
    <w:rsid w:val="00CC315D"/>
    <w:rsid w:val="00CE4AC9"/>
    <w:rsid w:val="00CE5B8A"/>
    <w:rsid w:val="00CF4AF0"/>
    <w:rsid w:val="00D17851"/>
    <w:rsid w:val="00D229F1"/>
    <w:rsid w:val="00D3101B"/>
    <w:rsid w:val="00D42A48"/>
    <w:rsid w:val="00D75053"/>
    <w:rsid w:val="00D84D63"/>
    <w:rsid w:val="00D9378C"/>
    <w:rsid w:val="00DA0A87"/>
    <w:rsid w:val="00DB4ED7"/>
    <w:rsid w:val="00DC02B1"/>
    <w:rsid w:val="00DE2760"/>
    <w:rsid w:val="00DE377C"/>
    <w:rsid w:val="00DF3151"/>
    <w:rsid w:val="00DF4D13"/>
    <w:rsid w:val="00E02E25"/>
    <w:rsid w:val="00E066CD"/>
    <w:rsid w:val="00E11B75"/>
    <w:rsid w:val="00E15E8A"/>
    <w:rsid w:val="00E1717C"/>
    <w:rsid w:val="00E221C0"/>
    <w:rsid w:val="00E4744D"/>
    <w:rsid w:val="00E513EA"/>
    <w:rsid w:val="00E51BFD"/>
    <w:rsid w:val="00E540DA"/>
    <w:rsid w:val="00E54271"/>
    <w:rsid w:val="00E808B7"/>
    <w:rsid w:val="00E85D28"/>
    <w:rsid w:val="00E85ED2"/>
    <w:rsid w:val="00E8791F"/>
    <w:rsid w:val="00E95905"/>
    <w:rsid w:val="00EA00B0"/>
    <w:rsid w:val="00EB740F"/>
    <w:rsid w:val="00EC2A1A"/>
    <w:rsid w:val="00ED793F"/>
    <w:rsid w:val="00EE0578"/>
    <w:rsid w:val="00EE6F1B"/>
    <w:rsid w:val="00EF1C7F"/>
    <w:rsid w:val="00F22926"/>
    <w:rsid w:val="00F3567D"/>
    <w:rsid w:val="00F37266"/>
    <w:rsid w:val="00F4487B"/>
    <w:rsid w:val="00F50C8F"/>
    <w:rsid w:val="00F50E34"/>
    <w:rsid w:val="00F51260"/>
    <w:rsid w:val="00F52578"/>
    <w:rsid w:val="00F65023"/>
    <w:rsid w:val="00F66C15"/>
    <w:rsid w:val="00F677A1"/>
    <w:rsid w:val="00F7051A"/>
    <w:rsid w:val="00F73E29"/>
    <w:rsid w:val="00FA21F1"/>
    <w:rsid w:val="00FB018D"/>
    <w:rsid w:val="00FB3015"/>
    <w:rsid w:val="00FC20E2"/>
    <w:rsid w:val="00FC720B"/>
    <w:rsid w:val="00FD0E84"/>
    <w:rsid w:val="00FD214E"/>
    <w:rsid w:val="00FD5B4D"/>
    <w:rsid w:val="00FF1C9C"/>
    <w:rsid w:val="00FF2BC9"/>
    <w:rsid w:val="00FF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F2BEE4"/>
  <w15:docId w15:val="{24C7F785-F852-498C-9DE6-B73F9A70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962"/>
    <w:pPr>
      <w:autoSpaceDE w:val="0"/>
      <w:autoSpaceDN w:val="0"/>
    </w:pPr>
    <w:rPr>
      <w:rFonts w:ascii="Times" w:hAnsi="Times"/>
      <w:szCs w:val="24"/>
    </w:rPr>
  </w:style>
  <w:style w:type="paragraph" w:styleId="Rubrik1">
    <w:name w:val="heading 1"/>
    <w:basedOn w:val="Normal"/>
    <w:next w:val="Normal"/>
    <w:qFormat/>
    <w:rsid w:val="00C22962"/>
    <w:pPr>
      <w:keepNext/>
      <w:keepLines/>
      <w:spacing w:before="240" w:after="240"/>
      <w:outlineLvl w:val="0"/>
    </w:pPr>
    <w:rPr>
      <w:rFonts w:ascii="Helvetica" w:hAnsi="Helvetica"/>
      <w:b/>
      <w:bCs/>
    </w:rPr>
  </w:style>
  <w:style w:type="paragraph" w:styleId="Rubrik2">
    <w:name w:val="heading 2"/>
    <w:basedOn w:val="Normal"/>
    <w:next w:val="Normal"/>
    <w:qFormat/>
    <w:rsid w:val="00C22962"/>
    <w:pPr>
      <w:keepNext/>
      <w:keepLines/>
      <w:spacing w:before="120" w:after="240"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rsid w:val="00C22962"/>
    <w:pPr>
      <w:keepNext/>
      <w:keepLines/>
      <w:spacing w:after="240"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3">
    <w:name w:val="toc 3"/>
    <w:basedOn w:val="Normal"/>
    <w:next w:val="Normal"/>
    <w:autoRedefine/>
    <w:semiHidden/>
    <w:rsid w:val="00C22962"/>
    <w:pPr>
      <w:tabs>
        <w:tab w:val="left" w:leader="dot" w:pos="7070"/>
        <w:tab w:val="right" w:pos="7200"/>
      </w:tabs>
      <w:ind w:left="1296"/>
    </w:pPr>
  </w:style>
  <w:style w:type="paragraph" w:styleId="Innehll2">
    <w:name w:val="toc 2"/>
    <w:basedOn w:val="Normal"/>
    <w:next w:val="Normal"/>
    <w:autoRedefine/>
    <w:semiHidden/>
    <w:rsid w:val="00C22962"/>
    <w:pPr>
      <w:tabs>
        <w:tab w:val="left" w:leader="dot" w:pos="7070"/>
        <w:tab w:val="right" w:pos="7200"/>
      </w:tabs>
      <w:ind w:left="648"/>
    </w:pPr>
  </w:style>
  <w:style w:type="paragraph" w:styleId="Innehll1">
    <w:name w:val="toc 1"/>
    <w:basedOn w:val="Normal"/>
    <w:next w:val="Normal"/>
    <w:autoRedefine/>
    <w:semiHidden/>
    <w:rsid w:val="00C22962"/>
    <w:pPr>
      <w:tabs>
        <w:tab w:val="left" w:leader="dot" w:pos="7070"/>
        <w:tab w:val="right" w:pos="7200"/>
      </w:tabs>
    </w:pPr>
  </w:style>
  <w:style w:type="paragraph" w:styleId="Sidfot">
    <w:name w:val="footer"/>
    <w:basedOn w:val="Normal"/>
    <w:rsid w:val="00C22962"/>
    <w:pPr>
      <w:ind w:left="-2592"/>
    </w:pPr>
    <w:rPr>
      <w:sz w:val="16"/>
      <w:szCs w:val="16"/>
    </w:rPr>
  </w:style>
  <w:style w:type="paragraph" w:styleId="Sidhuvud">
    <w:name w:val="header"/>
    <w:basedOn w:val="Normal"/>
    <w:rsid w:val="00C22962"/>
    <w:pPr>
      <w:tabs>
        <w:tab w:val="left" w:pos="2592"/>
        <w:tab w:val="left" w:pos="5184"/>
        <w:tab w:val="left" w:pos="6480"/>
      </w:tabs>
      <w:ind w:left="-2592"/>
    </w:pPr>
    <w:rPr>
      <w:sz w:val="34"/>
      <w:szCs w:val="34"/>
    </w:rPr>
  </w:style>
  <w:style w:type="paragraph" w:styleId="Normaltindrag">
    <w:name w:val="Normal Indent"/>
    <w:basedOn w:val="Normal"/>
    <w:rsid w:val="00C22962"/>
    <w:pPr>
      <w:ind w:left="1296" w:hanging="1296"/>
    </w:pPr>
  </w:style>
  <w:style w:type="paragraph" w:customStyle="1" w:styleId="rendemening">
    <w:name w:val="Ärendemening"/>
    <w:basedOn w:val="Normal"/>
    <w:next w:val="Normal"/>
    <w:rsid w:val="00C22962"/>
    <w:pPr>
      <w:keepNext/>
      <w:keepLines/>
      <w:spacing w:after="240"/>
    </w:pPr>
    <w:rPr>
      <w:rFonts w:ascii="Helvetica" w:hAnsi="Helvetica"/>
      <w:b/>
      <w:bCs/>
      <w:sz w:val="28"/>
      <w:szCs w:val="28"/>
    </w:rPr>
  </w:style>
  <w:style w:type="paragraph" w:customStyle="1" w:styleId="Rubrikmarginal">
    <w:name w:val="Rubrikmarginal"/>
    <w:basedOn w:val="Normal"/>
    <w:next w:val="Normal"/>
    <w:rsid w:val="00C22962"/>
    <w:pPr>
      <w:tabs>
        <w:tab w:val="left" w:pos="0"/>
      </w:tabs>
      <w:ind w:hanging="2592"/>
    </w:pPr>
  </w:style>
  <w:style w:type="paragraph" w:styleId="Brdtext">
    <w:name w:val="Body Text"/>
    <w:basedOn w:val="Normal"/>
    <w:rsid w:val="00C22962"/>
    <w:pPr>
      <w:tabs>
        <w:tab w:val="left" w:pos="426"/>
        <w:tab w:val="left" w:pos="7372"/>
      </w:tabs>
      <w:ind w:right="3232"/>
      <w:jc w:val="both"/>
    </w:pPr>
  </w:style>
  <w:style w:type="paragraph" w:styleId="Ballongtext">
    <w:name w:val="Balloon Text"/>
    <w:basedOn w:val="Normal"/>
    <w:semiHidden/>
    <w:rsid w:val="00C73D57"/>
    <w:rPr>
      <w:rFonts w:ascii="Tahoma" w:hAnsi="Tahoma" w:cs="Tahoma"/>
      <w:sz w:val="16"/>
      <w:szCs w:val="16"/>
    </w:rPr>
  </w:style>
  <w:style w:type="character" w:customStyle="1" w:styleId="h2">
    <w:name w:val="h2"/>
    <w:basedOn w:val="Standardstycketeckensnitt"/>
    <w:rsid w:val="0077775A"/>
  </w:style>
  <w:style w:type="paragraph" w:customStyle="1" w:styleId="Default">
    <w:name w:val="Default"/>
    <w:rsid w:val="00F50E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EC2A1A"/>
    <w:pPr>
      <w:ind w:left="720"/>
      <w:contextualSpacing/>
    </w:pPr>
  </w:style>
  <w:style w:type="table" w:styleId="Tabellrutnt">
    <w:name w:val="Table Grid"/>
    <w:basedOn w:val="Normaltabell"/>
    <w:uiPriority w:val="59"/>
    <w:rsid w:val="002F29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unhideWhenUsed/>
    <w:rsid w:val="002F2989"/>
    <w:rPr>
      <w:sz w:val="16"/>
      <w:szCs w:val="16"/>
    </w:rPr>
  </w:style>
  <w:style w:type="paragraph" w:styleId="Dokumentversikt">
    <w:name w:val="Document Map"/>
    <w:basedOn w:val="Normal"/>
    <w:link w:val="DokumentversiktChar"/>
    <w:semiHidden/>
    <w:unhideWhenUsed/>
    <w:rsid w:val="008C526D"/>
    <w:rPr>
      <w:rFonts w:ascii="Times New Roman" w:hAnsi="Times New Roman"/>
      <w:sz w:val="24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8C526D"/>
    <w:rPr>
      <w:sz w:val="24"/>
      <w:szCs w:val="24"/>
    </w:rPr>
  </w:style>
  <w:style w:type="paragraph" w:styleId="Kommentarer">
    <w:name w:val="annotation text"/>
    <w:basedOn w:val="Normal"/>
    <w:link w:val="KommentarerChar"/>
    <w:semiHidden/>
    <w:unhideWhenUsed/>
    <w:rsid w:val="00E15E8A"/>
    <w:rPr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E15E8A"/>
    <w:rPr>
      <w:rFonts w:ascii="Times" w:hAnsi="Time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E15E8A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E15E8A"/>
    <w:rPr>
      <w:rFonts w:ascii="Times" w:hAnsi="Times"/>
      <w:b/>
      <w:bCs/>
    </w:rPr>
  </w:style>
  <w:style w:type="paragraph" w:styleId="Revision">
    <w:name w:val="Revision"/>
    <w:hidden/>
    <w:uiPriority w:val="99"/>
    <w:semiHidden/>
    <w:rsid w:val="00420F46"/>
    <w:rPr>
      <w:rFonts w:ascii="Times" w:hAnsi="Time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7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2913A-47F9-45A1-8243-D079099EE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2346</Words>
  <Characters>12438</Characters>
  <Application>Microsoft Office Word</Application>
  <DocSecurity>0</DocSecurity>
  <Lines>103</Lines>
  <Paragraphs>29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_SCB-FS 1995:24</vt:lpstr>
      <vt:lpstr>_SCB-FS 1995:24</vt:lpstr>
    </vt:vector>
  </TitlesOfParts>
  <Company>SCB</Company>
  <LinksUpToDate>false</LinksUpToDate>
  <CharactersWithSpaces>14755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_SCB-FS 1995:24</dc:title>
  <dc:creator>XX YY</dc:creator>
  <cp:lastModifiedBy>Hjort Jenny DFO/IF-S</cp:lastModifiedBy>
  <cp:revision>4</cp:revision>
  <cp:lastPrinted>2017-04-28T10:19:00Z</cp:lastPrinted>
  <dcterms:created xsi:type="dcterms:W3CDTF">2017-06-21T09:04:00Z</dcterms:created>
  <dcterms:modified xsi:type="dcterms:W3CDTF">2018-01-10T15:58:00Z</dcterms:modified>
</cp:coreProperties>
</file>