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6A" w:rsidRDefault="00E8236A" w:rsidP="000D2106">
      <w:pPr>
        <w:spacing w:after="0"/>
        <w:jc w:val="center"/>
        <w:rPr>
          <w:rFonts w:ascii="Times New Roman" w:hAnsi="Times New Roman"/>
          <w:b/>
          <w:sz w:val="24"/>
          <w:szCs w:val="24"/>
        </w:rPr>
      </w:pPr>
      <w:r>
        <w:rPr>
          <w:rFonts w:ascii="Times New Roman" w:hAnsi="Times New Roman"/>
          <w:b/>
          <w:sz w:val="24"/>
          <w:szCs w:val="24"/>
        </w:rPr>
        <w:t>Concept Note</w:t>
      </w:r>
    </w:p>
    <w:p w:rsidR="00E8236A" w:rsidRDefault="00E8236A" w:rsidP="000D2106">
      <w:pPr>
        <w:spacing w:after="0"/>
        <w:jc w:val="center"/>
        <w:rPr>
          <w:rFonts w:ascii="Times New Roman" w:hAnsi="Times New Roman"/>
          <w:b/>
          <w:sz w:val="24"/>
          <w:szCs w:val="24"/>
        </w:rPr>
      </w:pPr>
    </w:p>
    <w:p w:rsidR="00E8236A" w:rsidRDefault="00E8236A" w:rsidP="000D2106">
      <w:pPr>
        <w:spacing w:after="0"/>
        <w:jc w:val="center"/>
        <w:rPr>
          <w:rFonts w:ascii="Times New Roman" w:hAnsi="Times New Roman"/>
          <w:b/>
          <w:sz w:val="24"/>
          <w:szCs w:val="24"/>
        </w:rPr>
      </w:pPr>
      <w:r w:rsidRPr="000D2106">
        <w:rPr>
          <w:rFonts w:ascii="Times New Roman" w:hAnsi="Times New Roman"/>
          <w:b/>
          <w:sz w:val="24"/>
          <w:szCs w:val="24"/>
        </w:rPr>
        <w:t xml:space="preserve">Evidence and Data for Gender Equality </w:t>
      </w:r>
      <w:r>
        <w:rPr>
          <w:rFonts w:ascii="Times New Roman" w:hAnsi="Times New Roman"/>
          <w:b/>
          <w:sz w:val="24"/>
          <w:szCs w:val="24"/>
        </w:rPr>
        <w:t xml:space="preserve">(EDGE) </w:t>
      </w:r>
      <w:r w:rsidRPr="000D2106">
        <w:rPr>
          <w:rFonts w:ascii="Times New Roman" w:hAnsi="Times New Roman"/>
          <w:b/>
          <w:sz w:val="24"/>
          <w:szCs w:val="24"/>
        </w:rPr>
        <w:t>Follow-up Meeting on Measuring Asset Ownership from a Gender Perspective</w:t>
      </w:r>
    </w:p>
    <w:p w:rsidR="00E8236A" w:rsidRDefault="00E8236A" w:rsidP="000D2106">
      <w:pPr>
        <w:spacing w:after="0"/>
        <w:jc w:val="center"/>
        <w:rPr>
          <w:rFonts w:ascii="Times New Roman" w:hAnsi="Times New Roman"/>
          <w:b/>
          <w:sz w:val="24"/>
          <w:szCs w:val="24"/>
        </w:rPr>
      </w:pPr>
    </w:p>
    <w:p w:rsidR="00E8236A" w:rsidRDefault="00E8236A" w:rsidP="000D2106">
      <w:pPr>
        <w:pStyle w:val="Title"/>
        <w:spacing w:after="0"/>
        <w:jc w:val="center"/>
        <w:rPr>
          <w:rFonts w:ascii="Tahoma" w:eastAsia="MS Mincho" w:hAnsi="Tahoma" w:cs="Tahoma"/>
          <w:sz w:val="20"/>
          <w:szCs w:val="20"/>
          <w:lang w:eastAsia="ja-JP"/>
        </w:rPr>
      </w:pPr>
      <w:smartTag w:uri="urn:schemas-microsoft-com:office:smarttags" w:element="State">
        <w:smartTag w:uri="urn:schemas-microsoft-com:office:smarttags" w:element="place">
          <w:r w:rsidRPr="009C1DD4">
            <w:rPr>
              <w:rFonts w:ascii="Tahoma" w:eastAsia="MS Mincho" w:hAnsi="Tahoma" w:cs="Tahoma"/>
              <w:sz w:val="20"/>
              <w:szCs w:val="20"/>
              <w:lang w:eastAsia="ja-JP"/>
            </w:rPr>
            <w:t>New York</w:t>
          </w:r>
        </w:smartTag>
      </w:smartTag>
      <w:r w:rsidRPr="009C1DD4">
        <w:rPr>
          <w:rFonts w:ascii="Tahoma" w:eastAsia="MS Mincho" w:hAnsi="Tahoma" w:cs="Tahoma"/>
          <w:sz w:val="20"/>
          <w:szCs w:val="20"/>
          <w:lang w:eastAsia="ja-JP"/>
        </w:rPr>
        <w:t>, 21 November 2013</w:t>
      </w:r>
    </w:p>
    <w:p w:rsidR="00E8236A" w:rsidRDefault="00E8236A" w:rsidP="000D6B7C">
      <w:pPr>
        <w:spacing w:after="0"/>
        <w:jc w:val="both"/>
        <w:rPr>
          <w:rFonts w:ascii="Times New Roman" w:hAnsi="Times New Roman"/>
          <w:i/>
          <w:sz w:val="24"/>
          <w:szCs w:val="24"/>
        </w:rPr>
      </w:pPr>
    </w:p>
    <w:p w:rsidR="00E8236A" w:rsidRPr="00AC0344" w:rsidRDefault="00E8236A" w:rsidP="000D6B7C">
      <w:pPr>
        <w:spacing w:after="0"/>
        <w:jc w:val="both"/>
        <w:rPr>
          <w:rFonts w:ascii="Times New Roman" w:hAnsi="Times New Roman"/>
          <w:b/>
          <w:sz w:val="24"/>
          <w:szCs w:val="24"/>
        </w:rPr>
      </w:pPr>
      <w:r w:rsidRPr="00AC0344">
        <w:rPr>
          <w:rFonts w:ascii="Times New Roman" w:hAnsi="Times New Roman"/>
          <w:i/>
          <w:sz w:val="24"/>
          <w:szCs w:val="24"/>
        </w:rPr>
        <w:t>Background:</w:t>
      </w:r>
      <w:r>
        <w:rPr>
          <w:rFonts w:ascii="Times New Roman" w:hAnsi="Times New Roman"/>
          <w:b/>
          <w:sz w:val="24"/>
          <w:szCs w:val="24"/>
        </w:rPr>
        <w:t xml:space="preserve"> </w:t>
      </w:r>
      <w:r w:rsidRPr="0086032A">
        <w:rPr>
          <w:rFonts w:ascii="Times New Roman" w:hAnsi="Times New Roman"/>
          <w:sz w:val="24"/>
          <w:szCs w:val="24"/>
        </w:rPr>
        <w:t xml:space="preserve">The overall objective of the </w:t>
      </w:r>
      <w:r>
        <w:rPr>
          <w:rFonts w:ascii="Times New Roman" w:hAnsi="Times New Roman"/>
          <w:sz w:val="24"/>
          <w:szCs w:val="24"/>
        </w:rPr>
        <w:t>UN EDGE Follow-up Meeting</w:t>
      </w:r>
      <w:r w:rsidRPr="0086032A">
        <w:rPr>
          <w:rFonts w:ascii="Times New Roman" w:hAnsi="Times New Roman"/>
          <w:sz w:val="24"/>
          <w:szCs w:val="24"/>
        </w:rPr>
        <w:t xml:space="preserve"> </w:t>
      </w:r>
      <w:r>
        <w:rPr>
          <w:rFonts w:ascii="Times New Roman" w:hAnsi="Times New Roman"/>
          <w:sz w:val="24"/>
          <w:szCs w:val="24"/>
        </w:rPr>
        <w:t xml:space="preserve">on Measuring Asset Ownership from a Gender Perspective </w:t>
      </w:r>
      <w:r w:rsidRPr="0086032A">
        <w:rPr>
          <w:rFonts w:ascii="Times New Roman" w:hAnsi="Times New Roman"/>
          <w:sz w:val="24"/>
          <w:szCs w:val="24"/>
        </w:rPr>
        <w:t xml:space="preserve">is to reach a tentative agreement on the </w:t>
      </w:r>
      <w:r>
        <w:rPr>
          <w:rFonts w:ascii="Times New Roman" w:hAnsi="Times New Roman"/>
          <w:sz w:val="24"/>
          <w:szCs w:val="24"/>
        </w:rPr>
        <w:t xml:space="preserve">broad recommendations on the </w:t>
      </w:r>
      <w:r w:rsidRPr="0086032A">
        <w:rPr>
          <w:rFonts w:ascii="Times New Roman" w:hAnsi="Times New Roman"/>
          <w:sz w:val="24"/>
          <w:szCs w:val="24"/>
        </w:rPr>
        <w:t xml:space="preserve">design of </w:t>
      </w:r>
      <w:r>
        <w:rPr>
          <w:rFonts w:ascii="Times New Roman" w:hAnsi="Times New Roman"/>
          <w:sz w:val="24"/>
          <w:szCs w:val="24"/>
        </w:rPr>
        <w:t xml:space="preserve">the </w:t>
      </w:r>
      <w:r w:rsidRPr="0086032A">
        <w:rPr>
          <w:rFonts w:ascii="Times New Roman" w:hAnsi="Times New Roman"/>
          <w:sz w:val="24"/>
          <w:szCs w:val="24"/>
        </w:rPr>
        <w:t xml:space="preserve">methodological survey experiments on </w:t>
      </w:r>
      <w:r>
        <w:rPr>
          <w:rFonts w:ascii="Times New Roman" w:hAnsi="Times New Roman"/>
          <w:sz w:val="24"/>
          <w:szCs w:val="24"/>
        </w:rPr>
        <w:t>measuring</w:t>
      </w:r>
      <w:r w:rsidRPr="0086032A">
        <w:rPr>
          <w:rFonts w:ascii="Times New Roman" w:hAnsi="Times New Roman"/>
          <w:sz w:val="24"/>
          <w:szCs w:val="24"/>
        </w:rPr>
        <w:t xml:space="preserve"> individual-</w:t>
      </w:r>
      <w:r>
        <w:rPr>
          <w:rFonts w:ascii="Times New Roman" w:hAnsi="Times New Roman"/>
          <w:sz w:val="24"/>
          <w:szCs w:val="24"/>
        </w:rPr>
        <w:t>level</w:t>
      </w:r>
      <w:r w:rsidRPr="0086032A">
        <w:rPr>
          <w:rFonts w:ascii="Times New Roman" w:hAnsi="Times New Roman"/>
          <w:sz w:val="24"/>
          <w:szCs w:val="24"/>
        </w:rPr>
        <w:t xml:space="preserve"> asset ownership </w:t>
      </w:r>
      <w:r w:rsidRPr="0041359A">
        <w:rPr>
          <w:rFonts w:ascii="Times New Roman" w:hAnsi="Times New Roman"/>
          <w:sz w:val="24"/>
          <w:szCs w:val="24"/>
        </w:rPr>
        <w:t>from multi-purpose household surveys</w:t>
      </w:r>
      <w:r>
        <w:rPr>
          <w:rFonts w:ascii="Times New Roman" w:hAnsi="Times New Roman"/>
          <w:sz w:val="24"/>
          <w:szCs w:val="24"/>
        </w:rPr>
        <w:t>,</w:t>
      </w:r>
      <w:r w:rsidRPr="0041359A">
        <w:rPr>
          <w:rFonts w:ascii="Times New Roman" w:hAnsi="Times New Roman"/>
          <w:sz w:val="24"/>
          <w:szCs w:val="24"/>
        </w:rPr>
        <w:t xml:space="preserve"> including</w:t>
      </w:r>
      <w:r w:rsidRPr="0086032A">
        <w:rPr>
          <w:rFonts w:ascii="Times New Roman" w:hAnsi="Times New Roman"/>
          <w:sz w:val="24"/>
          <w:szCs w:val="24"/>
        </w:rPr>
        <w:t xml:space="preserve"> </w:t>
      </w:r>
      <w:r>
        <w:rPr>
          <w:rFonts w:ascii="Times New Roman" w:hAnsi="Times New Roman"/>
          <w:sz w:val="24"/>
          <w:szCs w:val="24"/>
        </w:rPr>
        <w:t xml:space="preserve">the </w:t>
      </w:r>
      <w:r w:rsidRPr="0086032A">
        <w:rPr>
          <w:rFonts w:ascii="Times New Roman" w:hAnsi="Times New Roman"/>
          <w:sz w:val="24"/>
          <w:szCs w:val="24"/>
        </w:rPr>
        <w:t>Living Standards Measurement Study (LSMS), with financial and technical contributions from the Evidence and Data for Gender Equality (EDGE) project.</w:t>
      </w:r>
      <w:r w:rsidRPr="0086032A">
        <w:rPr>
          <w:rStyle w:val="FootnoteReference"/>
          <w:rFonts w:ascii="Times New Roman" w:hAnsi="Times New Roman"/>
          <w:sz w:val="24"/>
          <w:szCs w:val="24"/>
        </w:rPr>
        <w:footnoteReference w:id="1"/>
      </w:r>
      <w:r>
        <w:rPr>
          <w:rFonts w:ascii="Times New Roman" w:hAnsi="Times New Roman"/>
          <w:sz w:val="24"/>
          <w:szCs w:val="24"/>
        </w:rPr>
        <w:t xml:space="preserve"> </w:t>
      </w:r>
      <w:r w:rsidRPr="00023802">
        <w:rPr>
          <w:rFonts w:ascii="Times New Roman" w:hAnsi="Times New Roman"/>
          <w:b/>
          <w:sz w:val="24"/>
          <w:szCs w:val="24"/>
        </w:rPr>
        <w:t>The goal will be to develop by the end of the day a clear agenda for this work program and next steps.</w:t>
      </w:r>
    </w:p>
    <w:p w:rsidR="00E8236A" w:rsidRDefault="00E8236A" w:rsidP="000D6B7C">
      <w:pPr>
        <w:spacing w:after="0"/>
        <w:jc w:val="both"/>
        <w:rPr>
          <w:rFonts w:ascii="Times New Roman" w:hAnsi="Times New Roman"/>
          <w:sz w:val="24"/>
          <w:szCs w:val="24"/>
        </w:rPr>
      </w:pPr>
    </w:p>
    <w:p w:rsidR="00E8236A" w:rsidRPr="0086032A" w:rsidRDefault="00E8236A" w:rsidP="00256015">
      <w:pPr>
        <w:spacing w:after="0"/>
        <w:jc w:val="both"/>
        <w:rPr>
          <w:rFonts w:ascii="Times New Roman" w:hAnsi="Times New Roman"/>
          <w:sz w:val="24"/>
          <w:szCs w:val="24"/>
        </w:rPr>
      </w:pPr>
      <w:r w:rsidRPr="0086032A">
        <w:rPr>
          <w:rFonts w:ascii="Times New Roman" w:hAnsi="Times New Roman"/>
          <w:sz w:val="24"/>
          <w:szCs w:val="24"/>
        </w:rPr>
        <w:t>One experiment will be implemented in two different sub-Saharan African settings by the LSMS team, potentially linked with the on-going LSMS-Integrated Surveys on Agriculture (LSMS-ISA) project activities. Prior to the implementation of the experiment in each setting, the proposed design will be validated by a qualitative research study. The proposed experiment design will serve as a starting point for</w:t>
      </w:r>
      <w:r>
        <w:rPr>
          <w:rFonts w:ascii="Times New Roman" w:hAnsi="Times New Roman"/>
          <w:sz w:val="24"/>
          <w:szCs w:val="24"/>
        </w:rPr>
        <w:t xml:space="preserve"> </w:t>
      </w:r>
      <w:r w:rsidRPr="0086032A">
        <w:rPr>
          <w:rFonts w:ascii="Times New Roman" w:hAnsi="Times New Roman"/>
          <w:sz w:val="24"/>
          <w:szCs w:val="24"/>
        </w:rPr>
        <w:t xml:space="preserve">discussions with </w:t>
      </w:r>
      <w:r>
        <w:rPr>
          <w:rFonts w:ascii="Times New Roman" w:hAnsi="Times New Roman"/>
          <w:sz w:val="24"/>
          <w:szCs w:val="24"/>
        </w:rPr>
        <w:t xml:space="preserve">EDGE pilot countries, </w:t>
      </w:r>
      <w:r w:rsidRPr="0086032A">
        <w:rPr>
          <w:rFonts w:ascii="Times New Roman" w:hAnsi="Times New Roman"/>
          <w:sz w:val="24"/>
          <w:szCs w:val="24"/>
        </w:rPr>
        <w:t>wh</w:t>
      </w:r>
      <w:r>
        <w:rPr>
          <w:rFonts w:ascii="Times New Roman" w:hAnsi="Times New Roman"/>
          <w:sz w:val="24"/>
          <w:szCs w:val="24"/>
        </w:rPr>
        <w:t>ich</w:t>
      </w:r>
      <w:r w:rsidRPr="0086032A">
        <w:rPr>
          <w:rFonts w:ascii="Times New Roman" w:hAnsi="Times New Roman"/>
          <w:sz w:val="24"/>
          <w:szCs w:val="24"/>
        </w:rPr>
        <w:t xml:space="preserve"> are on board to implement/support similar survey experiments</w:t>
      </w:r>
      <w:r>
        <w:rPr>
          <w:rFonts w:ascii="Times New Roman" w:hAnsi="Times New Roman"/>
          <w:sz w:val="24"/>
          <w:szCs w:val="24"/>
        </w:rPr>
        <w:t>.</w:t>
      </w:r>
    </w:p>
    <w:p w:rsidR="00E8236A" w:rsidRPr="0086032A" w:rsidRDefault="00E8236A" w:rsidP="00256015">
      <w:pPr>
        <w:spacing w:after="0"/>
        <w:jc w:val="both"/>
        <w:rPr>
          <w:rFonts w:ascii="Times New Roman" w:hAnsi="Times New Roman"/>
          <w:sz w:val="24"/>
          <w:szCs w:val="24"/>
        </w:rPr>
      </w:pPr>
    </w:p>
    <w:p w:rsidR="00E8236A" w:rsidRDefault="00E8236A" w:rsidP="000D6B7C">
      <w:pPr>
        <w:spacing w:after="0"/>
        <w:jc w:val="both"/>
        <w:rPr>
          <w:rFonts w:ascii="Times New Roman" w:hAnsi="Times New Roman"/>
          <w:sz w:val="24"/>
          <w:szCs w:val="24"/>
        </w:rPr>
      </w:pPr>
      <w:r w:rsidRPr="0086032A">
        <w:rPr>
          <w:rFonts w:ascii="Times New Roman" w:hAnsi="Times New Roman"/>
          <w:sz w:val="24"/>
          <w:szCs w:val="24"/>
        </w:rPr>
        <w:t xml:space="preserve">The data from the experiments will </w:t>
      </w:r>
      <w:r>
        <w:rPr>
          <w:rFonts w:ascii="Times New Roman" w:hAnsi="Times New Roman"/>
          <w:sz w:val="24"/>
          <w:szCs w:val="24"/>
        </w:rPr>
        <w:t xml:space="preserve">feed into three outputs. First, </w:t>
      </w:r>
      <w:r w:rsidRPr="0041359A">
        <w:rPr>
          <w:rFonts w:ascii="Times New Roman" w:hAnsi="Times New Roman"/>
          <w:sz w:val="24"/>
          <w:szCs w:val="24"/>
        </w:rPr>
        <w:t>the UN Guidelines to Measure Asset Ownership and Control from a Gender Perspective, to be developed under the EDGE project and reviewed by the UN Statistical Commission</w:t>
      </w:r>
      <w:r>
        <w:rPr>
          <w:rFonts w:ascii="Times New Roman" w:hAnsi="Times New Roman"/>
          <w:sz w:val="24"/>
          <w:szCs w:val="24"/>
        </w:rPr>
        <w:t xml:space="preserve">. Second, </w:t>
      </w:r>
      <w:r w:rsidRPr="0086032A">
        <w:rPr>
          <w:rFonts w:ascii="Times New Roman" w:hAnsi="Times New Roman"/>
          <w:sz w:val="24"/>
          <w:szCs w:val="24"/>
        </w:rPr>
        <w:t xml:space="preserve">a sourcebook </w:t>
      </w:r>
      <w:r>
        <w:rPr>
          <w:rFonts w:ascii="Times New Roman" w:hAnsi="Times New Roman"/>
          <w:sz w:val="24"/>
          <w:szCs w:val="24"/>
        </w:rPr>
        <w:t>produced by</w:t>
      </w:r>
      <w:r w:rsidRPr="0086032A">
        <w:rPr>
          <w:rFonts w:ascii="Times New Roman" w:hAnsi="Times New Roman"/>
          <w:sz w:val="24"/>
          <w:szCs w:val="24"/>
        </w:rPr>
        <w:t xml:space="preserve"> the LSMS team </w:t>
      </w:r>
      <w:r>
        <w:rPr>
          <w:rFonts w:ascii="Times New Roman" w:hAnsi="Times New Roman"/>
          <w:sz w:val="24"/>
          <w:szCs w:val="24"/>
        </w:rPr>
        <w:t xml:space="preserve">that will provide methodological guidance on the design and implementation of questionnaire modules measuring individual-level asset ownership as part of multi-topic household survey questionnaires. Third, an analytical </w:t>
      </w:r>
      <w:r w:rsidRPr="0086032A">
        <w:rPr>
          <w:rFonts w:ascii="Times New Roman" w:hAnsi="Times New Roman"/>
          <w:sz w:val="24"/>
          <w:szCs w:val="24"/>
        </w:rPr>
        <w:t>background paper</w:t>
      </w:r>
      <w:r>
        <w:rPr>
          <w:rFonts w:ascii="Times New Roman" w:hAnsi="Times New Roman"/>
          <w:sz w:val="24"/>
          <w:szCs w:val="24"/>
        </w:rPr>
        <w:t>, jointly produced by the United Nations Statistics Division, UN Women and the World Bank, that</w:t>
      </w:r>
      <w:r w:rsidRPr="0086032A">
        <w:rPr>
          <w:rFonts w:ascii="Times New Roman" w:hAnsi="Times New Roman"/>
          <w:sz w:val="24"/>
          <w:szCs w:val="24"/>
        </w:rPr>
        <w:t xml:space="preserve"> </w:t>
      </w:r>
      <w:r>
        <w:rPr>
          <w:rFonts w:ascii="Times New Roman" w:hAnsi="Times New Roman"/>
          <w:sz w:val="24"/>
          <w:szCs w:val="24"/>
        </w:rPr>
        <w:t>will be submitted to the World Bank Policy Research Working Paper Series and a peer-reviewed academic journal.</w:t>
      </w:r>
    </w:p>
    <w:p w:rsidR="00E8236A" w:rsidRDefault="00E8236A" w:rsidP="000D6B7C">
      <w:pPr>
        <w:spacing w:after="0"/>
        <w:jc w:val="both"/>
        <w:rPr>
          <w:rFonts w:ascii="Times New Roman" w:hAnsi="Times New Roman"/>
          <w:sz w:val="24"/>
          <w:szCs w:val="24"/>
        </w:rPr>
      </w:pPr>
    </w:p>
    <w:p w:rsidR="00E8236A" w:rsidRDefault="00E8236A" w:rsidP="00D96A46">
      <w:pPr>
        <w:spacing w:after="0"/>
        <w:jc w:val="both"/>
        <w:rPr>
          <w:rFonts w:ascii="Times New Roman" w:hAnsi="Times New Roman"/>
          <w:sz w:val="24"/>
          <w:szCs w:val="24"/>
        </w:rPr>
      </w:pPr>
      <w:r>
        <w:rPr>
          <w:rFonts w:ascii="Times New Roman" w:hAnsi="Times New Roman"/>
          <w:sz w:val="24"/>
          <w:szCs w:val="24"/>
        </w:rPr>
        <w:t xml:space="preserve">Whenever possible, discussion will be built upon existing efforts, including the draft </w:t>
      </w:r>
      <w:r w:rsidRPr="00D96A46">
        <w:rPr>
          <w:rFonts w:ascii="Times New Roman" w:hAnsi="Times New Roman"/>
          <w:i/>
          <w:sz w:val="24"/>
          <w:szCs w:val="24"/>
        </w:rPr>
        <w:t>Technical Report on Measuring Individual-level Asset Ownership and Control</w:t>
      </w:r>
      <w:r>
        <w:rPr>
          <w:rFonts w:ascii="Times New Roman" w:hAnsi="Times New Roman"/>
          <w:i/>
          <w:sz w:val="24"/>
          <w:szCs w:val="24"/>
        </w:rPr>
        <w:t xml:space="preserve">, </w:t>
      </w:r>
      <w:r>
        <w:rPr>
          <w:rFonts w:ascii="Times New Roman" w:hAnsi="Times New Roman"/>
          <w:sz w:val="24"/>
          <w:szCs w:val="24"/>
        </w:rPr>
        <w:t xml:space="preserve">conclusions from </w:t>
      </w:r>
      <w:r w:rsidRPr="0008711D">
        <w:rPr>
          <w:rFonts w:ascii="Times New Roman" w:hAnsi="Times New Roman"/>
          <w:sz w:val="24"/>
          <w:szCs w:val="24"/>
        </w:rPr>
        <w:t>the</w:t>
      </w:r>
      <w:r>
        <w:rPr>
          <w:rFonts w:ascii="Times New Roman" w:hAnsi="Times New Roman"/>
          <w:sz w:val="24"/>
          <w:szCs w:val="24"/>
        </w:rPr>
        <w:t xml:space="preserve"> </w:t>
      </w:r>
      <w:r w:rsidRPr="0008711D">
        <w:rPr>
          <w:rFonts w:ascii="Times New Roman" w:hAnsi="Times New Roman"/>
          <w:sz w:val="24"/>
          <w:szCs w:val="24"/>
        </w:rPr>
        <w:t>July-August 2013 Technical Meeting on Measuring Women</w:t>
      </w:r>
      <w:r>
        <w:rPr>
          <w:rFonts w:ascii="Times New Roman" w:hAnsi="Times New Roman"/>
          <w:sz w:val="24"/>
          <w:szCs w:val="24"/>
        </w:rPr>
        <w:t>’</w:t>
      </w:r>
      <w:r w:rsidRPr="0008711D">
        <w:rPr>
          <w:rFonts w:ascii="Times New Roman" w:hAnsi="Times New Roman"/>
          <w:sz w:val="24"/>
          <w:szCs w:val="24"/>
        </w:rPr>
        <w:t>s Asset Ownership</w:t>
      </w:r>
      <w:r>
        <w:rPr>
          <w:rFonts w:ascii="Times New Roman" w:hAnsi="Times New Roman"/>
          <w:sz w:val="24"/>
          <w:szCs w:val="24"/>
        </w:rPr>
        <w:t xml:space="preserve"> in Bangkok, as well as other relevant supplementary material including the </w:t>
      </w:r>
      <w:r w:rsidRPr="00B038A0">
        <w:rPr>
          <w:rFonts w:ascii="Times New Roman" w:hAnsi="Times New Roman"/>
          <w:sz w:val="24"/>
          <w:szCs w:val="24"/>
        </w:rPr>
        <w:t>questionnaires for the Gender Asset Gap Project and the Women’s Empowerment in Agriculture Index (WEAI)</w:t>
      </w:r>
      <w:r>
        <w:rPr>
          <w:rFonts w:ascii="Times New Roman" w:hAnsi="Times New Roman"/>
          <w:sz w:val="24"/>
          <w:szCs w:val="24"/>
        </w:rPr>
        <w:t>.</w:t>
      </w:r>
    </w:p>
    <w:p w:rsidR="00E8236A" w:rsidRDefault="00E8236A" w:rsidP="000D6B7C">
      <w:pPr>
        <w:spacing w:after="0"/>
        <w:jc w:val="both"/>
        <w:rPr>
          <w:rFonts w:ascii="Times New Roman" w:hAnsi="Times New Roman"/>
          <w:sz w:val="24"/>
          <w:szCs w:val="24"/>
        </w:rPr>
      </w:pPr>
    </w:p>
    <w:p w:rsidR="00E8236A" w:rsidRPr="0008711D" w:rsidRDefault="00E8236A" w:rsidP="006B33FA">
      <w:pPr>
        <w:spacing w:after="0"/>
        <w:jc w:val="both"/>
        <w:rPr>
          <w:rFonts w:ascii="Times New Roman" w:hAnsi="Times New Roman"/>
          <w:i/>
          <w:sz w:val="24"/>
          <w:szCs w:val="24"/>
          <w:u w:val="single"/>
        </w:rPr>
      </w:pPr>
      <w:r w:rsidRPr="0008711D">
        <w:rPr>
          <w:rFonts w:ascii="Times New Roman" w:hAnsi="Times New Roman"/>
          <w:i/>
          <w:sz w:val="24"/>
          <w:szCs w:val="24"/>
          <w:u w:val="single"/>
        </w:rPr>
        <w:t>Which assets to focus on?</w:t>
      </w:r>
    </w:p>
    <w:p w:rsidR="00E8236A" w:rsidRDefault="00E8236A" w:rsidP="006B33FA">
      <w:pPr>
        <w:spacing w:after="0"/>
        <w:jc w:val="both"/>
        <w:rPr>
          <w:rFonts w:ascii="Times New Roman" w:hAnsi="Times New Roman"/>
          <w:i/>
          <w:sz w:val="24"/>
          <w:szCs w:val="24"/>
        </w:rPr>
      </w:pPr>
    </w:p>
    <w:p w:rsidR="00E8236A" w:rsidRPr="00AC0344" w:rsidRDefault="00E8236A" w:rsidP="006B33FA">
      <w:pPr>
        <w:spacing w:after="0"/>
        <w:jc w:val="both"/>
        <w:rPr>
          <w:rFonts w:ascii="Times New Roman" w:hAnsi="Times New Roman"/>
          <w:i/>
          <w:sz w:val="24"/>
          <w:szCs w:val="24"/>
        </w:rPr>
      </w:pPr>
      <w:r>
        <w:rPr>
          <w:rFonts w:ascii="Times New Roman" w:hAnsi="Times New Roman"/>
          <w:sz w:val="24"/>
          <w:szCs w:val="24"/>
        </w:rPr>
        <w:t xml:space="preserve">The first point is to separate the need for unique identification of assets from the need to deduce individual-level ownership rights for each identified asset. Starting with the former need, </w:t>
      </w:r>
      <w:r w:rsidRPr="00B038A0">
        <w:rPr>
          <w:rFonts w:ascii="Times New Roman" w:hAnsi="Times New Roman"/>
          <w:sz w:val="24"/>
          <w:szCs w:val="24"/>
        </w:rPr>
        <w:t xml:space="preserve">Table 1 presents the </w:t>
      </w:r>
      <w:r>
        <w:rPr>
          <w:rFonts w:ascii="Times New Roman" w:hAnsi="Times New Roman"/>
          <w:sz w:val="24"/>
          <w:szCs w:val="24"/>
        </w:rPr>
        <w:t>common</w:t>
      </w:r>
      <w:r w:rsidRPr="00B038A0">
        <w:rPr>
          <w:rFonts w:ascii="Times New Roman" w:hAnsi="Times New Roman"/>
          <w:sz w:val="24"/>
          <w:szCs w:val="24"/>
        </w:rPr>
        <w:t xml:space="preserve"> set-up of modules as part of a </w:t>
      </w:r>
      <w:r w:rsidRPr="00B038A0">
        <w:rPr>
          <w:rFonts w:ascii="Times New Roman" w:hAnsi="Times New Roman"/>
          <w:sz w:val="24"/>
          <w:szCs w:val="24"/>
          <w:u w:val="single"/>
        </w:rPr>
        <w:t>multi-topic household</w:t>
      </w:r>
      <w:r>
        <w:rPr>
          <w:rFonts w:ascii="Times New Roman" w:hAnsi="Times New Roman"/>
          <w:sz w:val="24"/>
          <w:szCs w:val="24"/>
          <w:u w:val="single"/>
        </w:rPr>
        <w:t>/agriculture</w:t>
      </w:r>
      <w:r w:rsidRPr="00B038A0">
        <w:rPr>
          <w:rFonts w:ascii="Times New Roman" w:hAnsi="Times New Roman"/>
          <w:sz w:val="24"/>
          <w:szCs w:val="24"/>
          <w:u w:val="single"/>
        </w:rPr>
        <w:t xml:space="preserve"> questionnaire</w:t>
      </w:r>
      <w:r w:rsidRPr="00B038A0">
        <w:rPr>
          <w:rFonts w:ascii="Times New Roman" w:hAnsi="Times New Roman"/>
          <w:sz w:val="24"/>
          <w:szCs w:val="24"/>
        </w:rPr>
        <w:t xml:space="preserve"> instrument for the purpose of </w:t>
      </w:r>
      <w:r w:rsidRPr="004B2054">
        <w:rPr>
          <w:rFonts w:ascii="Times New Roman" w:hAnsi="Times New Roman"/>
          <w:i/>
          <w:sz w:val="24"/>
          <w:szCs w:val="24"/>
        </w:rPr>
        <w:t>identifying</w:t>
      </w:r>
      <w:r w:rsidRPr="00B038A0">
        <w:rPr>
          <w:rFonts w:ascii="Times New Roman" w:hAnsi="Times New Roman"/>
          <w:sz w:val="24"/>
          <w:szCs w:val="24"/>
        </w:rPr>
        <w:t xml:space="preserve"> </w:t>
      </w:r>
      <w:r w:rsidRPr="00B038A0">
        <w:rPr>
          <w:rFonts w:ascii="Times New Roman" w:hAnsi="Times New Roman"/>
          <w:b/>
          <w:sz w:val="24"/>
          <w:szCs w:val="24"/>
        </w:rPr>
        <w:t>ALL</w:t>
      </w:r>
      <w:r w:rsidRPr="00B038A0">
        <w:rPr>
          <w:rFonts w:ascii="Times New Roman" w:hAnsi="Times New Roman"/>
          <w:sz w:val="24"/>
          <w:szCs w:val="24"/>
        </w:rPr>
        <w:t xml:space="preserve"> assets owned by any of the household members.</w:t>
      </w:r>
      <w:r>
        <w:rPr>
          <w:rFonts w:ascii="Times New Roman" w:hAnsi="Times New Roman"/>
          <w:sz w:val="24"/>
          <w:szCs w:val="24"/>
        </w:rPr>
        <w:t xml:space="preserve"> We are not yet delving into the individual-level ownership rights associated with each identified asset since the way this will be done will partially depend on the design of the experiment (i.e. whether it could be done as part of the household questionnaire or whether an individual questionnaire instrument will be called for). </w:t>
      </w:r>
    </w:p>
    <w:p w:rsidR="00E8236A" w:rsidRDefault="00E8236A" w:rsidP="006B33FA">
      <w:pPr>
        <w:spacing w:after="0"/>
        <w:jc w:val="both"/>
        <w:rPr>
          <w:rFonts w:ascii="Times New Roman" w:hAnsi="Times New Roman"/>
          <w:sz w:val="24"/>
          <w:szCs w:val="24"/>
        </w:rPr>
      </w:pPr>
    </w:p>
    <w:p w:rsidR="00E8236A" w:rsidRDefault="00E8236A" w:rsidP="006B33FA">
      <w:pPr>
        <w:spacing w:after="0"/>
        <w:jc w:val="both"/>
        <w:rPr>
          <w:rFonts w:ascii="Times New Roman" w:hAnsi="Times New Roman"/>
          <w:sz w:val="24"/>
          <w:szCs w:val="24"/>
        </w:rPr>
      </w:pPr>
      <w:r>
        <w:rPr>
          <w:rFonts w:ascii="Times New Roman" w:hAnsi="Times New Roman"/>
          <w:sz w:val="24"/>
          <w:szCs w:val="24"/>
        </w:rPr>
        <w:t xml:space="preserve">The first question is whether we need to ask about individual-level ownership rights to ALL types of assets. Depending on that, other specific questions may include whether </w:t>
      </w:r>
      <w:r w:rsidRPr="00B038A0">
        <w:rPr>
          <w:rFonts w:ascii="Times New Roman" w:hAnsi="Times New Roman"/>
          <w:sz w:val="24"/>
          <w:szCs w:val="24"/>
        </w:rPr>
        <w:t xml:space="preserve">jewelry </w:t>
      </w:r>
      <w:r>
        <w:rPr>
          <w:rFonts w:ascii="Times New Roman" w:hAnsi="Times New Roman"/>
          <w:sz w:val="24"/>
          <w:szCs w:val="24"/>
        </w:rPr>
        <w:t>should be</w:t>
      </w:r>
      <w:r w:rsidRPr="00B038A0">
        <w:rPr>
          <w:rFonts w:ascii="Times New Roman" w:hAnsi="Times New Roman"/>
          <w:sz w:val="24"/>
          <w:szCs w:val="24"/>
        </w:rPr>
        <w:t xml:space="preserve"> captured as part o</w:t>
      </w:r>
      <w:r>
        <w:rPr>
          <w:rFonts w:ascii="Times New Roman" w:hAnsi="Times New Roman"/>
          <w:sz w:val="24"/>
          <w:szCs w:val="24"/>
        </w:rPr>
        <w:t xml:space="preserve">f the durable goods module, </w:t>
      </w:r>
      <w:r w:rsidRPr="006B33FA">
        <w:rPr>
          <w:rFonts w:ascii="Times New Roman" w:hAnsi="Times New Roman"/>
          <w:sz w:val="24"/>
          <w:szCs w:val="24"/>
        </w:rPr>
        <w:t xml:space="preserve">whether the </w:t>
      </w:r>
      <w:r>
        <w:rPr>
          <w:rFonts w:ascii="Times New Roman" w:hAnsi="Times New Roman"/>
          <w:sz w:val="24"/>
          <w:szCs w:val="24"/>
        </w:rPr>
        <w:t xml:space="preserve">experiment </w:t>
      </w:r>
      <w:r w:rsidRPr="006B33FA">
        <w:rPr>
          <w:rFonts w:ascii="Times New Roman" w:hAnsi="Times New Roman"/>
          <w:sz w:val="24"/>
          <w:szCs w:val="24"/>
        </w:rPr>
        <w:t>questionnaire should feature a short module on ownership rights and management responsibilities in the context of household non-farm enterprises,</w:t>
      </w:r>
      <w:r>
        <w:rPr>
          <w:rFonts w:ascii="Times New Roman" w:hAnsi="Times New Roman"/>
          <w:sz w:val="24"/>
          <w:szCs w:val="24"/>
        </w:rPr>
        <w:t xml:space="preserve"> and whether there should be a separate module to </w:t>
      </w:r>
      <w:r w:rsidRPr="00B038A0">
        <w:rPr>
          <w:rFonts w:ascii="Times New Roman" w:hAnsi="Times New Roman"/>
          <w:sz w:val="24"/>
          <w:szCs w:val="24"/>
        </w:rPr>
        <w:t>capture household enterprise assets not captur</w:t>
      </w:r>
      <w:r>
        <w:rPr>
          <w:rFonts w:ascii="Times New Roman" w:hAnsi="Times New Roman"/>
          <w:sz w:val="24"/>
          <w:szCs w:val="24"/>
        </w:rPr>
        <w:t>ed in the durable goods module.</w:t>
      </w:r>
    </w:p>
    <w:p w:rsidR="00E8236A" w:rsidRDefault="00E8236A" w:rsidP="000D6B7C">
      <w:pPr>
        <w:spacing w:after="0"/>
        <w:jc w:val="both"/>
        <w:rPr>
          <w:rFonts w:ascii="Times New Roman" w:hAnsi="Times New Roman"/>
          <w:i/>
          <w:sz w:val="24"/>
          <w:szCs w:val="24"/>
        </w:rPr>
      </w:pPr>
    </w:p>
    <w:tbl>
      <w:tblPr>
        <w:tblW w:w="10044" w:type="dxa"/>
        <w:jc w:val="center"/>
        <w:tblInd w:w="93" w:type="dxa"/>
        <w:tblLook w:val="00A0"/>
      </w:tblPr>
      <w:tblGrid>
        <w:gridCol w:w="2034"/>
        <w:gridCol w:w="1428"/>
        <w:gridCol w:w="4710"/>
        <w:gridCol w:w="1872"/>
      </w:tblGrid>
      <w:tr w:rsidR="00E8236A" w:rsidRPr="00657878" w:rsidTr="004B2054">
        <w:trPr>
          <w:trHeight w:val="100"/>
          <w:jc w:val="center"/>
        </w:trPr>
        <w:tc>
          <w:tcPr>
            <w:tcW w:w="10044" w:type="dxa"/>
            <w:gridSpan w:val="4"/>
            <w:tcBorders>
              <w:top w:val="nil"/>
              <w:left w:val="nil"/>
              <w:bottom w:val="single" w:sz="4" w:space="0" w:color="auto"/>
              <w:right w:val="nil"/>
            </w:tcBorders>
          </w:tcPr>
          <w:p w:rsidR="00E8236A" w:rsidRPr="004B2054" w:rsidRDefault="00E8236A" w:rsidP="004B2054">
            <w:pPr>
              <w:spacing w:after="0" w:line="240" w:lineRule="auto"/>
              <w:jc w:val="center"/>
              <w:rPr>
                <w:rFonts w:ascii="Times New Roman" w:hAnsi="Times New Roman"/>
                <w:b/>
                <w:bCs/>
                <w:color w:val="000000"/>
                <w:sz w:val="20"/>
                <w:szCs w:val="20"/>
              </w:rPr>
            </w:pPr>
            <w:r w:rsidRPr="004B2054">
              <w:rPr>
                <w:rFonts w:ascii="Times New Roman" w:hAnsi="Times New Roman"/>
                <w:b/>
                <w:bCs/>
                <w:color w:val="000000"/>
                <w:sz w:val="20"/>
                <w:szCs w:val="20"/>
              </w:rPr>
              <w:t>Table 1: Common Set Up of Survey Modules Identifying Assets Owned by Household Members</w:t>
            </w:r>
          </w:p>
        </w:tc>
      </w:tr>
      <w:tr w:rsidR="00E8236A" w:rsidRPr="00657878" w:rsidTr="004B2054">
        <w:trPr>
          <w:trHeight w:val="100"/>
          <w:jc w:val="center"/>
        </w:trPr>
        <w:tc>
          <w:tcPr>
            <w:tcW w:w="2034" w:type="dxa"/>
            <w:tcBorders>
              <w:top w:val="nil"/>
              <w:left w:val="nil"/>
              <w:bottom w:val="nil"/>
              <w:right w:val="nil"/>
            </w:tcBorders>
          </w:tcPr>
          <w:p w:rsidR="00E8236A" w:rsidRPr="004B2054" w:rsidRDefault="00E8236A" w:rsidP="004B2054">
            <w:pPr>
              <w:spacing w:after="0" w:line="240" w:lineRule="auto"/>
              <w:rPr>
                <w:rFonts w:ascii="Times New Roman" w:hAnsi="Times New Roman"/>
                <w:b/>
                <w:bCs/>
                <w:color w:val="000000"/>
                <w:sz w:val="20"/>
                <w:szCs w:val="20"/>
              </w:rPr>
            </w:pPr>
            <w:r w:rsidRPr="004B2054">
              <w:rPr>
                <w:rFonts w:ascii="Times New Roman" w:hAnsi="Times New Roman"/>
                <w:b/>
                <w:bCs/>
                <w:color w:val="000000"/>
                <w:sz w:val="20"/>
                <w:szCs w:val="20"/>
              </w:rPr>
              <w:t xml:space="preserve">Asset Type </w:t>
            </w:r>
          </w:p>
        </w:tc>
        <w:tc>
          <w:tcPr>
            <w:tcW w:w="1428" w:type="dxa"/>
            <w:tcBorders>
              <w:top w:val="nil"/>
              <w:left w:val="nil"/>
              <w:bottom w:val="nil"/>
              <w:right w:val="nil"/>
            </w:tcBorders>
          </w:tcPr>
          <w:p w:rsidR="00E8236A" w:rsidRPr="004B2054" w:rsidRDefault="00E8236A" w:rsidP="004B2054">
            <w:pPr>
              <w:spacing w:after="0" w:line="240" w:lineRule="auto"/>
              <w:rPr>
                <w:rFonts w:ascii="Times New Roman" w:hAnsi="Times New Roman"/>
                <w:b/>
                <w:bCs/>
                <w:color w:val="000000"/>
                <w:sz w:val="20"/>
                <w:szCs w:val="20"/>
              </w:rPr>
            </w:pPr>
            <w:r w:rsidRPr="004B2054">
              <w:rPr>
                <w:rFonts w:ascii="Times New Roman" w:hAnsi="Times New Roman"/>
                <w:b/>
                <w:bCs/>
                <w:color w:val="000000"/>
                <w:sz w:val="20"/>
                <w:szCs w:val="20"/>
              </w:rPr>
              <w:t>Survey Questionnaire</w:t>
            </w:r>
          </w:p>
        </w:tc>
        <w:tc>
          <w:tcPr>
            <w:tcW w:w="4710" w:type="dxa"/>
            <w:tcBorders>
              <w:top w:val="nil"/>
              <w:left w:val="nil"/>
              <w:bottom w:val="nil"/>
              <w:right w:val="nil"/>
            </w:tcBorders>
          </w:tcPr>
          <w:p w:rsidR="00E8236A" w:rsidRPr="004B2054" w:rsidRDefault="00E8236A" w:rsidP="004B2054">
            <w:pPr>
              <w:spacing w:after="0" w:line="240" w:lineRule="auto"/>
              <w:rPr>
                <w:rFonts w:ascii="Times New Roman" w:hAnsi="Times New Roman"/>
                <w:b/>
                <w:bCs/>
                <w:color w:val="000000"/>
                <w:sz w:val="20"/>
                <w:szCs w:val="20"/>
              </w:rPr>
            </w:pPr>
            <w:r w:rsidRPr="004B2054">
              <w:rPr>
                <w:rFonts w:ascii="Times New Roman" w:hAnsi="Times New Roman"/>
                <w:b/>
                <w:bCs/>
                <w:color w:val="000000"/>
                <w:sz w:val="20"/>
                <w:szCs w:val="20"/>
              </w:rPr>
              <w:t>Questionnaire Module</w:t>
            </w:r>
          </w:p>
        </w:tc>
        <w:tc>
          <w:tcPr>
            <w:tcW w:w="1872" w:type="dxa"/>
            <w:tcBorders>
              <w:top w:val="nil"/>
              <w:left w:val="nil"/>
              <w:bottom w:val="nil"/>
              <w:right w:val="nil"/>
            </w:tcBorders>
          </w:tcPr>
          <w:p w:rsidR="00E8236A" w:rsidRPr="004B2054" w:rsidRDefault="00E8236A" w:rsidP="004B2054">
            <w:pPr>
              <w:spacing w:after="0" w:line="240" w:lineRule="auto"/>
              <w:rPr>
                <w:rFonts w:ascii="Times New Roman" w:hAnsi="Times New Roman"/>
                <w:b/>
                <w:bCs/>
                <w:color w:val="000000"/>
                <w:sz w:val="20"/>
                <w:szCs w:val="20"/>
              </w:rPr>
            </w:pPr>
            <w:r w:rsidRPr="004B2054">
              <w:rPr>
                <w:rFonts w:ascii="Times New Roman" w:hAnsi="Times New Roman"/>
                <w:b/>
                <w:bCs/>
                <w:color w:val="000000"/>
                <w:sz w:val="20"/>
                <w:szCs w:val="20"/>
              </w:rPr>
              <w:t>Unit of Analysis</w:t>
            </w:r>
          </w:p>
        </w:tc>
      </w:tr>
      <w:tr w:rsidR="00E8236A" w:rsidRPr="00657878" w:rsidTr="004B2054">
        <w:trPr>
          <w:trHeight w:val="100"/>
          <w:jc w:val="center"/>
        </w:trPr>
        <w:tc>
          <w:tcPr>
            <w:tcW w:w="2034" w:type="dxa"/>
            <w:tcBorders>
              <w:top w:val="single" w:sz="4" w:space="0" w:color="auto"/>
              <w:left w:val="nil"/>
              <w:bottom w:val="single" w:sz="4" w:space="0" w:color="auto"/>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 xml:space="preserve">Current Residence/Dwelling Unit </w:t>
            </w:r>
          </w:p>
        </w:tc>
        <w:tc>
          <w:tcPr>
            <w:tcW w:w="1428" w:type="dxa"/>
            <w:tcBorders>
              <w:top w:val="single" w:sz="4" w:space="0" w:color="auto"/>
              <w:left w:val="nil"/>
              <w:bottom w:val="single" w:sz="4" w:space="0" w:color="auto"/>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w:t>
            </w:r>
          </w:p>
        </w:tc>
        <w:tc>
          <w:tcPr>
            <w:tcW w:w="4710" w:type="dxa"/>
            <w:tcBorders>
              <w:top w:val="single" w:sz="4" w:space="0" w:color="auto"/>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Housing</w:t>
            </w:r>
          </w:p>
        </w:tc>
        <w:tc>
          <w:tcPr>
            <w:tcW w:w="1872" w:type="dxa"/>
            <w:tcBorders>
              <w:top w:val="single" w:sz="4" w:space="0" w:color="auto"/>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w:t>
            </w:r>
          </w:p>
        </w:tc>
      </w:tr>
      <w:tr w:rsidR="00E8236A" w:rsidRPr="00657878" w:rsidTr="004B2054">
        <w:trPr>
          <w:trHeight w:val="256"/>
          <w:jc w:val="center"/>
        </w:trPr>
        <w:tc>
          <w:tcPr>
            <w:tcW w:w="2034"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 Durables</w:t>
            </w:r>
          </w:p>
        </w:tc>
        <w:tc>
          <w:tcPr>
            <w:tcW w:w="1428"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w:t>
            </w:r>
          </w:p>
        </w:tc>
        <w:tc>
          <w:tcPr>
            <w:tcW w:w="4710" w:type="dxa"/>
            <w:tcBorders>
              <w:top w:val="nil"/>
              <w:left w:val="nil"/>
              <w:bottom w:val="nil"/>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b/>
                <w:bCs/>
                <w:color w:val="000000"/>
                <w:sz w:val="20"/>
                <w:szCs w:val="20"/>
              </w:rPr>
              <w:t>Durable Goods - Filter Module:</w:t>
            </w:r>
            <w:r w:rsidRPr="004B2054">
              <w:rPr>
                <w:rFonts w:ascii="Times New Roman" w:hAnsi="Times New Roman"/>
                <w:color w:val="000000"/>
                <w:sz w:val="20"/>
                <w:szCs w:val="20"/>
              </w:rPr>
              <w:t xml:space="preserve"> Closed list of durable good categories for identifying current number owned by any of the household members in each category</w:t>
            </w:r>
          </w:p>
        </w:tc>
        <w:tc>
          <w:tcPr>
            <w:tcW w:w="1872" w:type="dxa"/>
            <w:tcBorders>
              <w:top w:val="nil"/>
              <w:left w:val="nil"/>
              <w:bottom w:val="nil"/>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Household-Durable Good Category</w:t>
            </w:r>
          </w:p>
        </w:tc>
      </w:tr>
      <w:tr w:rsidR="00E8236A" w:rsidRPr="00657878" w:rsidTr="004B2054">
        <w:trPr>
          <w:trHeight w:val="256"/>
          <w:jc w:val="center"/>
        </w:trPr>
        <w:tc>
          <w:tcPr>
            <w:tcW w:w="2034"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1428"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4710"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b/>
                <w:bCs/>
                <w:color w:val="000000"/>
                <w:sz w:val="20"/>
                <w:szCs w:val="20"/>
              </w:rPr>
              <w:t xml:space="preserve">Durable Goods - Asset Registry: </w:t>
            </w:r>
            <w:r w:rsidRPr="004B2054">
              <w:rPr>
                <w:rFonts w:ascii="Times New Roman" w:hAnsi="Times New Roman"/>
                <w:color w:val="000000"/>
                <w:sz w:val="20"/>
                <w:szCs w:val="20"/>
              </w:rPr>
              <w:t>Open list of each durable good currently owned by any of the household members</w:t>
            </w:r>
          </w:p>
        </w:tc>
        <w:tc>
          <w:tcPr>
            <w:tcW w:w="1872"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Household-Durable Good</w:t>
            </w:r>
          </w:p>
        </w:tc>
      </w:tr>
      <w:tr w:rsidR="00E8236A" w:rsidRPr="00657878" w:rsidTr="004B2054">
        <w:trPr>
          <w:trHeight w:val="256"/>
          <w:jc w:val="center"/>
        </w:trPr>
        <w:tc>
          <w:tcPr>
            <w:tcW w:w="2034"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Other Apartment/House; Non-Agricultural Land</w:t>
            </w:r>
          </w:p>
        </w:tc>
        <w:tc>
          <w:tcPr>
            <w:tcW w:w="1428"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w:t>
            </w:r>
          </w:p>
        </w:tc>
        <w:tc>
          <w:tcPr>
            <w:tcW w:w="4710" w:type="dxa"/>
            <w:tcBorders>
              <w:top w:val="nil"/>
              <w:left w:val="nil"/>
              <w:bottom w:val="nil"/>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b/>
                <w:bCs/>
                <w:color w:val="000000"/>
                <w:sz w:val="20"/>
                <w:szCs w:val="20"/>
              </w:rPr>
              <w:t>Other Assets - Filter Module:</w:t>
            </w:r>
            <w:r w:rsidRPr="004B2054">
              <w:rPr>
                <w:rFonts w:ascii="Times New Roman" w:hAnsi="Times New Roman"/>
                <w:color w:val="000000"/>
                <w:sz w:val="20"/>
                <w:szCs w:val="20"/>
              </w:rPr>
              <w:t xml:space="preserve"> Closed list of other asset categories for identifying current number owned by any of the household members in each category</w:t>
            </w:r>
          </w:p>
        </w:tc>
        <w:tc>
          <w:tcPr>
            <w:tcW w:w="1872" w:type="dxa"/>
            <w:tcBorders>
              <w:top w:val="nil"/>
              <w:left w:val="nil"/>
              <w:bottom w:val="nil"/>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Household-Other Asset Category</w:t>
            </w:r>
          </w:p>
        </w:tc>
      </w:tr>
      <w:tr w:rsidR="00E8236A" w:rsidRPr="00657878" w:rsidTr="004B2054">
        <w:trPr>
          <w:trHeight w:val="256"/>
          <w:jc w:val="center"/>
        </w:trPr>
        <w:tc>
          <w:tcPr>
            <w:tcW w:w="2034"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1428"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4710"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b/>
                <w:bCs/>
                <w:color w:val="000000"/>
                <w:sz w:val="20"/>
                <w:szCs w:val="20"/>
              </w:rPr>
              <w:t xml:space="preserve">Other Assets - Asset Registry: </w:t>
            </w:r>
            <w:r w:rsidRPr="004B2054">
              <w:rPr>
                <w:rFonts w:ascii="Times New Roman" w:hAnsi="Times New Roman"/>
                <w:color w:val="000000"/>
                <w:sz w:val="20"/>
                <w:szCs w:val="20"/>
              </w:rPr>
              <w:t>Open list of each of the other assets currently owned by any of the household members</w:t>
            </w:r>
          </w:p>
        </w:tc>
        <w:tc>
          <w:tcPr>
            <w:tcW w:w="1872"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Household-Other Asset</w:t>
            </w:r>
          </w:p>
        </w:tc>
      </w:tr>
      <w:tr w:rsidR="00E8236A" w:rsidRPr="00657878" w:rsidTr="004B2054">
        <w:trPr>
          <w:trHeight w:val="256"/>
          <w:jc w:val="center"/>
        </w:trPr>
        <w:tc>
          <w:tcPr>
            <w:tcW w:w="2034"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Financial Assets</w:t>
            </w:r>
          </w:p>
        </w:tc>
        <w:tc>
          <w:tcPr>
            <w:tcW w:w="1428"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w:t>
            </w:r>
          </w:p>
        </w:tc>
        <w:tc>
          <w:tcPr>
            <w:tcW w:w="4710" w:type="dxa"/>
            <w:tcBorders>
              <w:top w:val="nil"/>
              <w:left w:val="nil"/>
              <w:bottom w:val="nil"/>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b/>
                <w:bCs/>
                <w:color w:val="000000"/>
                <w:sz w:val="20"/>
                <w:szCs w:val="20"/>
              </w:rPr>
              <w:t>Financial Assets - Filter Module:</w:t>
            </w:r>
            <w:r w:rsidRPr="004B2054">
              <w:rPr>
                <w:rFonts w:ascii="Times New Roman" w:hAnsi="Times New Roman"/>
                <w:color w:val="000000"/>
                <w:sz w:val="20"/>
                <w:szCs w:val="20"/>
              </w:rPr>
              <w:t xml:space="preserve"> Closed list of financial asset categories for identifying current number owned by any of the household members in each category</w:t>
            </w:r>
          </w:p>
        </w:tc>
        <w:tc>
          <w:tcPr>
            <w:tcW w:w="1872" w:type="dxa"/>
            <w:tcBorders>
              <w:top w:val="nil"/>
              <w:left w:val="nil"/>
              <w:bottom w:val="nil"/>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Household-Financial Asset Category</w:t>
            </w:r>
          </w:p>
        </w:tc>
      </w:tr>
      <w:tr w:rsidR="00E8236A" w:rsidRPr="00657878" w:rsidTr="004B2054">
        <w:trPr>
          <w:trHeight w:val="256"/>
          <w:jc w:val="center"/>
        </w:trPr>
        <w:tc>
          <w:tcPr>
            <w:tcW w:w="2034"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1428"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4710"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b/>
                <w:bCs/>
                <w:color w:val="000000"/>
                <w:sz w:val="20"/>
                <w:szCs w:val="20"/>
              </w:rPr>
              <w:t>Financial Assets</w:t>
            </w:r>
            <w:r>
              <w:rPr>
                <w:rFonts w:ascii="Times New Roman" w:hAnsi="Times New Roman"/>
                <w:b/>
                <w:bCs/>
                <w:color w:val="000000"/>
                <w:sz w:val="20"/>
                <w:szCs w:val="20"/>
              </w:rPr>
              <w:t xml:space="preserve"> and Liabilities</w:t>
            </w:r>
            <w:r w:rsidRPr="004B2054">
              <w:rPr>
                <w:rFonts w:ascii="Times New Roman" w:hAnsi="Times New Roman"/>
                <w:b/>
                <w:bCs/>
                <w:color w:val="000000"/>
                <w:sz w:val="20"/>
                <w:szCs w:val="20"/>
              </w:rPr>
              <w:t xml:space="preserve"> - Asset Registry: </w:t>
            </w:r>
            <w:r w:rsidRPr="004B2054">
              <w:rPr>
                <w:rFonts w:ascii="Times New Roman" w:hAnsi="Times New Roman"/>
                <w:color w:val="000000"/>
                <w:sz w:val="20"/>
                <w:szCs w:val="20"/>
              </w:rPr>
              <w:t>Open list of each financial asset currently owned by any of the household members</w:t>
            </w:r>
            <w:r>
              <w:rPr>
                <w:rFonts w:ascii="Times New Roman" w:hAnsi="Times New Roman"/>
                <w:color w:val="000000"/>
                <w:sz w:val="20"/>
                <w:szCs w:val="20"/>
              </w:rPr>
              <w:t>, as well as loans given and taken out</w:t>
            </w:r>
          </w:p>
        </w:tc>
        <w:tc>
          <w:tcPr>
            <w:tcW w:w="1872"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Household-Financial Asset</w:t>
            </w:r>
          </w:p>
        </w:tc>
      </w:tr>
      <w:tr w:rsidR="00E8236A" w:rsidRPr="00657878" w:rsidTr="004B2054">
        <w:trPr>
          <w:trHeight w:val="341"/>
          <w:jc w:val="center"/>
        </w:trPr>
        <w:tc>
          <w:tcPr>
            <w:tcW w:w="2034"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Agricultural Land</w:t>
            </w:r>
          </w:p>
        </w:tc>
        <w:tc>
          <w:tcPr>
            <w:tcW w:w="1428"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Agriculture</w:t>
            </w:r>
          </w:p>
        </w:tc>
        <w:tc>
          <w:tcPr>
            <w:tcW w:w="4710" w:type="dxa"/>
            <w:tcBorders>
              <w:top w:val="nil"/>
              <w:left w:val="nil"/>
              <w:bottom w:val="nil"/>
              <w:right w:val="nil"/>
            </w:tcBorders>
          </w:tcPr>
          <w:p w:rsidR="00E8236A" w:rsidRPr="004B2054" w:rsidRDefault="00E8236A" w:rsidP="004B2054">
            <w:pPr>
              <w:spacing w:after="0" w:line="240" w:lineRule="auto"/>
              <w:rPr>
                <w:rFonts w:ascii="Times New Roman" w:hAnsi="Times New Roman"/>
                <w:b/>
                <w:bCs/>
                <w:color w:val="000000"/>
                <w:sz w:val="20"/>
                <w:szCs w:val="20"/>
              </w:rPr>
            </w:pPr>
            <w:r w:rsidRPr="004B2054">
              <w:rPr>
                <w:rFonts w:ascii="Times New Roman" w:hAnsi="Times New Roman"/>
                <w:b/>
                <w:bCs/>
                <w:color w:val="000000"/>
                <w:sz w:val="20"/>
                <w:szCs w:val="20"/>
              </w:rPr>
              <w:t xml:space="preserve">Parcel Roster - Main Season: </w:t>
            </w:r>
            <w:r w:rsidRPr="004B2054">
              <w:rPr>
                <w:rFonts w:ascii="Times New Roman" w:hAnsi="Times New Roman"/>
                <w:color w:val="000000"/>
                <w:sz w:val="20"/>
                <w:szCs w:val="20"/>
              </w:rPr>
              <w:t>Open list of each parcel owned and/or cultivated by any of the household members in the main reference agricultural season, identification of the tenure status of each parcel.</w:t>
            </w:r>
          </w:p>
        </w:tc>
        <w:tc>
          <w:tcPr>
            <w:tcW w:w="1872" w:type="dxa"/>
            <w:tcBorders>
              <w:top w:val="nil"/>
              <w:left w:val="nil"/>
              <w:bottom w:val="nil"/>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Household-Parcel</w:t>
            </w:r>
          </w:p>
        </w:tc>
      </w:tr>
      <w:tr w:rsidR="00E8236A" w:rsidRPr="00657878" w:rsidTr="004B2054">
        <w:trPr>
          <w:trHeight w:val="512"/>
          <w:jc w:val="center"/>
        </w:trPr>
        <w:tc>
          <w:tcPr>
            <w:tcW w:w="2034"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1428"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4710"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b/>
                <w:bCs/>
                <w:color w:val="000000"/>
                <w:sz w:val="20"/>
                <w:szCs w:val="20"/>
              </w:rPr>
            </w:pPr>
            <w:r w:rsidRPr="004B2054">
              <w:rPr>
                <w:rFonts w:ascii="Times New Roman" w:hAnsi="Times New Roman"/>
                <w:b/>
                <w:bCs/>
                <w:color w:val="000000"/>
                <w:sz w:val="20"/>
                <w:szCs w:val="20"/>
              </w:rPr>
              <w:t xml:space="preserve">Parcel Roster - Secondary Season: </w:t>
            </w:r>
            <w:r w:rsidRPr="004B2054">
              <w:rPr>
                <w:rFonts w:ascii="Times New Roman" w:hAnsi="Times New Roman"/>
                <w:color w:val="000000"/>
                <w:sz w:val="20"/>
                <w:szCs w:val="20"/>
              </w:rPr>
              <w:t>Open list of each ADDITIONAL parcel owned and/or cultivated by any of the household members in the secondary reference agricultural season that is NOT listed in the parcel roster for main reference agricultural season, identification of the tenure status of each parcel.</w:t>
            </w:r>
          </w:p>
        </w:tc>
        <w:tc>
          <w:tcPr>
            <w:tcW w:w="1872"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Household-Parcel</w:t>
            </w:r>
          </w:p>
        </w:tc>
      </w:tr>
      <w:tr w:rsidR="00E8236A" w:rsidRPr="00657878" w:rsidTr="004B2054">
        <w:trPr>
          <w:trHeight w:val="341"/>
          <w:jc w:val="center"/>
        </w:trPr>
        <w:tc>
          <w:tcPr>
            <w:tcW w:w="2034"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Agricultural Equipment</w:t>
            </w:r>
          </w:p>
        </w:tc>
        <w:tc>
          <w:tcPr>
            <w:tcW w:w="1428" w:type="dxa"/>
            <w:vMerge w:val="restart"/>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Agriculture</w:t>
            </w:r>
          </w:p>
        </w:tc>
        <w:tc>
          <w:tcPr>
            <w:tcW w:w="4710" w:type="dxa"/>
            <w:tcBorders>
              <w:top w:val="nil"/>
              <w:left w:val="nil"/>
              <w:bottom w:val="nil"/>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b/>
                <w:bCs/>
                <w:color w:val="000000"/>
                <w:sz w:val="20"/>
                <w:szCs w:val="20"/>
              </w:rPr>
              <w:t>Agricultural Implements - Filter Module:</w:t>
            </w:r>
            <w:r w:rsidRPr="004B2054">
              <w:rPr>
                <w:rFonts w:ascii="Times New Roman" w:hAnsi="Times New Roman"/>
                <w:color w:val="000000"/>
                <w:sz w:val="20"/>
                <w:szCs w:val="20"/>
              </w:rPr>
              <w:t xml:space="preserve"> Closed list of agricultural implement categories for identifying current number owned by any of the household members in each category</w:t>
            </w:r>
          </w:p>
        </w:tc>
        <w:tc>
          <w:tcPr>
            <w:tcW w:w="1872" w:type="dxa"/>
            <w:tcBorders>
              <w:top w:val="nil"/>
              <w:left w:val="nil"/>
              <w:bottom w:val="nil"/>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w:t>
            </w:r>
            <w:r>
              <w:rPr>
                <w:rFonts w:ascii="Times New Roman" w:hAnsi="Times New Roman"/>
                <w:color w:val="000000"/>
                <w:sz w:val="20"/>
                <w:szCs w:val="20"/>
              </w:rPr>
              <w:t xml:space="preserve">- Agricultural Equipment </w:t>
            </w:r>
            <w:r w:rsidRPr="004B2054">
              <w:rPr>
                <w:rFonts w:ascii="Times New Roman" w:hAnsi="Times New Roman"/>
                <w:color w:val="000000"/>
                <w:sz w:val="20"/>
                <w:szCs w:val="20"/>
              </w:rPr>
              <w:t>Category</w:t>
            </w:r>
          </w:p>
        </w:tc>
      </w:tr>
      <w:tr w:rsidR="00E8236A" w:rsidRPr="00657878" w:rsidTr="004B2054">
        <w:trPr>
          <w:trHeight w:val="256"/>
          <w:jc w:val="center"/>
        </w:trPr>
        <w:tc>
          <w:tcPr>
            <w:tcW w:w="2034"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1428" w:type="dxa"/>
            <w:vMerge/>
            <w:tcBorders>
              <w:top w:val="nil"/>
              <w:left w:val="nil"/>
              <w:bottom w:val="single" w:sz="4" w:space="0" w:color="000000"/>
              <w:right w:val="nil"/>
            </w:tcBorders>
            <w:vAlign w:val="center"/>
          </w:tcPr>
          <w:p w:rsidR="00E8236A" w:rsidRPr="004B2054" w:rsidRDefault="00E8236A" w:rsidP="004B2054">
            <w:pPr>
              <w:spacing w:after="0" w:line="240" w:lineRule="auto"/>
              <w:rPr>
                <w:rFonts w:ascii="Times New Roman" w:hAnsi="Times New Roman"/>
                <w:color w:val="000000"/>
                <w:sz w:val="20"/>
                <w:szCs w:val="20"/>
              </w:rPr>
            </w:pPr>
          </w:p>
        </w:tc>
        <w:tc>
          <w:tcPr>
            <w:tcW w:w="4710"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b/>
                <w:bCs/>
                <w:color w:val="000000"/>
                <w:sz w:val="20"/>
                <w:szCs w:val="20"/>
              </w:rPr>
              <w:t xml:space="preserve">Agricultural Implements- Asset Registry: </w:t>
            </w:r>
            <w:r w:rsidRPr="004B2054">
              <w:rPr>
                <w:rFonts w:ascii="Times New Roman" w:hAnsi="Times New Roman"/>
                <w:color w:val="000000"/>
                <w:sz w:val="20"/>
                <w:szCs w:val="20"/>
              </w:rPr>
              <w:t>Open list of each agricultural implement currently owned by any of the household members</w:t>
            </w:r>
          </w:p>
        </w:tc>
        <w:tc>
          <w:tcPr>
            <w:tcW w:w="1872"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w:t>
            </w:r>
            <w:r>
              <w:rPr>
                <w:rFonts w:ascii="Times New Roman" w:hAnsi="Times New Roman"/>
                <w:color w:val="000000"/>
                <w:sz w:val="20"/>
                <w:szCs w:val="20"/>
              </w:rPr>
              <w:t>Agricultural Equipment</w:t>
            </w:r>
          </w:p>
        </w:tc>
      </w:tr>
      <w:tr w:rsidR="00E8236A" w:rsidRPr="00657878" w:rsidTr="004B2054">
        <w:trPr>
          <w:trHeight w:val="256"/>
          <w:jc w:val="center"/>
        </w:trPr>
        <w:tc>
          <w:tcPr>
            <w:tcW w:w="2034"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Livestock</w:t>
            </w:r>
          </w:p>
        </w:tc>
        <w:tc>
          <w:tcPr>
            <w:tcW w:w="1428"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Agriculture</w:t>
            </w:r>
          </w:p>
        </w:tc>
        <w:tc>
          <w:tcPr>
            <w:tcW w:w="4710"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b/>
                <w:bCs/>
                <w:color w:val="000000"/>
                <w:sz w:val="20"/>
                <w:szCs w:val="20"/>
              </w:rPr>
              <w:t xml:space="preserve">Animal Group Roster: </w:t>
            </w:r>
            <w:r w:rsidRPr="004B2054">
              <w:rPr>
                <w:rFonts w:ascii="Times New Roman" w:hAnsi="Times New Roman"/>
                <w:color w:val="000000"/>
                <w:sz w:val="20"/>
                <w:szCs w:val="20"/>
              </w:rPr>
              <w:t>Closed list of animal groups for identifying current number owned by any of the household members.</w:t>
            </w:r>
          </w:p>
        </w:tc>
        <w:tc>
          <w:tcPr>
            <w:tcW w:w="1872" w:type="dxa"/>
            <w:tcBorders>
              <w:top w:val="nil"/>
              <w:left w:val="nil"/>
              <w:bottom w:val="single" w:sz="4" w:space="0" w:color="auto"/>
              <w:right w:val="nil"/>
            </w:tcBorders>
          </w:tcPr>
          <w:p w:rsidR="00E8236A" w:rsidRPr="004B2054" w:rsidRDefault="00E8236A" w:rsidP="004B2054">
            <w:pPr>
              <w:spacing w:after="0" w:line="240" w:lineRule="auto"/>
              <w:rPr>
                <w:rFonts w:ascii="Times New Roman" w:hAnsi="Times New Roman"/>
                <w:color w:val="000000"/>
                <w:sz w:val="20"/>
                <w:szCs w:val="20"/>
              </w:rPr>
            </w:pPr>
            <w:r w:rsidRPr="004B2054">
              <w:rPr>
                <w:rFonts w:ascii="Times New Roman" w:hAnsi="Times New Roman"/>
                <w:color w:val="000000"/>
                <w:sz w:val="20"/>
                <w:szCs w:val="20"/>
              </w:rPr>
              <w:t>Household-Animal Group</w:t>
            </w:r>
          </w:p>
        </w:tc>
      </w:tr>
    </w:tbl>
    <w:p w:rsidR="00E8236A" w:rsidRDefault="00E8236A" w:rsidP="000D6B7C">
      <w:pPr>
        <w:spacing w:after="0"/>
        <w:jc w:val="both"/>
        <w:rPr>
          <w:rFonts w:ascii="Times New Roman" w:hAnsi="Times New Roman"/>
          <w:i/>
          <w:sz w:val="24"/>
          <w:szCs w:val="24"/>
        </w:rPr>
      </w:pPr>
    </w:p>
    <w:p w:rsidR="00E8236A" w:rsidRDefault="00E8236A" w:rsidP="000D6B7C">
      <w:pPr>
        <w:spacing w:after="0"/>
        <w:jc w:val="both"/>
        <w:rPr>
          <w:rFonts w:ascii="Times New Roman" w:hAnsi="Times New Roman"/>
          <w:i/>
          <w:sz w:val="24"/>
          <w:szCs w:val="24"/>
        </w:rPr>
      </w:pPr>
    </w:p>
    <w:p w:rsidR="00E8236A" w:rsidRPr="0008711D" w:rsidRDefault="00E8236A" w:rsidP="000D6B7C">
      <w:pPr>
        <w:spacing w:after="0"/>
        <w:jc w:val="both"/>
        <w:rPr>
          <w:rFonts w:ascii="Times New Roman" w:hAnsi="Times New Roman"/>
          <w:sz w:val="24"/>
          <w:szCs w:val="24"/>
          <w:u w:val="single"/>
        </w:rPr>
      </w:pPr>
      <w:r w:rsidRPr="0008711D">
        <w:rPr>
          <w:rFonts w:ascii="Times New Roman" w:hAnsi="Times New Roman"/>
          <w:i/>
          <w:sz w:val="24"/>
          <w:szCs w:val="24"/>
          <w:u w:val="single"/>
        </w:rPr>
        <w:t>Given the assets of interest, what should be the draft minimum set of questions beyond “Who owns…” that need to be included in the questionnaires to deduce ownership rights</w:t>
      </w:r>
      <w:r w:rsidRPr="0008711D">
        <w:rPr>
          <w:rFonts w:ascii="Times New Roman" w:hAnsi="Times New Roman"/>
          <w:sz w:val="24"/>
          <w:szCs w:val="24"/>
          <w:u w:val="single"/>
        </w:rPr>
        <w:t>?</w:t>
      </w:r>
    </w:p>
    <w:p w:rsidR="00E8236A" w:rsidRDefault="00E8236A" w:rsidP="000D6B7C">
      <w:pPr>
        <w:spacing w:after="0"/>
        <w:jc w:val="both"/>
        <w:rPr>
          <w:rFonts w:ascii="Times New Roman" w:hAnsi="Times New Roman"/>
          <w:sz w:val="24"/>
          <w:szCs w:val="24"/>
        </w:rPr>
      </w:pPr>
    </w:p>
    <w:p w:rsidR="00E8236A" w:rsidRDefault="00E8236A" w:rsidP="000D6B7C">
      <w:pPr>
        <w:spacing w:after="0"/>
        <w:jc w:val="both"/>
        <w:rPr>
          <w:rFonts w:ascii="Times New Roman" w:hAnsi="Times New Roman"/>
          <w:sz w:val="24"/>
          <w:szCs w:val="24"/>
        </w:rPr>
      </w:pPr>
      <w:r>
        <w:rPr>
          <w:rFonts w:ascii="Times New Roman" w:hAnsi="Times New Roman"/>
          <w:sz w:val="24"/>
          <w:szCs w:val="24"/>
        </w:rPr>
        <w:t xml:space="preserve">This will be important for </w:t>
      </w:r>
      <w:r w:rsidRPr="00B038A0">
        <w:rPr>
          <w:rFonts w:ascii="Times New Roman" w:hAnsi="Times New Roman"/>
          <w:sz w:val="24"/>
          <w:szCs w:val="24"/>
        </w:rPr>
        <w:t>verify</w:t>
      </w:r>
      <w:r>
        <w:rPr>
          <w:rFonts w:ascii="Times New Roman" w:hAnsi="Times New Roman"/>
          <w:sz w:val="24"/>
          <w:szCs w:val="24"/>
        </w:rPr>
        <w:t>ing</w:t>
      </w:r>
      <w:r w:rsidRPr="00B038A0">
        <w:rPr>
          <w:rFonts w:ascii="Times New Roman" w:hAnsi="Times New Roman"/>
          <w:sz w:val="24"/>
          <w:szCs w:val="24"/>
        </w:rPr>
        <w:t xml:space="preserve"> the internal consistency of reporting </w:t>
      </w:r>
      <w:r>
        <w:rPr>
          <w:rFonts w:ascii="Times New Roman" w:hAnsi="Times New Roman"/>
          <w:sz w:val="24"/>
          <w:szCs w:val="24"/>
        </w:rPr>
        <w:t>(</w:t>
      </w:r>
      <w:r w:rsidRPr="00B038A0">
        <w:rPr>
          <w:rFonts w:ascii="Times New Roman" w:hAnsi="Times New Roman"/>
          <w:sz w:val="24"/>
          <w:szCs w:val="24"/>
        </w:rPr>
        <w:t xml:space="preserve">with respect to a theoretical framework), particularly in instances where formal </w:t>
      </w:r>
      <w:r>
        <w:rPr>
          <w:rFonts w:ascii="Times New Roman" w:hAnsi="Times New Roman"/>
          <w:sz w:val="24"/>
          <w:szCs w:val="24"/>
        </w:rPr>
        <w:t>documentation is not available.</w:t>
      </w:r>
    </w:p>
    <w:p w:rsidR="00E8236A" w:rsidRDefault="00E8236A" w:rsidP="000D6B7C">
      <w:pPr>
        <w:spacing w:after="0"/>
        <w:jc w:val="both"/>
        <w:rPr>
          <w:rFonts w:ascii="Times New Roman" w:hAnsi="Times New Roman"/>
          <w:sz w:val="24"/>
          <w:szCs w:val="24"/>
        </w:rPr>
      </w:pPr>
    </w:p>
    <w:p w:rsidR="00E8236A" w:rsidRDefault="00E8236A" w:rsidP="00B84EF0">
      <w:pPr>
        <w:spacing w:after="0"/>
        <w:jc w:val="both"/>
        <w:rPr>
          <w:rFonts w:ascii="Times New Roman" w:hAnsi="Times New Roman"/>
          <w:i/>
          <w:sz w:val="24"/>
          <w:szCs w:val="24"/>
        </w:rPr>
      </w:pPr>
      <w:r w:rsidRPr="0008711D">
        <w:rPr>
          <w:rFonts w:ascii="Times New Roman" w:hAnsi="Times New Roman"/>
          <w:i/>
          <w:sz w:val="24"/>
          <w:szCs w:val="24"/>
          <w:u w:val="single"/>
        </w:rPr>
        <w:t>Who to interview, for what purpose, what would be the gold standard for that purpose?</w:t>
      </w:r>
      <w:r>
        <w:rPr>
          <w:rFonts w:ascii="Times New Roman" w:hAnsi="Times New Roman"/>
          <w:i/>
          <w:sz w:val="24"/>
          <w:szCs w:val="24"/>
        </w:rPr>
        <w:t xml:space="preserve"> </w:t>
      </w:r>
    </w:p>
    <w:p w:rsidR="00E8236A" w:rsidRDefault="00E8236A" w:rsidP="00B84EF0">
      <w:pPr>
        <w:spacing w:after="0"/>
        <w:jc w:val="both"/>
        <w:rPr>
          <w:rFonts w:ascii="Times New Roman" w:hAnsi="Times New Roman"/>
          <w:i/>
          <w:sz w:val="24"/>
          <w:szCs w:val="24"/>
        </w:rPr>
      </w:pPr>
    </w:p>
    <w:p w:rsidR="00E8236A" w:rsidRPr="00AC0344" w:rsidRDefault="00E8236A" w:rsidP="00B84EF0">
      <w:pPr>
        <w:spacing w:after="0"/>
        <w:jc w:val="both"/>
        <w:rPr>
          <w:rFonts w:ascii="Times New Roman" w:hAnsi="Times New Roman"/>
          <w:i/>
          <w:sz w:val="24"/>
          <w:szCs w:val="24"/>
        </w:rPr>
      </w:pPr>
      <w:r>
        <w:rPr>
          <w:rFonts w:ascii="Times New Roman" w:hAnsi="Times New Roman"/>
          <w:sz w:val="24"/>
          <w:szCs w:val="24"/>
        </w:rPr>
        <w:t>One of the objectives of the EDGE project is to produce methodological guidelines on measuring asset ownership from a gender perspective, which can be integrated by national statistical offices into their regular production of gender statistics. The EDGE project also will help formulate, and provide guidance on producing, statistics for the two ownership-related indicators (</w:t>
      </w:r>
      <w:r w:rsidRPr="00E6600B">
        <w:rPr>
          <w:rFonts w:ascii="Times New Roman" w:hAnsi="Times New Roman"/>
          <w:sz w:val="24"/>
          <w:szCs w:val="24"/>
        </w:rPr>
        <w:t>Proportion of adult</w:t>
      </w:r>
      <w:r>
        <w:rPr>
          <w:rFonts w:ascii="Times New Roman" w:hAnsi="Times New Roman"/>
          <w:sz w:val="24"/>
          <w:szCs w:val="24"/>
        </w:rPr>
        <w:t xml:space="preserve"> population owning land, by sex;</w:t>
      </w:r>
      <w:r w:rsidRPr="00E6600B">
        <w:rPr>
          <w:rFonts w:ascii="Times New Roman" w:hAnsi="Times New Roman"/>
          <w:sz w:val="24"/>
          <w:szCs w:val="24"/>
        </w:rPr>
        <w:t xml:space="preserve"> and proportion of fir</w:t>
      </w:r>
      <w:r>
        <w:rPr>
          <w:rFonts w:ascii="Times New Roman" w:hAnsi="Times New Roman"/>
          <w:sz w:val="24"/>
          <w:szCs w:val="24"/>
        </w:rPr>
        <w:t xml:space="preserve">ms owned by women, by size) within the Minimum Set of Gender Indicators, approved by the UN Statistical Commission in 2013. </w:t>
      </w:r>
      <w:r w:rsidRPr="0008711D">
        <w:rPr>
          <w:rFonts w:ascii="Times New Roman" w:hAnsi="Times New Roman"/>
          <w:sz w:val="24"/>
          <w:szCs w:val="24"/>
        </w:rPr>
        <w:t xml:space="preserve">Currently </w:t>
      </w:r>
      <w:r>
        <w:rPr>
          <w:rFonts w:ascii="Times New Roman" w:hAnsi="Times New Roman"/>
          <w:sz w:val="24"/>
          <w:szCs w:val="24"/>
        </w:rPr>
        <w:t>b</w:t>
      </w:r>
      <w:r w:rsidRPr="00E729C0">
        <w:rPr>
          <w:rFonts w:ascii="Times New Roman" w:hAnsi="Times New Roman"/>
          <w:sz w:val="24"/>
          <w:szCs w:val="24"/>
        </w:rPr>
        <w:t xml:space="preserve">oth </w:t>
      </w:r>
      <w:r>
        <w:rPr>
          <w:rFonts w:ascii="Times New Roman" w:hAnsi="Times New Roman"/>
          <w:sz w:val="24"/>
          <w:szCs w:val="24"/>
        </w:rPr>
        <w:t xml:space="preserve">indicators </w:t>
      </w:r>
      <w:r w:rsidRPr="00E729C0">
        <w:rPr>
          <w:rFonts w:ascii="Times New Roman" w:hAnsi="Times New Roman"/>
          <w:sz w:val="24"/>
          <w:szCs w:val="24"/>
        </w:rPr>
        <w:t>are classified as Tier</w:t>
      </w:r>
      <w:r>
        <w:rPr>
          <w:rFonts w:ascii="Times New Roman" w:hAnsi="Times New Roman"/>
          <w:sz w:val="24"/>
          <w:szCs w:val="24"/>
        </w:rPr>
        <w:t>-III</w:t>
      </w:r>
      <w:r w:rsidRPr="00E729C0">
        <w:rPr>
          <w:rFonts w:ascii="Times New Roman" w:hAnsi="Times New Roman"/>
          <w:sz w:val="24"/>
          <w:szCs w:val="24"/>
        </w:rPr>
        <w:t xml:space="preserve"> (i.e. indicators for which international standards still need to be developed and </w:t>
      </w:r>
      <w:r>
        <w:rPr>
          <w:rFonts w:ascii="Times New Roman" w:hAnsi="Times New Roman"/>
          <w:sz w:val="24"/>
          <w:szCs w:val="24"/>
        </w:rPr>
        <w:t xml:space="preserve">which are </w:t>
      </w:r>
      <w:r w:rsidRPr="00E729C0">
        <w:rPr>
          <w:rFonts w:ascii="Times New Roman" w:hAnsi="Times New Roman"/>
          <w:sz w:val="24"/>
          <w:szCs w:val="24"/>
        </w:rPr>
        <w:t>not regularly produced by countries).</w:t>
      </w:r>
      <w:r w:rsidRPr="0086032A">
        <w:rPr>
          <w:rStyle w:val="FootnoteReference"/>
          <w:rFonts w:ascii="Times New Roman" w:hAnsi="Times New Roman"/>
          <w:sz w:val="24"/>
          <w:szCs w:val="24"/>
        </w:rPr>
        <w:footnoteReference w:id="2"/>
      </w:r>
      <w:r>
        <w:rPr>
          <w:rFonts w:ascii="Times New Roman" w:hAnsi="Times New Roman"/>
          <w:sz w:val="24"/>
          <w:szCs w:val="24"/>
        </w:rPr>
        <w:t xml:space="preserve"> The EDGE project will help move these two Tier-III indicators into the group of Tier-II indicators.  </w:t>
      </w:r>
    </w:p>
    <w:p w:rsidR="00E8236A" w:rsidRDefault="00E8236A" w:rsidP="000D6B7C">
      <w:pPr>
        <w:spacing w:after="0"/>
        <w:jc w:val="both"/>
        <w:rPr>
          <w:rFonts w:ascii="Times New Roman" w:hAnsi="Times New Roman"/>
          <w:sz w:val="24"/>
          <w:szCs w:val="24"/>
        </w:rPr>
      </w:pPr>
    </w:p>
    <w:p w:rsidR="00E8236A" w:rsidRDefault="00E8236A" w:rsidP="000D6B7C">
      <w:pPr>
        <w:spacing w:after="0"/>
        <w:jc w:val="both"/>
        <w:rPr>
          <w:rFonts w:ascii="Times New Roman" w:hAnsi="Times New Roman"/>
          <w:sz w:val="24"/>
          <w:szCs w:val="24"/>
        </w:rPr>
      </w:pPr>
      <w:r>
        <w:rPr>
          <w:rFonts w:ascii="Times New Roman" w:hAnsi="Times New Roman"/>
          <w:sz w:val="24"/>
          <w:szCs w:val="24"/>
        </w:rPr>
        <w:t xml:space="preserve">The experiment is currently proposed as having multiple scenarios that will NOT vary in terms of (i) the initial identification of ALL assets owned by any of the household members (i.e. the range of survey modules capturing asset ownership – see below), and (ii) the range of the subsequent questions identifying the household members with ownership rights to the registered assets (the exact sequence and scope is yet to be determined). The scenarios will vary in terms of the selection of the respondents identifying the household members with ownership rights to the registered assets in each module. </w:t>
      </w:r>
    </w:p>
    <w:p w:rsidR="00E8236A" w:rsidRDefault="00E8236A" w:rsidP="000D6B7C">
      <w:pPr>
        <w:spacing w:after="0"/>
        <w:jc w:val="both"/>
        <w:rPr>
          <w:rFonts w:ascii="Times New Roman" w:hAnsi="Times New Roman"/>
          <w:sz w:val="24"/>
          <w:szCs w:val="24"/>
        </w:rPr>
      </w:pPr>
    </w:p>
    <w:p w:rsidR="00E8236A" w:rsidRDefault="00E8236A" w:rsidP="000D6B7C">
      <w:pPr>
        <w:spacing w:after="0"/>
        <w:jc w:val="both"/>
        <w:rPr>
          <w:rFonts w:ascii="Times New Roman" w:hAnsi="Times New Roman"/>
          <w:sz w:val="24"/>
          <w:szCs w:val="24"/>
        </w:rPr>
      </w:pPr>
      <w:r>
        <w:rPr>
          <w:rFonts w:ascii="Times New Roman" w:hAnsi="Times New Roman"/>
          <w:sz w:val="24"/>
          <w:szCs w:val="24"/>
        </w:rPr>
        <w:t>The following five scenarios are being proposed. Each scenario will be used in a distinct group of households in the same survey. At the end of the experiment, aggregated results on ownership by sex from each scenario will be compared to help decide on the optimal and sustainable interview settings to be implemented by the EDGE project. The five interviewing scenarios are:</w:t>
      </w:r>
    </w:p>
    <w:p w:rsidR="00E8236A" w:rsidRDefault="00E8236A" w:rsidP="000D6B7C">
      <w:pPr>
        <w:spacing w:after="0"/>
        <w:jc w:val="both"/>
        <w:rPr>
          <w:rFonts w:ascii="Times New Roman" w:hAnsi="Times New Roman"/>
          <w:sz w:val="24"/>
          <w:szCs w:val="24"/>
        </w:rPr>
      </w:pPr>
    </w:p>
    <w:p w:rsidR="00E8236A" w:rsidRDefault="00E8236A" w:rsidP="00B038A0">
      <w:pPr>
        <w:pStyle w:val="ListParagraph"/>
        <w:numPr>
          <w:ilvl w:val="0"/>
          <w:numId w:val="5"/>
        </w:numPr>
        <w:spacing w:after="0"/>
        <w:jc w:val="both"/>
        <w:rPr>
          <w:rFonts w:ascii="Times New Roman" w:hAnsi="Times New Roman"/>
          <w:sz w:val="24"/>
          <w:szCs w:val="24"/>
        </w:rPr>
      </w:pPr>
      <w:r w:rsidRPr="00B038A0">
        <w:rPr>
          <w:rFonts w:ascii="Times New Roman" w:hAnsi="Times New Roman"/>
          <w:sz w:val="24"/>
          <w:szCs w:val="24"/>
        </w:rPr>
        <w:t>Primary adult respondent (self-identified, deemed as the most knowledgeable household member)  asked to identify (i) ALL assets owned by any of the household members, (ii) household members with ownership rights to the registered assets: The usual LSMS practice that may involve multiple individuals during the course of the interviews depending on the module.</w:t>
      </w:r>
    </w:p>
    <w:p w:rsidR="00E8236A" w:rsidRDefault="00E8236A" w:rsidP="0008711D">
      <w:pPr>
        <w:pStyle w:val="ListParagraph"/>
        <w:spacing w:after="0"/>
        <w:ind w:left="360"/>
        <w:jc w:val="both"/>
        <w:rPr>
          <w:rFonts w:ascii="Times New Roman" w:hAnsi="Times New Roman"/>
          <w:sz w:val="24"/>
          <w:szCs w:val="24"/>
        </w:rPr>
      </w:pPr>
    </w:p>
    <w:p w:rsidR="00E8236A" w:rsidRDefault="00E8236A" w:rsidP="0008711D">
      <w:pPr>
        <w:pStyle w:val="ListParagraph"/>
        <w:numPr>
          <w:ilvl w:val="0"/>
          <w:numId w:val="5"/>
        </w:numPr>
        <w:spacing w:after="0"/>
        <w:jc w:val="both"/>
        <w:rPr>
          <w:rFonts w:ascii="Times New Roman" w:hAnsi="Times New Roman"/>
          <w:sz w:val="24"/>
          <w:szCs w:val="24"/>
        </w:rPr>
      </w:pPr>
      <w:r w:rsidRPr="00B038A0">
        <w:rPr>
          <w:rFonts w:ascii="Times New Roman" w:hAnsi="Times New Roman"/>
          <w:sz w:val="24"/>
          <w:szCs w:val="24"/>
        </w:rPr>
        <w:t xml:space="preserve">ALL adult household respondents </w:t>
      </w:r>
      <w:r w:rsidRPr="00B038A0">
        <w:rPr>
          <w:rFonts w:ascii="Times New Roman" w:hAnsi="Times New Roman"/>
          <w:i/>
          <w:sz w:val="24"/>
          <w:szCs w:val="24"/>
        </w:rPr>
        <w:t>together</w:t>
      </w:r>
      <w:r w:rsidRPr="00B038A0">
        <w:rPr>
          <w:rFonts w:ascii="Times New Roman" w:hAnsi="Times New Roman"/>
          <w:sz w:val="24"/>
          <w:szCs w:val="24"/>
        </w:rPr>
        <w:t xml:space="preserve"> during the interview, a singular answer is converged upon, the group is asked to collectively identify (i) ALL assets owned by any of the household members, (ii) household members with ownership rights to the registered assets</w:t>
      </w:r>
      <w:r>
        <w:rPr>
          <w:rFonts w:ascii="Times New Roman" w:hAnsi="Times New Roman"/>
          <w:sz w:val="24"/>
          <w:szCs w:val="24"/>
        </w:rPr>
        <w:t>.</w:t>
      </w:r>
    </w:p>
    <w:p w:rsidR="00E8236A" w:rsidRDefault="00E8236A" w:rsidP="00B51AAC">
      <w:pPr>
        <w:pStyle w:val="ListParagraph"/>
        <w:spacing w:after="0"/>
        <w:ind w:left="360"/>
        <w:jc w:val="both"/>
      </w:pPr>
      <w:r>
        <w:rPr>
          <w:rFonts w:ascii="Times New Roman" w:hAnsi="Times New Roman"/>
          <w:sz w:val="24"/>
          <w:szCs w:val="24"/>
        </w:rPr>
        <w:t xml:space="preserve"> </w:t>
      </w:r>
    </w:p>
    <w:p w:rsidR="00E8236A" w:rsidRDefault="00E8236A" w:rsidP="00023802">
      <w:pPr>
        <w:pStyle w:val="ListParagraph"/>
        <w:numPr>
          <w:ilvl w:val="0"/>
          <w:numId w:val="5"/>
        </w:numPr>
        <w:spacing w:after="0"/>
        <w:jc w:val="both"/>
        <w:rPr>
          <w:rFonts w:ascii="Times New Roman" w:hAnsi="Times New Roman"/>
          <w:sz w:val="24"/>
          <w:szCs w:val="24"/>
        </w:rPr>
      </w:pPr>
      <w:r w:rsidRPr="00023802">
        <w:rPr>
          <w:rFonts w:ascii="Times New Roman" w:hAnsi="Times New Roman"/>
          <w:sz w:val="24"/>
          <w:szCs w:val="24"/>
        </w:rPr>
        <w:t xml:space="preserve">Primary male and primary female respondent (self-identified in accordance with the module), interviewed </w:t>
      </w:r>
      <w:r w:rsidRPr="00023802">
        <w:rPr>
          <w:rFonts w:ascii="Times New Roman" w:hAnsi="Times New Roman"/>
          <w:i/>
          <w:sz w:val="24"/>
          <w:szCs w:val="24"/>
        </w:rPr>
        <w:t xml:space="preserve">separately, </w:t>
      </w:r>
      <w:r w:rsidRPr="00023802">
        <w:rPr>
          <w:rFonts w:ascii="Times New Roman" w:hAnsi="Times New Roman"/>
          <w:sz w:val="24"/>
          <w:szCs w:val="24"/>
        </w:rPr>
        <w:t>asked individually to identify (i) ALL assets owned by any of the household members, (ii) household members with ownership rights to the registered assets.</w:t>
      </w:r>
      <w:r>
        <w:rPr>
          <w:rStyle w:val="FootnoteReference"/>
          <w:rFonts w:ascii="Times New Roman" w:hAnsi="Times New Roman"/>
          <w:sz w:val="24"/>
          <w:szCs w:val="24"/>
        </w:rPr>
        <w:footnoteReference w:id="3"/>
      </w:r>
      <w:r w:rsidRPr="00023802">
        <w:rPr>
          <w:rFonts w:ascii="Times New Roman" w:hAnsi="Times New Roman"/>
          <w:sz w:val="24"/>
          <w:szCs w:val="24"/>
        </w:rPr>
        <w:t xml:space="preserve"> </w:t>
      </w:r>
    </w:p>
    <w:p w:rsidR="00E8236A" w:rsidRDefault="00E8236A" w:rsidP="004B2054">
      <w:pPr>
        <w:pStyle w:val="ListParagraph"/>
        <w:spacing w:after="0"/>
        <w:jc w:val="both"/>
        <w:rPr>
          <w:rFonts w:ascii="Times New Roman" w:hAnsi="Times New Roman"/>
          <w:sz w:val="24"/>
          <w:szCs w:val="24"/>
        </w:rPr>
      </w:pPr>
    </w:p>
    <w:p w:rsidR="00E8236A" w:rsidRPr="00023802" w:rsidRDefault="00E8236A" w:rsidP="00023802">
      <w:pPr>
        <w:pStyle w:val="ListParagraph"/>
        <w:numPr>
          <w:ilvl w:val="0"/>
          <w:numId w:val="5"/>
        </w:numPr>
        <w:spacing w:after="0"/>
        <w:jc w:val="both"/>
        <w:rPr>
          <w:rFonts w:ascii="Times New Roman" w:hAnsi="Times New Roman"/>
          <w:sz w:val="24"/>
          <w:szCs w:val="24"/>
        </w:rPr>
      </w:pPr>
      <w:r w:rsidRPr="00023802">
        <w:rPr>
          <w:rFonts w:ascii="Times New Roman" w:hAnsi="Times New Roman"/>
          <w:sz w:val="24"/>
          <w:szCs w:val="24"/>
        </w:rPr>
        <w:t xml:space="preserve">Primary male and primary female respondent (self-identified in accordance with the module), interviewed </w:t>
      </w:r>
      <w:r w:rsidRPr="00023802">
        <w:rPr>
          <w:rFonts w:ascii="Times New Roman" w:hAnsi="Times New Roman"/>
          <w:i/>
          <w:sz w:val="24"/>
          <w:szCs w:val="24"/>
        </w:rPr>
        <w:t xml:space="preserve">together, </w:t>
      </w:r>
      <w:r w:rsidRPr="00023802">
        <w:rPr>
          <w:rFonts w:ascii="Times New Roman" w:hAnsi="Times New Roman"/>
          <w:sz w:val="24"/>
          <w:szCs w:val="24"/>
        </w:rPr>
        <w:t>asked to collectively identify (i) ALL assets owned by any of the household members, (ii) household members with ownership rights to the registered assets (similar to approach 2 above).</w:t>
      </w:r>
    </w:p>
    <w:p w:rsidR="00E8236A" w:rsidRDefault="00E8236A" w:rsidP="002721EB">
      <w:pPr>
        <w:spacing w:after="0"/>
        <w:jc w:val="both"/>
        <w:rPr>
          <w:rFonts w:ascii="Times New Roman" w:hAnsi="Times New Roman"/>
          <w:sz w:val="24"/>
          <w:szCs w:val="24"/>
        </w:rPr>
      </w:pPr>
    </w:p>
    <w:p w:rsidR="00E8236A" w:rsidRDefault="00E8236A" w:rsidP="000D6B7C">
      <w:pPr>
        <w:pStyle w:val="ListParagraph"/>
        <w:numPr>
          <w:ilvl w:val="0"/>
          <w:numId w:val="5"/>
        </w:numPr>
        <w:spacing w:after="0"/>
        <w:jc w:val="both"/>
        <w:rPr>
          <w:rFonts w:ascii="Times New Roman" w:hAnsi="Times New Roman"/>
          <w:sz w:val="24"/>
          <w:szCs w:val="24"/>
        </w:rPr>
      </w:pPr>
      <w:r w:rsidRPr="00023802">
        <w:rPr>
          <w:rFonts w:ascii="Times New Roman" w:hAnsi="Times New Roman"/>
          <w:sz w:val="24"/>
          <w:szCs w:val="24"/>
        </w:rPr>
        <w:t xml:space="preserve">An adult household member </w:t>
      </w:r>
      <w:r w:rsidRPr="00023802">
        <w:rPr>
          <w:rFonts w:ascii="Times New Roman" w:hAnsi="Times New Roman"/>
          <w:i/>
          <w:sz w:val="24"/>
          <w:szCs w:val="24"/>
        </w:rPr>
        <w:t>randomly selected</w:t>
      </w:r>
      <w:r w:rsidRPr="00023802">
        <w:rPr>
          <w:rFonts w:ascii="Times New Roman" w:hAnsi="Times New Roman"/>
          <w:sz w:val="24"/>
          <w:szCs w:val="24"/>
        </w:rPr>
        <w:t xml:space="preserve"> from the pool of ALL adult household members asked to identify (i) ALL assets owned by any of the household members, (ii) household members with ownership rights to the registered assets. </w:t>
      </w:r>
    </w:p>
    <w:p w:rsidR="00E8236A" w:rsidRPr="00AC0344" w:rsidRDefault="00E8236A" w:rsidP="00AC0344">
      <w:pPr>
        <w:spacing w:after="0"/>
        <w:jc w:val="both"/>
        <w:rPr>
          <w:rFonts w:ascii="Times New Roman" w:hAnsi="Times New Roman"/>
          <w:sz w:val="24"/>
          <w:szCs w:val="24"/>
        </w:rPr>
      </w:pPr>
    </w:p>
    <w:p w:rsidR="00E8236A" w:rsidRDefault="00E8236A" w:rsidP="00023802">
      <w:pPr>
        <w:spacing w:after="0"/>
        <w:jc w:val="both"/>
        <w:rPr>
          <w:rFonts w:ascii="Times New Roman" w:hAnsi="Times New Roman"/>
          <w:i/>
          <w:sz w:val="24"/>
          <w:szCs w:val="24"/>
        </w:rPr>
      </w:pPr>
      <w:r w:rsidRPr="0008711D">
        <w:rPr>
          <w:rFonts w:ascii="Times New Roman" w:hAnsi="Times New Roman"/>
          <w:i/>
          <w:sz w:val="24"/>
          <w:szCs w:val="24"/>
          <w:u w:val="single"/>
        </w:rPr>
        <w:t>What type of interview metadata to collect, if any?</w:t>
      </w:r>
      <w:r>
        <w:rPr>
          <w:rFonts w:ascii="Times New Roman" w:hAnsi="Times New Roman"/>
          <w:i/>
          <w:sz w:val="24"/>
          <w:szCs w:val="24"/>
        </w:rPr>
        <w:t xml:space="preserve">: </w:t>
      </w:r>
    </w:p>
    <w:p w:rsidR="00E8236A" w:rsidRDefault="00E8236A" w:rsidP="00023802">
      <w:pPr>
        <w:spacing w:after="0"/>
        <w:jc w:val="both"/>
        <w:rPr>
          <w:rFonts w:ascii="Times New Roman" w:hAnsi="Times New Roman"/>
          <w:i/>
          <w:sz w:val="24"/>
          <w:szCs w:val="24"/>
        </w:rPr>
      </w:pPr>
    </w:p>
    <w:p w:rsidR="00E8236A" w:rsidRPr="001A3A36" w:rsidRDefault="00E8236A" w:rsidP="002D6325">
      <w:pPr>
        <w:spacing w:after="0"/>
        <w:jc w:val="both"/>
      </w:pPr>
      <w:r>
        <w:rPr>
          <w:rFonts w:ascii="Times New Roman" w:hAnsi="Times New Roman"/>
          <w:sz w:val="24"/>
          <w:szCs w:val="24"/>
        </w:rPr>
        <w:t>The proposal is</w:t>
      </w:r>
      <w:r w:rsidRPr="00023802">
        <w:rPr>
          <w:rFonts w:ascii="Times New Roman" w:hAnsi="Times New Roman"/>
          <w:sz w:val="24"/>
          <w:szCs w:val="24"/>
        </w:rPr>
        <w:t xml:space="preserve"> to collect metadata on the date, start and end time and respondent for each module and identify other household members that may have been present during the module administration. Other aspects of metadata collection that should be part of the questionnaire design?</w:t>
      </w:r>
    </w:p>
    <w:sectPr w:rsidR="00E8236A" w:rsidRPr="001A3A36" w:rsidSect="00F225A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36A" w:rsidRDefault="00E8236A" w:rsidP="00723955">
      <w:pPr>
        <w:spacing w:after="0" w:line="240" w:lineRule="auto"/>
      </w:pPr>
      <w:r>
        <w:separator/>
      </w:r>
    </w:p>
  </w:endnote>
  <w:endnote w:type="continuationSeparator" w:id="0">
    <w:p w:rsidR="00E8236A" w:rsidRDefault="00E8236A" w:rsidP="00723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6A" w:rsidRPr="00B800FA" w:rsidRDefault="00E8236A">
    <w:pPr>
      <w:pStyle w:val="Footer"/>
      <w:jc w:val="right"/>
      <w:rPr>
        <w:rFonts w:ascii="Times New Roman" w:hAnsi="Times New Roman"/>
        <w:sz w:val="20"/>
        <w:szCs w:val="20"/>
      </w:rPr>
    </w:pPr>
    <w:r w:rsidRPr="00B800FA">
      <w:rPr>
        <w:rFonts w:ascii="Times New Roman" w:hAnsi="Times New Roman"/>
        <w:sz w:val="20"/>
        <w:szCs w:val="20"/>
      </w:rPr>
      <w:fldChar w:fldCharType="begin"/>
    </w:r>
    <w:r w:rsidRPr="00B800FA">
      <w:rPr>
        <w:rFonts w:ascii="Times New Roman" w:hAnsi="Times New Roman"/>
        <w:sz w:val="20"/>
        <w:szCs w:val="20"/>
      </w:rPr>
      <w:instrText xml:space="preserve"> PAGE   \* MERGEFORMAT </w:instrText>
    </w:r>
    <w:r w:rsidRPr="00B800FA">
      <w:rPr>
        <w:rFonts w:ascii="Times New Roman" w:hAnsi="Times New Roman"/>
        <w:sz w:val="20"/>
        <w:szCs w:val="20"/>
      </w:rPr>
      <w:fldChar w:fldCharType="separate"/>
    </w:r>
    <w:r>
      <w:rPr>
        <w:rFonts w:ascii="Times New Roman" w:hAnsi="Times New Roman"/>
        <w:noProof/>
        <w:sz w:val="20"/>
        <w:szCs w:val="20"/>
      </w:rPr>
      <w:t>1</w:t>
    </w:r>
    <w:r w:rsidRPr="00B800FA">
      <w:rPr>
        <w:rFonts w:ascii="Times New Roman" w:hAnsi="Times New Roman"/>
        <w:sz w:val="20"/>
        <w:szCs w:val="20"/>
      </w:rPr>
      <w:fldChar w:fldCharType="end"/>
    </w:r>
  </w:p>
  <w:p w:rsidR="00E8236A" w:rsidRPr="00B800FA" w:rsidRDefault="00E8236A">
    <w:pPr>
      <w:pStyle w:val="Foo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36A" w:rsidRDefault="00E8236A" w:rsidP="00723955">
      <w:pPr>
        <w:spacing w:after="0" w:line="240" w:lineRule="auto"/>
      </w:pPr>
      <w:r>
        <w:separator/>
      </w:r>
    </w:p>
  </w:footnote>
  <w:footnote w:type="continuationSeparator" w:id="0">
    <w:p w:rsidR="00E8236A" w:rsidRDefault="00E8236A" w:rsidP="00723955">
      <w:pPr>
        <w:spacing w:after="0" w:line="240" w:lineRule="auto"/>
      </w:pPr>
      <w:r>
        <w:continuationSeparator/>
      </w:r>
    </w:p>
  </w:footnote>
  <w:footnote w:id="1">
    <w:p w:rsidR="00E8236A" w:rsidRDefault="00E8236A" w:rsidP="00023802">
      <w:pPr>
        <w:spacing w:after="0" w:line="240" w:lineRule="auto"/>
        <w:jc w:val="both"/>
      </w:pPr>
      <w:r w:rsidRPr="00023802">
        <w:rPr>
          <w:rStyle w:val="FootnoteReference"/>
          <w:rFonts w:ascii="Times New Roman" w:hAnsi="Times New Roman"/>
          <w:sz w:val="20"/>
          <w:szCs w:val="20"/>
        </w:rPr>
        <w:footnoteRef/>
      </w:r>
      <w:r w:rsidRPr="00023802">
        <w:rPr>
          <w:rFonts w:ascii="Times New Roman" w:hAnsi="Times New Roman"/>
          <w:sz w:val="20"/>
          <w:szCs w:val="20"/>
        </w:rPr>
        <w:t xml:space="preserve"> The </w:t>
      </w:r>
      <w:r w:rsidRPr="00023802">
        <w:rPr>
          <w:rFonts w:ascii="Times New Roman" w:hAnsi="Times New Roman"/>
          <w:b/>
          <w:bCs/>
          <w:sz w:val="20"/>
          <w:szCs w:val="20"/>
        </w:rPr>
        <w:t xml:space="preserve">EDGE </w:t>
      </w:r>
      <w:r w:rsidRPr="00023802">
        <w:rPr>
          <w:rFonts w:ascii="Times New Roman" w:hAnsi="Times New Roman"/>
          <w:sz w:val="20"/>
          <w:szCs w:val="20"/>
        </w:rPr>
        <w:t>project is executed jointly by the UNSD and the United Nations Entity for Gender Equality and the Empowerment of Women (UN-Women) and seeks to accelerate existing efforts to generate comparable gender indicators on health, education, employment, entrepreneurship, and asset ownership. The project focuses on (i) the development of a platform for international data and metadata compilation covering education, employment and health indicators, (ii) the development of international definitions and methods for measuring gender-disaggregated entrepreneurship and asset ownership, and (iii) testing the newly developed methods in selected countries. The project is guided by a steering committee composed of national statistical offices that are members of the Inter-agency and Expert Group on Gender Statistics, regional commissions, regional development banks, and key international agencies in the development of gender statistics, including the World Bank and OECD.</w:t>
      </w:r>
    </w:p>
  </w:footnote>
  <w:footnote w:id="2">
    <w:p w:rsidR="00E8236A" w:rsidRDefault="00E8236A" w:rsidP="00023802">
      <w:pPr>
        <w:spacing w:after="0" w:line="240" w:lineRule="auto"/>
        <w:jc w:val="both"/>
      </w:pPr>
      <w:r w:rsidRPr="00023802">
        <w:rPr>
          <w:rStyle w:val="FootnoteReference"/>
          <w:rFonts w:ascii="Times New Roman" w:hAnsi="Times New Roman"/>
          <w:sz w:val="20"/>
          <w:szCs w:val="20"/>
        </w:rPr>
        <w:footnoteRef/>
      </w:r>
      <w:r w:rsidRPr="00023802">
        <w:rPr>
          <w:rFonts w:ascii="Times New Roman" w:hAnsi="Times New Roman"/>
          <w:sz w:val="20"/>
          <w:szCs w:val="20"/>
        </w:rPr>
        <w:t xml:space="preserve"> Tier</w:t>
      </w:r>
      <w:r>
        <w:rPr>
          <w:rFonts w:ascii="Times New Roman" w:hAnsi="Times New Roman"/>
          <w:sz w:val="20"/>
          <w:szCs w:val="20"/>
        </w:rPr>
        <w:t>-II</w:t>
      </w:r>
      <w:r w:rsidRPr="00023802">
        <w:rPr>
          <w:rFonts w:ascii="Times New Roman" w:hAnsi="Times New Roman"/>
          <w:sz w:val="20"/>
          <w:szCs w:val="20"/>
        </w:rPr>
        <w:t xml:space="preserve"> includes indicators that are conceptually clear with an agreed international definition but that are not yet regularly produced by countries, and Tier</w:t>
      </w:r>
      <w:r>
        <w:rPr>
          <w:rFonts w:ascii="Times New Roman" w:hAnsi="Times New Roman"/>
          <w:sz w:val="20"/>
          <w:szCs w:val="20"/>
        </w:rPr>
        <w:t>-I</w:t>
      </w:r>
      <w:r w:rsidRPr="00023802">
        <w:rPr>
          <w:rFonts w:ascii="Times New Roman" w:hAnsi="Times New Roman"/>
          <w:sz w:val="20"/>
          <w:szCs w:val="20"/>
        </w:rPr>
        <w:t xml:space="preserve">  includes indicators that conceptually clear with an agreed international definition and that are regularly produced by countries.</w:t>
      </w:r>
    </w:p>
  </w:footnote>
  <w:footnote w:id="3">
    <w:p w:rsidR="00E8236A" w:rsidRDefault="00E8236A" w:rsidP="00023802">
      <w:pPr>
        <w:spacing w:after="0" w:line="240" w:lineRule="auto"/>
        <w:jc w:val="both"/>
      </w:pPr>
      <w:r w:rsidRPr="00023802">
        <w:rPr>
          <w:rStyle w:val="FootnoteReference"/>
          <w:rFonts w:ascii="Times New Roman" w:hAnsi="Times New Roman"/>
          <w:sz w:val="20"/>
          <w:szCs w:val="20"/>
        </w:rPr>
        <w:footnoteRef/>
      </w:r>
      <w:r w:rsidRPr="00023802">
        <w:rPr>
          <w:rFonts w:ascii="Times New Roman" w:hAnsi="Times New Roman"/>
          <w:sz w:val="20"/>
          <w:szCs w:val="20"/>
        </w:rPr>
        <w:t xml:space="preserve"> For instance, the WEAI-linked surveys attempt to interview primary and secondary respondents separately. The primary and secondary respondents are self-identified as the primary members responsible for the decision making, both social and economic, within the household. They are usually husband and wife, however can also be another member as long as there is one male and one female aged 18 and over. It may also be the case that there is only a primary respondent if that person is a female and there is no adult male present in the household, or vice versa.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E0989"/>
    <w:multiLevelType w:val="hybridMultilevel"/>
    <w:tmpl w:val="713C9D6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B474B5D"/>
    <w:multiLevelType w:val="hybridMultilevel"/>
    <w:tmpl w:val="56BC0576"/>
    <w:lvl w:ilvl="0" w:tplc="7CE0191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31546A7"/>
    <w:multiLevelType w:val="hybridMultilevel"/>
    <w:tmpl w:val="2D8CB7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C3C6B17"/>
    <w:multiLevelType w:val="hybridMultilevel"/>
    <w:tmpl w:val="624A50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5E001DD"/>
    <w:multiLevelType w:val="hybridMultilevel"/>
    <w:tmpl w:val="472CD09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9F824E7"/>
    <w:multiLevelType w:val="hybridMultilevel"/>
    <w:tmpl w:val="B87A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53DD5"/>
    <w:multiLevelType w:val="hybridMultilevel"/>
    <w:tmpl w:val="B6F8F59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D1217C"/>
    <w:multiLevelType w:val="hybridMultilevel"/>
    <w:tmpl w:val="B7A84E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1EE0DD3"/>
    <w:multiLevelType w:val="hybridMultilevel"/>
    <w:tmpl w:val="0568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955"/>
    <w:rsid w:val="000109D1"/>
    <w:rsid w:val="00023802"/>
    <w:rsid w:val="00030794"/>
    <w:rsid w:val="00031D24"/>
    <w:rsid w:val="000370B2"/>
    <w:rsid w:val="0004562E"/>
    <w:rsid w:val="000506C5"/>
    <w:rsid w:val="00051620"/>
    <w:rsid w:val="000518C6"/>
    <w:rsid w:val="00052922"/>
    <w:rsid w:val="0005774E"/>
    <w:rsid w:val="0006231A"/>
    <w:rsid w:val="00062AE4"/>
    <w:rsid w:val="00074BD7"/>
    <w:rsid w:val="00077D4A"/>
    <w:rsid w:val="00083346"/>
    <w:rsid w:val="00084229"/>
    <w:rsid w:val="00084F52"/>
    <w:rsid w:val="0008711D"/>
    <w:rsid w:val="00091C49"/>
    <w:rsid w:val="00097DC3"/>
    <w:rsid w:val="000A6F3D"/>
    <w:rsid w:val="000B1B5E"/>
    <w:rsid w:val="000D2106"/>
    <w:rsid w:val="000D6B7C"/>
    <w:rsid w:val="000E3019"/>
    <w:rsid w:val="000F1729"/>
    <w:rsid w:val="001018A0"/>
    <w:rsid w:val="0010355A"/>
    <w:rsid w:val="001044F7"/>
    <w:rsid w:val="00106553"/>
    <w:rsid w:val="001116F7"/>
    <w:rsid w:val="0011591E"/>
    <w:rsid w:val="00123F4C"/>
    <w:rsid w:val="00125128"/>
    <w:rsid w:val="00126311"/>
    <w:rsid w:val="001304F0"/>
    <w:rsid w:val="0014226E"/>
    <w:rsid w:val="0015118F"/>
    <w:rsid w:val="00155C80"/>
    <w:rsid w:val="00163268"/>
    <w:rsid w:val="00184560"/>
    <w:rsid w:val="001909F4"/>
    <w:rsid w:val="0019144C"/>
    <w:rsid w:val="001949AE"/>
    <w:rsid w:val="001A2DAA"/>
    <w:rsid w:val="001A3A36"/>
    <w:rsid w:val="001C51F8"/>
    <w:rsid w:val="001C6ED4"/>
    <w:rsid w:val="001D5005"/>
    <w:rsid w:val="001D691C"/>
    <w:rsid w:val="001E2575"/>
    <w:rsid w:val="001F2F94"/>
    <w:rsid w:val="001F342B"/>
    <w:rsid w:val="001F5A16"/>
    <w:rsid w:val="00202654"/>
    <w:rsid w:val="002030B8"/>
    <w:rsid w:val="00204ECA"/>
    <w:rsid w:val="0021205A"/>
    <w:rsid w:val="002128A3"/>
    <w:rsid w:val="002174ED"/>
    <w:rsid w:val="00224BBC"/>
    <w:rsid w:val="0024016B"/>
    <w:rsid w:val="00242A0B"/>
    <w:rsid w:val="00242CA6"/>
    <w:rsid w:val="00251CE4"/>
    <w:rsid w:val="00256015"/>
    <w:rsid w:val="0026320F"/>
    <w:rsid w:val="00263FD1"/>
    <w:rsid w:val="00267E3F"/>
    <w:rsid w:val="002721EB"/>
    <w:rsid w:val="00276236"/>
    <w:rsid w:val="00283D65"/>
    <w:rsid w:val="002868BE"/>
    <w:rsid w:val="002904C2"/>
    <w:rsid w:val="002905D3"/>
    <w:rsid w:val="00290BD7"/>
    <w:rsid w:val="00297159"/>
    <w:rsid w:val="00297B4A"/>
    <w:rsid w:val="002A4851"/>
    <w:rsid w:val="002A5822"/>
    <w:rsid w:val="002B44DD"/>
    <w:rsid w:val="002B54FF"/>
    <w:rsid w:val="002C6DDF"/>
    <w:rsid w:val="002C7B91"/>
    <w:rsid w:val="002D6325"/>
    <w:rsid w:val="002D71C4"/>
    <w:rsid w:val="002E295C"/>
    <w:rsid w:val="002F10C5"/>
    <w:rsid w:val="002F220D"/>
    <w:rsid w:val="002F2C0C"/>
    <w:rsid w:val="002F4BC0"/>
    <w:rsid w:val="0031609B"/>
    <w:rsid w:val="003160C6"/>
    <w:rsid w:val="003177D5"/>
    <w:rsid w:val="00317E2D"/>
    <w:rsid w:val="003219C2"/>
    <w:rsid w:val="0032462F"/>
    <w:rsid w:val="00326C3D"/>
    <w:rsid w:val="00327D0D"/>
    <w:rsid w:val="003329CA"/>
    <w:rsid w:val="00336FCB"/>
    <w:rsid w:val="00341FA5"/>
    <w:rsid w:val="0034581C"/>
    <w:rsid w:val="00365AD5"/>
    <w:rsid w:val="0036691A"/>
    <w:rsid w:val="00383E65"/>
    <w:rsid w:val="003914FD"/>
    <w:rsid w:val="003A1334"/>
    <w:rsid w:val="003A1423"/>
    <w:rsid w:val="003B26C8"/>
    <w:rsid w:val="003B5095"/>
    <w:rsid w:val="003D08E5"/>
    <w:rsid w:val="003D0E0F"/>
    <w:rsid w:val="003D78C9"/>
    <w:rsid w:val="003E1EB5"/>
    <w:rsid w:val="003E2DC3"/>
    <w:rsid w:val="003F457E"/>
    <w:rsid w:val="0041359A"/>
    <w:rsid w:val="00413752"/>
    <w:rsid w:val="004218FC"/>
    <w:rsid w:val="00424B1B"/>
    <w:rsid w:val="00432C46"/>
    <w:rsid w:val="00435519"/>
    <w:rsid w:val="00437388"/>
    <w:rsid w:val="00446208"/>
    <w:rsid w:val="004639A7"/>
    <w:rsid w:val="00464A25"/>
    <w:rsid w:val="00473906"/>
    <w:rsid w:val="004745C4"/>
    <w:rsid w:val="004745D0"/>
    <w:rsid w:val="00480A4F"/>
    <w:rsid w:val="00481628"/>
    <w:rsid w:val="00482613"/>
    <w:rsid w:val="00482C9B"/>
    <w:rsid w:val="004859CA"/>
    <w:rsid w:val="00486842"/>
    <w:rsid w:val="00487E7E"/>
    <w:rsid w:val="00496B9C"/>
    <w:rsid w:val="004B152A"/>
    <w:rsid w:val="004B2054"/>
    <w:rsid w:val="004B502E"/>
    <w:rsid w:val="004C28B6"/>
    <w:rsid w:val="004C4415"/>
    <w:rsid w:val="004D207E"/>
    <w:rsid w:val="004D379C"/>
    <w:rsid w:val="004D39B7"/>
    <w:rsid w:val="004D5ADC"/>
    <w:rsid w:val="004E0650"/>
    <w:rsid w:val="004F7137"/>
    <w:rsid w:val="0050338A"/>
    <w:rsid w:val="0050466D"/>
    <w:rsid w:val="00506853"/>
    <w:rsid w:val="0051126B"/>
    <w:rsid w:val="00515CAD"/>
    <w:rsid w:val="00520606"/>
    <w:rsid w:val="005216DA"/>
    <w:rsid w:val="005224F3"/>
    <w:rsid w:val="00523182"/>
    <w:rsid w:val="00524461"/>
    <w:rsid w:val="00524CCB"/>
    <w:rsid w:val="0052792A"/>
    <w:rsid w:val="00527FBA"/>
    <w:rsid w:val="005377E0"/>
    <w:rsid w:val="00543034"/>
    <w:rsid w:val="005538B2"/>
    <w:rsid w:val="005543CD"/>
    <w:rsid w:val="0055485A"/>
    <w:rsid w:val="00557738"/>
    <w:rsid w:val="00565B6B"/>
    <w:rsid w:val="00566B7C"/>
    <w:rsid w:val="005734C5"/>
    <w:rsid w:val="00573FB9"/>
    <w:rsid w:val="0058102A"/>
    <w:rsid w:val="00581990"/>
    <w:rsid w:val="00581B06"/>
    <w:rsid w:val="00586C43"/>
    <w:rsid w:val="0058773C"/>
    <w:rsid w:val="00594BA8"/>
    <w:rsid w:val="00595304"/>
    <w:rsid w:val="00597119"/>
    <w:rsid w:val="00597163"/>
    <w:rsid w:val="005A454E"/>
    <w:rsid w:val="005A4692"/>
    <w:rsid w:val="005A530D"/>
    <w:rsid w:val="005B4775"/>
    <w:rsid w:val="005B4ED4"/>
    <w:rsid w:val="005B6483"/>
    <w:rsid w:val="005D0976"/>
    <w:rsid w:val="005D1EDF"/>
    <w:rsid w:val="005D55A0"/>
    <w:rsid w:val="005D6C33"/>
    <w:rsid w:val="005D7B62"/>
    <w:rsid w:val="005E016D"/>
    <w:rsid w:val="005F4961"/>
    <w:rsid w:val="005F57ED"/>
    <w:rsid w:val="005F7DAD"/>
    <w:rsid w:val="006024CF"/>
    <w:rsid w:val="006131CB"/>
    <w:rsid w:val="00613569"/>
    <w:rsid w:val="0061581F"/>
    <w:rsid w:val="00617430"/>
    <w:rsid w:val="00632120"/>
    <w:rsid w:val="00632AED"/>
    <w:rsid w:val="00643468"/>
    <w:rsid w:val="006436E3"/>
    <w:rsid w:val="006509E7"/>
    <w:rsid w:val="00650AA8"/>
    <w:rsid w:val="006515FB"/>
    <w:rsid w:val="00656B5F"/>
    <w:rsid w:val="00657878"/>
    <w:rsid w:val="00657E32"/>
    <w:rsid w:val="00662DB0"/>
    <w:rsid w:val="00662E97"/>
    <w:rsid w:val="00663EC4"/>
    <w:rsid w:val="00666BD4"/>
    <w:rsid w:val="0067105A"/>
    <w:rsid w:val="00672B36"/>
    <w:rsid w:val="00673272"/>
    <w:rsid w:val="00680A9E"/>
    <w:rsid w:val="00681714"/>
    <w:rsid w:val="00693D0B"/>
    <w:rsid w:val="006A17AC"/>
    <w:rsid w:val="006B33FA"/>
    <w:rsid w:val="006D609E"/>
    <w:rsid w:val="006D73F8"/>
    <w:rsid w:val="006D7B38"/>
    <w:rsid w:val="006E0DA0"/>
    <w:rsid w:val="006E491F"/>
    <w:rsid w:val="006E5DFE"/>
    <w:rsid w:val="006F29BC"/>
    <w:rsid w:val="006F5B54"/>
    <w:rsid w:val="006F65A9"/>
    <w:rsid w:val="00710EF3"/>
    <w:rsid w:val="00711CCA"/>
    <w:rsid w:val="007201FA"/>
    <w:rsid w:val="00723955"/>
    <w:rsid w:val="00723D42"/>
    <w:rsid w:val="00724F22"/>
    <w:rsid w:val="00735985"/>
    <w:rsid w:val="00736661"/>
    <w:rsid w:val="007421EE"/>
    <w:rsid w:val="0074268C"/>
    <w:rsid w:val="0074409A"/>
    <w:rsid w:val="0074469A"/>
    <w:rsid w:val="00745629"/>
    <w:rsid w:val="00764536"/>
    <w:rsid w:val="00767FB5"/>
    <w:rsid w:val="007765AD"/>
    <w:rsid w:val="0078257D"/>
    <w:rsid w:val="007909C9"/>
    <w:rsid w:val="00793155"/>
    <w:rsid w:val="007958C0"/>
    <w:rsid w:val="007A1B86"/>
    <w:rsid w:val="007B5BE6"/>
    <w:rsid w:val="007B6154"/>
    <w:rsid w:val="007C450B"/>
    <w:rsid w:val="007D431E"/>
    <w:rsid w:val="007D5087"/>
    <w:rsid w:val="007E149B"/>
    <w:rsid w:val="007E2DDF"/>
    <w:rsid w:val="008065E1"/>
    <w:rsid w:val="0081187E"/>
    <w:rsid w:val="0081214F"/>
    <w:rsid w:val="008137E1"/>
    <w:rsid w:val="00816D03"/>
    <w:rsid w:val="008342B3"/>
    <w:rsid w:val="0083578A"/>
    <w:rsid w:val="00851B50"/>
    <w:rsid w:val="0086032A"/>
    <w:rsid w:val="008763DE"/>
    <w:rsid w:val="00880EAC"/>
    <w:rsid w:val="00886161"/>
    <w:rsid w:val="008925D8"/>
    <w:rsid w:val="00896735"/>
    <w:rsid w:val="00896F32"/>
    <w:rsid w:val="008A4B8F"/>
    <w:rsid w:val="008B0346"/>
    <w:rsid w:val="008B6FD0"/>
    <w:rsid w:val="008D0BE1"/>
    <w:rsid w:val="008D5532"/>
    <w:rsid w:val="008E138E"/>
    <w:rsid w:val="008E713E"/>
    <w:rsid w:val="008E7808"/>
    <w:rsid w:val="008F311D"/>
    <w:rsid w:val="0090026D"/>
    <w:rsid w:val="0091245E"/>
    <w:rsid w:val="00913C62"/>
    <w:rsid w:val="009146AB"/>
    <w:rsid w:val="009229C8"/>
    <w:rsid w:val="00924CD8"/>
    <w:rsid w:val="009342EC"/>
    <w:rsid w:val="0093746A"/>
    <w:rsid w:val="009376CF"/>
    <w:rsid w:val="00941D87"/>
    <w:rsid w:val="00943D82"/>
    <w:rsid w:val="00961671"/>
    <w:rsid w:val="009657AF"/>
    <w:rsid w:val="00975045"/>
    <w:rsid w:val="00981E07"/>
    <w:rsid w:val="00984609"/>
    <w:rsid w:val="009938DA"/>
    <w:rsid w:val="00997599"/>
    <w:rsid w:val="009A359A"/>
    <w:rsid w:val="009A613E"/>
    <w:rsid w:val="009B5011"/>
    <w:rsid w:val="009B6422"/>
    <w:rsid w:val="009C1DD4"/>
    <w:rsid w:val="009C656A"/>
    <w:rsid w:val="009D4372"/>
    <w:rsid w:val="009D6521"/>
    <w:rsid w:val="009E30D4"/>
    <w:rsid w:val="009E4E8A"/>
    <w:rsid w:val="009E5CD0"/>
    <w:rsid w:val="009E7B04"/>
    <w:rsid w:val="009F46E6"/>
    <w:rsid w:val="009F7517"/>
    <w:rsid w:val="00A02F21"/>
    <w:rsid w:val="00A2039B"/>
    <w:rsid w:val="00A2685B"/>
    <w:rsid w:val="00A340EB"/>
    <w:rsid w:val="00A51EEF"/>
    <w:rsid w:val="00A53F95"/>
    <w:rsid w:val="00A55F38"/>
    <w:rsid w:val="00A57F2B"/>
    <w:rsid w:val="00A618F3"/>
    <w:rsid w:val="00A70F5A"/>
    <w:rsid w:val="00A72B5C"/>
    <w:rsid w:val="00A80AF9"/>
    <w:rsid w:val="00A96A87"/>
    <w:rsid w:val="00AA4DBD"/>
    <w:rsid w:val="00AB17F9"/>
    <w:rsid w:val="00AB2209"/>
    <w:rsid w:val="00AB2A14"/>
    <w:rsid w:val="00AB3271"/>
    <w:rsid w:val="00AC0344"/>
    <w:rsid w:val="00AC13BB"/>
    <w:rsid w:val="00AC68A1"/>
    <w:rsid w:val="00AD0C08"/>
    <w:rsid w:val="00AD63AD"/>
    <w:rsid w:val="00AD6A51"/>
    <w:rsid w:val="00AE6F6B"/>
    <w:rsid w:val="00AF0B2E"/>
    <w:rsid w:val="00AF6C15"/>
    <w:rsid w:val="00AF6F0C"/>
    <w:rsid w:val="00B031A1"/>
    <w:rsid w:val="00B038A0"/>
    <w:rsid w:val="00B16963"/>
    <w:rsid w:val="00B200C4"/>
    <w:rsid w:val="00B30A3D"/>
    <w:rsid w:val="00B35AFC"/>
    <w:rsid w:val="00B35FAB"/>
    <w:rsid w:val="00B41EDD"/>
    <w:rsid w:val="00B4408C"/>
    <w:rsid w:val="00B44C59"/>
    <w:rsid w:val="00B51AAC"/>
    <w:rsid w:val="00B62B61"/>
    <w:rsid w:val="00B63E3E"/>
    <w:rsid w:val="00B6468B"/>
    <w:rsid w:val="00B66262"/>
    <w:rsid w:val="00B72606"/>
    <w:rsid w:val="00B7629F"/>
    <w:rsid w:val="00B77AAF"/>
    <w:rsid w:val="00B800FA"/>
    <w:rsid w:val="00B84EF0"/>
    <w:rsid w:val="00B87DED"/>
    <w:rsid w:val="00BA319A"/>
    <w:rsid w:val="00BA66C8"/>
    <w:rsid w:val="00BA7814"/>
    <w:rsid w:val="00BB61F9"/>
    <w:rsid w:val="00BB67D6"/>
    <w:rsid w:val="00BB7FB7"/>
    <w:rsid w:val="00BC4472"/>
    <w:rsid w:val="00BC532C"/>
    <w:rsid w:val="00BC6177"/>
    <w:rsid w:val="00BE449A"/>
    <w:rsid w:val="00BE55A0"/>
    <w:rsid w:val="00BF0F65"/>
    <w:rsid w:val="00BF2ACE"/>
    <w:rsid w:val="00BF460B"/>
    <w:rsid w:val="00BF515C"/>
    <w:rsid w:val="00C003C7"/>
    <w:rsid w:val="00C028D9"/>
    <w:rsid w:val="00C0367A"/>
    <w:rsid w:val="00C037E8"/>
    <w:rsid w:val="00C03DE0"/>
    <w:rsid w:val="00C0449B"/>
    <w:rsid w:val="00C1257A"/>
    <w:rsid w:val="00C13D28"/>
    <w:rsid w:val="00C16046"/>
    <w:rsid w:val="00C17233"/>
    <w:rsid w:val="00C203E5"/>
    <w:rsid w:val="00C20E97"/>
    <w:rsid w:val="00C23462"/>
    <w:rsid w:val="00C24D55"/>
    <w:rsid w:val="00C27F01"/>
    <w:rsid w:val="00C27FD5"/>
    <w:rsid w:val="00C346EF"/>
    <w:rsid w:val="00C35D10"/>
    <w:rsid w:val="00C378EF"/>
    <w:rsid w:val="00C4126D"/>
    <w:rsid w:val="00C54194"/>
    <w:rsid w:val="00C62F4C"/>
    <w:rsid w:val="00C66BF5"/>
    <w:rsid w:val="00C70118"/>
    <w:rsid w:val="00C8052F"/>
    <w:rsid w:val="00C816DD"/>
    <w:rsid w:val="00C83045"/>
    <w:rsid w:val="00C8735A"/>
    <w:rsid w:val="00C97165"/>
    <w:rsid w:val="00CA6EC9"/>
    <w:rsid w:val="00CB17AC"/>
    <w:rsid w:val="00CC1400"/>
    <w:rsid w:val="00CC34B0"/>
    <w:rsid w:val="00CC53C7"/>
    <w:rsid w:val="00CC6783"/>
    <w:rsid w:val="00CD0CEF"/>
    <w:rsid w:val="00CD118D"/>
    <w:rsid w:val="00CF5CCC"/>
    <w:rsid w:val="00CF6785"/>
    <w:rsid w:val="00CF6ED1"/>
    <w:rsid w:val="00D1338B"/>
    <w:rsid w:val="00D13C57"/>
    <w:rsid w:val="00D144A7"/>
    <w:rsid w:val="00D14B35"/>
    <w:rsid w:val="00D1624F"/>
    <w:rsid w:val="00D20517"/>
    <w:rsid w:val="00D22D4E"/>
    <w:rsid w:val="00D44933"/>
    <w:rsid w:val="00D46CDA"/>
    <w:rsid w:val="00D5122B"/>
    <w:rsid w:val="00D52AEB"/>
    <w:rsid w:val="00D53EE7"/>
    <w:rsid w:val="00D60489"/>
    <w:rsid w:val="00D619A5"/>
    <w:rsid w:val="00D62F03"/>
    <w:rsid w:val="00D639C7"/>
    <w:rsid w:val="00D64339"/>
    <w:rsid w:val="00D643E0"/>
    <w:rsid w:val="00D65F30"/>
    <w:rsid w:val="00D7023A"/>
    <w:rsid w:val="00D749C3"/>
    <w:rsid w:val="00D80AD9"/>
    <w:rsid w:val="00D81B40"/>
    <w:rsid w:val="00D923AD"/>
    <w:rsid w:val="00D96A46"/>
    <w:rsid w:val="00DB31E6"/>
    <w:rsid w:val="00DB5B78"/>
    <w:rsid w:val="00DB6CCE"/>
    <w:rsid w:val="00DD139E"/>
    <w:rsid w:val="00DD69B7"/>
    <w:rsid w:val="00DE11F1"/>
    <w:rsid w:val="00DE22DF"/>
    <w:rsid w:val="00DF0232"/>
    <w:rsid w:val="00DF6638"/>
    <w:rsid w:val="00DF740F"/>
    <w:rsid w:val="00E011EB"/>
    <w:rsid w:val="00E02C9B"/>
    <w:rsid w:val="00E11212"/>
    <w:rsid w:val="00E13ECF"/>
    <w:rsid w:val="00E1444D"/>
    <w:rsid w:val="00E17C84"/>
    <w:rsid w:val="00E257B7"/>
    <w:rsid w:val="00E314E2"/>
    <w:rsid w:val="00E31676"/>
    <w:rsid w:val="00E31A69"/>
    <w:rsid w:val="00E33A88"/>
    <w:rsid w:val="00E37A62"/>
    <w:rsid w:val="00E4073E"/>
    <w:rsid w:val="00E4270C"/>
    <w:rsid w:val="00E549BA"/>
    <w:rsid w:val="00E56E24"/>
    <w:rsid w:val="00E65FAC"/>
    <w:rsid w:val="00E6600B"/>
    <w:rsid w:val="00E729C0"/>
    <w:rsid w:val="00E75371"/>
    <w:rsid w:val="00E771EF"/>
    <w:rsid w:val="00E8236A"/>
    <w:rsid w:val="00E829AE"/>
    <w:rsid w:val="00E85512"/>
    <w:rsid w:val="00E916CA"/>
    <w:rsid w:val="00EA18E1"/>
    <w:rsid w:val="00EB701D"/>
    <w:rsid w:val="00EC437C"/>
    <w:rsid w:val="00ED0DDC"/>
    <w:rsid w:val="00ED45BA"/>
    <w:rsid w:val="00ED573E"/>
    <w:rsid w:val="00EE1855"/>
    <w:rsid w:val="00EE21A6"/>
    <w:rsid w:val="00EF0A3A"/>
    <w:rsid w:val="00EF50E7"/>
    <w:rsid w:val="00F05F36"/>
    <w:rsid w:val="00F107CF"/>
    <w:rsid w:val="00F225A4"/>
    <w:rsid w:val="00F23749"/>
    <w:rsid w:val="00F26C83"/>
    <w:rsid w:val="00F337D0"/>
    <w:rsid w:val="00F36E91"/>
    <w:rsid w:val="00F43757"/>
    <w:rsid w:val="00F43D24"/>
    <w:rsid w:val="00F7058D"/>
    <w:rsid w:val="00F770F0"/>
    <w:rsid w:val="00F83E8F"/>
    <w:rsid w:val="00F943A1"/>
    <w:rsid w:val="00F9574D"/>
    <w:rsid w:val="00F968CE"/>
    <w:rsid w:val="00FA394D"/>
    <w:rsid w:val="00FA6F36"/>
    <w:rsid w:val="00FA775E"/>
    <w:rsid w:val="00FB6651"/>
    <w:rsid w:val="00FC198B"/>
    <w:rsid w:val="00FD09D8"/>
    <w:rsid w:val="00FD3985"/>
    <w:rsid w:val="00FE393D"/>
    <w:rsid w:val="00FE6648"/>
    <w:rsid w:val="00FF127F"/>
    <w:rsid w:val="00FF27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A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32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E24"/>
    <w:rPr>
      <w:rFonts w:ascii="Times New Roman" w:hAnsi="Times New Roman" w:cs="Times New Roman"/>
      <w:sz w:val="2"/>
    </w:rPr>
  </w:style>
  <w:style w:type="paragraph" w:styleId="Header">
    <w:name w:val="header"/>
    <w:basedOn w:val="Normal"/>
    <w:link w:val="HeaderChar"/>
    <w:uiPriority w:val="99"/>
    <w:rsid w:val="0072395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3955"/>
    <w:rPr>
      <w:rFonts w:cs="Times New Roman"/>
    </w:rPr>
  </w:style>
  <w:style w:type="paragraph" w:styleId="Footer">
    <w:name w:val="footer"/>
    <w:basedOn w:val="Normal"/>
    <w:link w:val="FooterChar"/>
    <w:uiPriority w:val="99"/>
    <w:rsid w:val="0072395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3955"/>
    <w:rPr>
      <w:rFonts w:cs="Times New Roman"/>
    </w:rPr>
  </w:style>
  <w:style w:type="paragraph" w:styleId="FootnoteText">
    <w:name w:val="footnote text"/>
    <w:basedOn w:val="Normal"/>
    <w:link w:val="FootnoteTextChar"/>
    <w:uiPriority w:val="99"/>
    <w:semiHidden/>
    <w:rsid w:val="00B35FA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35FAB"/>
    <w:rPr>
      <w:rFonts w:cs="Times New Roman"/>
      <w:sz w:val="20"/>
      <w:szCs w:val="20"/>
    </w:rPr>
  </w:style>
  <w:style w:type="character" w:styleId="FootnoteReference">
    <w:name w:val="footnote reference"/>
    <w:basedOn w:val="DefaultParagraphFont"/>
    <w:uiPriority w:val="99"/>
    <w:semiHidden/>
    <w:rsid w:val="00B35FAB"/>
    <w:rPr>
      <w:rFonts w:cs="Times New Roman"/>
      <w:vertAlign w:val="superscript"/>
    </w:rPr>
  </w:style>
  <w:style w:type="paragraph" w:styleId="ListParagraph">
    <w:name w:val="List Paragraph"/>
    <w:basedOn w:val="Normal"/>
    <w:uiPriority w:val="99"/>
    <w:qFormat/>
    <w:rsid w:val="00656B5F"/>
    <w:pPr>
      <w:ind w:left="720"/>
      <w:contextualSpacing/>
    </w:pPr>
  </w:style>
  <w:style w:type="character" w:styleId="Hyperlink">
    <w:name w:val="Hyperlink"/>
    <w:basedOn w:val="DefaultParagraphFont"/>
    <w:uiPriority w:val="99"/>
    <w:rsid w:val="00E729C0"/>
    <w:rPr>
      <w:rFonts w:cs="Times New Roman"/>
      <w:color w:val="0000FF"/>
      <w:u w:val="single"/>
    </w:rPr>
  </w:style>
  <w:style w:type="character" w:styleId="CommentReference">
    <w:name w:val="annotation reference"/>
    <w:basedOn w:val="DefaultParagraphFont"/>
    <w:uiPriority w:val="99"/>
    <w:semiHidden/>
    <w:rsid w:val="0026320F"/>
    <w:rPr>
      <w:rFonts w:cs="Times New Roman"/>
      <w:sz w:val="16"/>
      <w:szCs w:val="16"/>
    </w:rPr>
  </w:style>
  <w:style w:type="paragraph" w:styleId="CommentText">
    <w:name w:val="annotation text"/>
    <w:basedOn w:val="Normal"/>
    <w:link w:val="CommentTextChar"/>
    <w:uiPriority w:val="99"/>
    <w:semiHidden/>
    <w:rsid w:val="0026320F"/>
    <w:rPr>
      <w:sz w:val="20"/>
      <w:szCs w:val="20"/>
    </w:rPr>
  </w:style>
  <w:style w:type="character" w:customStyle="1" w:styleId="CommentTextChar">
    <w:name w:val="Comment Text Char"/>
    <w:basedOn w:val="DefaultParagraphFont"/>
    <w:link w:val="CommentText"/>
    <w:uiPriority w:val="99"/>
    <w:semiHidden/>
    <w:locked/>
    <w:rsid w:val="0026320F"/>
    <w:rPr>
      <w:rFonts w:ascii="Calibri" w:hAnsi="Calibri" w:cs="Times New Roman"/>
      <w:lang w:val="en-US" w:eastAsia="en-US" w:bidi="ar-SA"/>
    </w:rPr>
  </w:style>
  <w:style w:type="paragraph" w:styleId="CommentSubject">
    <w:name w:val="annotation subject"/>
    <w:basedOn w:val="CommentText"/>
    <w:next w:val="CommentText"/>
    <w:link w:val="CommentSubjectChar"/>
    <w:uiPriority w:val="99"/>
    <w:semiHidden/>
    <w:rsid w:val="0026320F"/>
    <w:rPr>
      <w:b/>
      <w:bCs/>
    </w:rPr>
  </w:style>
  <w:style w:type="character" w:customStyle="1" w:styleId="CommentSubjectChar">
    <w:name w:val="Comment Subject Char"/>
    <w:basedOn w:val="CommentTextChar"/>
    <w:link w:val="CommentSubject"/>
    <w:uiPriority w:val="99"/>
    <w:semiHidden/>
    <w:locked/>
    <w:rsid w:val="00E56E24"/>
    <w:rPr>
      <w:b/>
      <w:bCs/>
      <w:sz w:val="20"/>
      <w:szCs w:val="20"/>
    </w:rPr>
  </w:style>
  <w:style w:type="paragraph" w:styleId="Title">
    <w:name w:val="Title"/>
    <w:basedOn w:val="Normal"/>
    <w:next w:val="Normal"/>
    <w:link w:val="TitleChar"/>
    <w:uiPriority w:val="99"/>
    <w:qFormat/>
    <w:locked/>
    <w:rsid w:val="000D2106"/>
    <w:pPr>
      <w:spacing w:after="300" w:line="240" w:lineRule="auto"/>
      <w:contextualSpacing/>
    </w:pPr>
    <w:rPr>
      <w:rFonts w:ascii="Cambria" w:eastAsia="Times New Roman" w:hAnsi="Cambria"/>
      <w:b/>
      <w:spacing w:val="5"/>
      <w:kern w:val="28"/>
      <w:sz w:val="36"/>
      <w:szCs w:val="52"/>
      <w:lang w:val="en-GB" w:eastAsia="en-GB"/>
    </w:rPr>
  </w:style>
  <w:style w:type="character" w:customStyle="1" w:styleId="TitleChar">
    <w:name w:val="Title Char"/>
    <w:basedOn w:val="DefaultParagraphFont"/>
    <w:link w:val="Title"/>
    <w:uiPriority w:val="99"/>
    <w:locked/>
    <w:rsid w:val="000D2106"/>
    <w:rPr>
      <w:rFonts w:ascii="Cambria" w:eastAsia="Times New Roman" w:hAnsi="Cambria" w:cs="Times New Roman"/>
      <w:b/>
      <w:spacing w:val="5"/>
      <w:kern w:val="28"/>
      <w:sz w:val="52"/>
      <w:szCs w:val="52"/>
      <w:lang w:val="en-GB" w:eastAsia="en-GB" w:bidi="ar-SA"/>
    </w:rPr>
  </w:style>
</w:styles>
</file>

<file path=word/webSettings.xml><?xml version="1.0" encoding="utf-8"?>
<w:webSettings xmlns:r="http://schemas.openxmlformats.org/officeDocument/2006/relationships" xmlns:w="http://schemas.openxmlformats.org/wordprocessingml/2006/main">
  <w:divs>
    <w:div w:id="1903249428">
      <w:marLeft w:val="0"/>
      <w:marRight w:val="0"/>
      <w:marTop w:val="0"/>
      <w:marBottom w:val="0"/>
      <w:divBdr>
        <w:top w:val="none" w:sz="0" w:space="0" w:color="auto"/>
        <w:left w:val="none" w:sz="0" w:space="0" w:color="auto"/>
        <w:bottom w:val="none" w:sz="0" w:space="0" w:color="auto"/>
        <w:right w:val="none" w:sz="0" w:space="0" w:color="auto"/>
      </w:divBdr>
    </w:div>
    <w:div w:id="1903249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1544</Words>
  <Characters>8803</Characters>
  <Application>Microsoft Office Outlook</Application>
  <DocSecurity>0</DocSecurity>
  <Lines>0</Lines>
  <Paragraphs>0</Paragraphs>
  <ScaleCrop>false</ScaleCrop>
  <Company>The World Bank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The overall objective of the workshop is to reach a tentative agreement on the broad strokes of the design of the methodological survey experiments on the measurement of individual-disaggregated asset ownership to be implemented by the Living</dc:title>
  <dc:subject/>
  <dc:creator>Talip Kilic</dc:creator>
  <cp:keywords/>
  <dc:description/>
  <cp:lastModifiedBy>United Nations</cp:lastModifiedBy>
  <cp:revision>4</cp:revision>
  <dcterms:created xsi:type="dcterms:W3CDTF">2013-11-19T22:00:00Z</dcterms:created>
  <dcterms:modified xsi:type="dcterms:W3CDTF">2013-11-20T15:18:00Z</dcterms:modified>
</cp:coreProperties>
</file>