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F4732" w14:textId="77777777" w:rsidR="00961999" w:rsidRPr="00517876" w:rsidRDefault="00C863CD" w:rsidP="0051787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548DD4"/>
          <w:sz w:val="48"/>
          <w:szCs w:val="48"/>
        </w:rPr>
      </w:pPr>
      <w:r w:rsidRPr="00517876">
        <w:rPr>
          <w:rFonts w:cs="Calibri"/>
          <w:b/>
          <w:bCs/>
          <w:color w:val="548DD4"/>
          <w:sz w:val="48"/>
          <w:szCs w:val="48"/>
        </w:rPr>
        <w:t>Ferramenta de Autoavaliação das Estatísticas Ambientais</w:t>
      </w:r>
      <w:r w:rsidR="00961999" w:rsidRPr="00517876">
        <w:rPr>
          <w:rFonts w:cs="Calibri"/>
          <w:b/>
          <w:bCs/>
          <w:color w:val="548DD4"/>
          <w:sz w:val="48"/>
          <w:szCs w:val="48"/>
        </w:rPr>
        <w:t xml:space="preserve"> (ESSAT)</w:t>
      </w:r>
      <w:r w:rsidRPr="00517876">
        <w:t xml:space="preserve"> </w:t>
      </w:r>
    </w:p>
    <w:p w14:paraId="0E1B3A4F" w14:textId="77777777" w:rsidR="009B6AA4" w:rsidRPr="00517876" w:rsidRDefault="009B6AA4" w:rsidP="00E60A6A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bCs/>
          <w:color w:val="548DD4"/>
          <w:sz w:val="40"/>
          <w:szCs w:val="40"/>
        </w:rPr>
      </w:pPr>
      <w:r w:rsidRPr="00517876">
        <w:rPr>
          <w:rFonts w:cs="Calibri"/>
          <w:b/>
          <w:bCs/>
          <w:color w:val="548DD4"/>
          <w:sz w:val="40"/>
          <w:szCs w:val="40"/>
        </w:rPr>
        <w:t>Introdu</w:t>
      </w:r>
      <w:r w:rsidR="00C863CD" w:rsidRPr="00517876">
        <w:rPr>
          <w:rFonts w:cs="Calibri"/>
          <w:b/>
          <w:bCs/>
          <w:color w:val="548DD4"/>
          <w:sz w:val="40"/>
          <w:szCs w:val="40"/>
        </w:rPr>
        <w:t>ção</w:t>
      </w:r>
    </w:p>
    <w:p w14:paraId="4598A6D1" w14:textId="77777777" w:rsidR="009B6AA4" w:rsidRPr="00517876" w:rsidRDefault="009B6AA4" w:rsidP="00727F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548DD4"/>
          <w:sz w:val="40"/>
          <w:szCs w:val="40"/>
        </w:rPr>
      </w:pPr>
    </w:p>
    <w:p w14:paraId="0C4469A9" w14:textId="77777777" w:rsidR="00517876" w:rsidRPr="00517876" w:rsidRDefault="00BA45FF" w:rsidP="005178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Apoio ao quadro</w:t>
      </w:r>
      <w:r w:rsidR="00517876" w:rsidRPr="00517876">
        <w:rPr>
          <w:sz w:val="24"/>
          <w:szCs w:val="24"/>
        </w:rPr>
        <w:t xml:space="preserve"> para o Desenvolvimento de Estatísticas Ambientais</w:t>
      </w:r>
    </w:p>
    <w:p w14:paraId="379621AE" w14:textId="77777777" w:rsidR="00961999" w:rsidRPr="00517876" w:rsidRDefault="00517876" w:rsidP="00517876">
      <w:pPr>
        <w:spacing w:after="0" w:line="240" w:lineRule="auto"/>
        <w:jc w:val="center"/>
        <w:rPr>
          <w:sz w:val="24"/>
          <w:szCs w:val="24"/>
        </w:rPr>
      </w:pPr>
      <w:r w:rsidRPr="00517876">
        <w:rPr>
          <w:sz w:val="24"/>
          <w:szCs w:val="24"/>
        </w:rPr>
        <w:t>(FDES 2013)</w:t>
      </w:r>
    </w:p>
    <w:p w14:paraId="1596ED46" w14:textId="77777777" w:rsidR="00B51E73" w:rsidRPr="00517876" w:rsidRDefault="00B51E73" w:rsidP="00BE4DA6">
      <w:pPr>
        <w:spacing w:after="0" w:line="240" w:lineRule="auto"/>
        <w:jc w:val="center"/>
        <w:rPr>
          <w:b/>
          <w:sz w:val="32"/>
          <w:szCs w:val="32"/>
        </w:rPr>
      </w:pPr>
    </w:p>
    <w:p w14:paraId="5A1960D5" w14:textId="77777777" w:rsidR="00DC6798" w:rsidRPr="00517876" w:rsidRDefault="00DC6798" w:rsidP="00BE4DA6">
      <w:pPr>
        <w:spacing w:after="0" w:line="240" w:lineRule="auto"/>
        <w:jc w:val="center"/>
        <w:rPr>
          <w:b/>
          <w:sz w:val="32"/>
          <w:szCs w:val="32"/>
        </w:rPr>
      </w:pPr>
    </w:p>
    <w:p w14:paraId="1AA4B362" w14:textId="77777777" w:rsidR="00DC6798" w:rsidRPr="00517876" w:rsidRDefault="00DC6798" w:rsidP="00BE4DA6">
      <w:pPr>
        <w:spacing w:after="0" w:line="240" w:lineRule="auto"/>
        <w:jc w:val="center"/>
        <w:rPr>
          <w:b/>
          <w:sz w:val="32"/>
          <w:szCs w:val="32"/>
        </w:rPr>
      </w:pPr>
    </w:p>
    <w:p w14:paraId="3B826E93" w14:textId="77777777" w:rsidR="00961999" w:rsidRPr="00517876" w:rsidRDefault="00166880" w:rsidP="00BE4DA6">
      <w:pPr>
        <w:tabs>
          <w:tab w:val="center" w:pos="4824"/>
          <w:tab w:val="left" w:pos="7785"/>
        </w:tabs>
        <w:jc w:val="center"/>
      </w:pPr>
      <w:r w:rsidRPr="00517876">
        <w:rPr>
          <w:noProof/>
          <w:lang w:eastAsia="pt-PT"/>
        </w:rPr>
        <w:drawing>
          <wp:inline distT="0" distB="0" distL="0" distR="0" wp14:anchorId="1076F197" wp14:editId="3E1ED63A">
            <wp:extent cx="3263900" cy="327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SAT_plain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8CB2E" w14:textId="77777777" w:rsidR="009B6AA4" w:rsidRPr="00517876" w:rsidRDefault="009B6AA4" w:rsidP="00BE4DA6">
      <w:pPr>
        <w:spacing w:after="0" w:line="240" w:lineRule="auto"/>
        <w:jc w:val="center"/>
      </w:pPr>
    </w:p>
    <w:p w14:paraId="38F76C04" w14:textId="77777777" w:rsidR="00B23B1D" w:rsidRPr="00517876" w:rsidRDefault="00B23B1D" w:rsidP="00BE4DA6">
      <w:pPr>
        <w:spacing w:after="0" w:line="240" w:lineRule="auto"/>
        <w:jc w:val="center"/>
      </w:pPr>
    </w:p>
    <w:p w14:paraId="06F7BA29" w14:textId="77777777" w:rsidR="00717D39" w:rsidRPr="00517876" w:rsidRDefault="00717D39" w:rsidP="00BE4DA6">
      <w:pPr>
        <w:spacing w:after="0" w:line="240" w:lineRule="auto"/>
        <w:jc w:val="center"/>
      </w:pPr>
    </w:p>
    <w:p w14:paraId="68AD6F2A" w14:textId="77777777" w:rsidR="00717D39" w:rsidRPr="00517876" w:rsidRDefault="00717D39" w:rsidP="00BE4DA6">
      <w:pPr>
        <w:spacing w:after="0" w:line="240" w:lineRule="auto"/>
        <w:jc w:val="center"/>
      </w:pPr>
    </w:p>
    <w:p w14:paraId="608E87E8" w14:textId="77777777" w:rsidR="00B23B1D" w:rsidRPr="00517876" w:rsidRDefault="00B23B1D" w:rsidP="00BE4DA6">
      <w:pPr>
        <w:spacing w:after="0" w:line="240" w:lineRule="auto"/>
        <w:jc w:val="center"/>
      </w:pPr>
    </w:p>
    <w:p w14:paraId="5700AD77" w14:textId="77777777" w:rsidR="000B2436" w:rsidRPr="00517876" w:rsidRDefault="00B23B1D" w:rsidP="00BE4DA6">
      <w:pPr>
        <w:spacing w:after="0" w:line="240" w:lineRule="auto"/>
        <w:jc w:val="center"/>
      </w:pPr>
      <w:r w:rsidRPr="00517876">
        <w:rPr>
          <w:noProof/>
          <w:lang w:eastAsia="pt-PT"/>
        </w:rPr>
        <w:drawing>
          <wp:inline distT="0" distB="0" distL="0" distR="0" wp14:anchorId="400D54B6" wp14:editId="5A779FFC">
            <wp:extent cx="866692" cy="750428"/>
            <wp:effectExtent l="0" t="0" r="0" b="0"/>
            <wp:docPr id="4" name="Picture 4" descr="un_logo_big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_logo_big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18" cy="75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B946F" w14:textId="77777777" w:rsidR="00DC6798" w:rsidRPr="00517876" w:rsidRDefault="00517876" w:rsidP="00BE4DA6">
      <w:pPr>
        <w:spacing w:after="0"/>
        <w:jc w:val="center"/>
      </w:pPr>
      <w:r w:rsidRPr="00517876">
        <w:t>Preparado pela Divisão de Estatística das Nações Unidas</w:t>
      </w:r>
    </w:p>
    <w:p w14:paraId="674A36DF" w14:textId="77777777" w:rsidR="00961999" w:rsidRPr="00517876" w:rsidRDefault="00C8570C" w:rsidP="00BE4DA6">
      <w:pPr>
        <w:spacing w:after="0" w:line="240" w:lineRule="auto"/>
        <w:jc w:val="center"/>
      </w:pPr>
      <w:r w:rsidRPr="00517876">
        <w:t xml:space="preserve">27 </w:t>
      </w:r>
      <w:r w:rsidR="00517876">
        <w:t>de j</w:t>
      </w:r>
      <w:r w:rsidR="00517876" w:rsidRPr="00517876">
        <w:t>un</w:t>
      </w:r>
      <w:r w:rsidR="00517876">
        <w:t>ho de</w:t>
      </w:r>
      <w:r w:rsidR="00CD6CE4" w:rsidRPr="00517876">
        <w:t xml:space="preserve"> </w:t>
      </w:r>
      <w:r w:rsidR="00961999" w:rsidRPr="00517876">
        <w:t>201</w:t>
      </w:r>
      <w:r w:rsidR="00CD6CE4" w:rsidRPr="00517876">
        <w:t>6</w:t>
      </w:r>
    </w:p>
    <w:p w14:paraId="2527ECF8" w14:textId="77777777" w:rsidR="00FA7A3C" w:rsidRPr="00517876" w:rsidRDefault="00517876" w:rsidP="00961999">
      <w:pPr>
        <w:jc w:val="center"/>
      </w:pPr>
      <w:r w:rsidRPr="00517876">
        <w:t>Versão</w:t>
      </w:r>
      <w:r w:rsidR="00FA7A3C" w:rsidRPr="00517876">
        <w:t xml:space="preserve"> 1.0</w:t>
      </w:r>
    </w:p>
    <w:p w14:paraId="07BAA569" w14:textId="77777777" w:rsidR="004340F5" w:rsidRPr="00517876" w:rsidRDefault="004340F5" w:rsidP="00D35F0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548DD4"/>
          <w:sz w:val="28"/>
          <w:szCs w:val="28"/>
        </w:rPr>
        <w:sectPr w:rsidR="004340F5" w:rsidRPr="00517876" w:rsidSect="004340F5">
          <w:footerReference w:type="default" r:id="rId10"/>
          <w:pgSz w:w="12240" w:h="15840"/>
          <w:pgMar w:top="1440" w:right="1440" w:bottom="1440" w:left="1440" w:header="720" w:footer="720" w:gutter="0"/>
          <w:pgNumType w:fmt="lowerRoman"/>
          <w:cols w:space="720"/>
          <w:noEndnote/>
          <w:titlePg/>
          <w:docGrid w:linePitch="299"/>
        </w:sectPr>
      </w:pPr>
    </w:p>
    <w:p w14:paraId="1E687348" w14:textId="77777777" w:rsidR="00D35F0C" w:rsidRPr="00517876" w:rsidRDefault="00387DDB" w:rsidP="00D35F0C">
      <w:pPr>
        <w:spacing w:after="0" w:line="240" w:lineRule="auto"/>
        <w:rPr>
          <w:rFonts w:cs="Calibri"/>
          <w:b/>
          <w:bCs/>
          <w:color w:val="548DD4"/>
          <w:sz w:val="28"/>
          <w:szCs w:val="28"/>
        </w:rPr>
      </w:pPr>
      <w:r w:rsidRPr="00387DDB">
        <w:rPr>
          <w:rFonts w:cs="Calibri"/>
          <w:b/>
          <w:bCs/>
          <w:color w:val="548DD4"/>
          <w:sz w:val="28"/>
          <w:szCs w:val="28"/>
        </w:rPr>
        <w:lastRenderedPageBreak/>
        <w:t>Antecedentes</w:t>
      </w:r>
    </w:p>
    <w:p w14:paraId="281B453C" w14:textId="77777777" w:rsidR="003E5799" w:rsidRPr="00517876" w:rsidRDefault="003E5799" w:rsidP="003E5799">
      <w:pPr>
        <w:spacing w:after="0" w:line="240" w:lineRule="auto"/>
        <w:jc w:val="both"/>
        <w:rPr>
          <w:rFonts w:cs="Calibri"/>
          <w:bCs/>
        </w:rPr>
      </w:pPr>
      <w:r w:rsidRPr="003E5799">
        <w:rPr>
          <w:rFonts w:cs="Calibri"/>
          <w:bCs/>
        </w:rPr>
        <w:t>Em 2013, a 44ª sessão da Comissão de Estatística das Nações Unidas</w:t>
      </w:r>
      <w:r w:rsidR="00BA45FF">
        <w:rPr>
          <w:rFonts w:cs="Calibri"/>
          <w:bCs/>
        </w:rPr>
        <w:t xml:space="preserve"> (CENU)</w:t>
      </w:r>
      <w:r w:rsidRPr="003E5799">
        <w:rPr>
          <w:rFonts w:cs="Calibri"/>
          <w:bCs/>
        </w:rPr>
        <w:t xml:space="preserve"> </w:t>
      </w:r>
      <w:r w:rsidR="00BA45FF">
        <w:rPr>
          <w:rFonts w:cs="Calibri"/>
          <w:bCs/>
        </w:rPr>
        <w:t>apoiou</w:t>
      </w:r>
      <w:r w:rsidR="00BA45FF" w:rsidRPr="003E5799">
        <w:rPr>
          <w:rFonts w:cs="Calibri"/>
          <w:bCs/>
        </w:rPr>
        <w:t xml:space="preserve"> </w:t>
      </w:r>
      <w:r w:rsidR="00BA45FF">
        <w:rPr>
          <w:rFonts w:cs="Calibri"/>
          <w:bCs/>
        </w:rPr>
        <w:t>o quadro</w:t>
      </w:r>
      <w:r w:rsidRPr="003E5799">
        <w:rPr>
          <w:rFonts w:cs="Calibri"/>
          <w:bCs/>
        </w:rPr>
        <w:t xml:space="preserve"> para o Desenvolvimento de Estatísticas Ambientais</w:t>
      </w:r>
      <w:r>
        <w:rPr>
          <w:rFonts w:cs="Calibri"/>
          <w:bCs/>
        </w:rPr>
        <w:t xml:space="preserve"> </w:t>
      </w:r>
      <w:r w:rsidRPr="003E5799">
        <w:rPr>
          <w:rFonts w:cs="Calibri"/>
          <w:bCs/>
        </w:rPr>
        <w:t>(FDES 2013) como estrutura para fortalecer os programas de estatística ambiental nos países e</w:t>
      </w:r>
      <w:r w:rsidR="00BA45FF">
        <w:rPr>
          <w:rFonts w:cs="Calibri"/>
          <w:bCs/>
        </w:rPr>
        <w:t>,</w:t>
      </w:r>
      <w:r w:rsidRPr="003E5799">
        <w:rPr>
          <w:rFonts w:cs="Calibri"/>
          <w:bCs/>
        </w:rPr>
        <w:t xml:space="preserve"> reconheceu</w:t>
      </w:r>
      <w:r w:rsidR="00BA45FF">
        <w:rPr>
          <w:rFonts w:cs="Calibri"/>
          <w:bCs/>
        </w:rPr>
        <w:t>-o</w:t>
      </w:r>
      <w:r w:rsidRPr="003E5799">
        <w:rPr>
          <w:rFonts w:cs="Calibri"/>
          <w:bCs/>
        </w:rPr>
        <w:t xml:space="preserve"> como uma ferramenta útil para responder adequadamente à</w:t>
      </w:r>
      <w:r w:rsidR="00BA45FF" w:rsidRPr="00BA45FF">
        <w:rPr>
          <w:rFonts w:cs="Calibri"/>
          <w:bCs/>
        </w:rPr>
        <w:t xml:space="preserve"> </w:t>
      </w:r>
      <w:r w:rsidR="00BA45FF" w:rsidRPr="003E5799">
        <w:rPr>
          <w:rFonts w:cs="Calibri"/>
          <w:bCs/>
        </w:rPr>
        <w:t>crescente</w:t>
      </w:r>
      <w:r w:rsidRPr="003E5799">
        <w:rPr>
          <w:rFonts w:cs="Calibri"/>
          <w:bCs/>
        </w:rPr>
        <w:t xml:space="preserve"> </w:t>
      </w:r>
      <w:r w:rsidR="00BA45FF">
        <w:rPr>
          <w:rFonts w:cs="Calibri"/>
          <w:bCs/>
        </w:rPr>
        <w:t>procura</w:t>
      </w:r>
      <w:r w:rsidR="00BA45FF" w:rsidRPr="003E5799">
        <w:rPr>
          <w:rFonts w:cs="Calibri"/>
          <w:bCs/>
        </w:rPr>
        <w:t xml:space="preserve"> </w:t>
      </w:r>
      <w:r>
        <w:rPr>
          <w:rFonts w:cs="Calibri"/>
          <w:bCs/>
        </w:rPr>
        <w:t>por</w:t>
      </w:r>
      <w:r w:rsidRPr="003E5799">
        <w:rPr>
          <w:rFonts w:cs="Calibri"/>
          <w:bCs/>
        </w:rPr>
        <w:t xml:space="preserve"> informações ambientais no seguimento da Rio+</w:t>
      </w:r>
      <w:r>
        <w:rPr>
          <w:rFonts w:cs="Calibri"/>
          <w:bCs/>
        </w:rPr>
        <w:t>2</w:t>
      </w:r>
      <w:r w:rsidRPr="003E5799">
        <w:rPr>
          <w:rFonts w:cs="Calibri"/>
          <w:bCs/>
        </w:rPr>
        <w:t xml:space="preserve">0 e da Agenda de Desenvolvimento Pós-2015. O FDES 2013 inclui os Conjuntos Básicos e Principais de Estatísticas Ambientais, que também foram </w:t>
      </w:r>
      <w:r w:rsidR="00BA45FF">
        <w:rPr>
          <w:rFonts w:cs="Calibri"/>
          <w:bCs/>
        </w:rPr>
        <w:t>apoiados</w:t>
      </w:r>
      <w:r w:rsidR="00BA45FF" w:rsidRPr="003E5799">
        <w:rPr>
          <w:rFonts w:cs="Calibri"/>
          <w:bCs/>
        </w:rPr>
        <w:t xml:space="preserve"> </w:t>
      </w:r>
      <w:r w:rsidRPr="003E5799">
        <w:rPr>
          <w:rFonts w:cs="Calibri"/>
          <w:bCs/>
        </w:rPr>
        <w:t>​​pela Comissão de Estatística.</w:t>
      </w:r>
    </w:p>
    <w:p w14:paraId="393BCB7D" w14:textId="77777777" w:rsidR="00D35F0C" w:rsidRPr="00517876" w:rsidRDefault="00D35F0C" w:rsidP="00BE4DA6">
      <w:pPr>
        <w:spacing w:after="0" w:line="240" w:lineRule="auto"/>
        <w:jc w:val="both"/>
        <w:rPr>
          <w:rFonts w:cs="Calibri"/>
          <w:bCs/>
        </w:rPr>
      </w:pPr>
    </w:p>
    <w:p w14:paraId="45FA5932" w14:textId="77777777" w:rsidR="003E5799" w:rsidRPr="003E5799" w:rsidRDefault="003E5799" w:rsidP="003E5799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A </w:t>
      </w:r>
      <w:r w:rsidR="00360889" w:rsidRPr="00360889">
        <w:rPr>
          <w:rFonts w:cs="Calibri"/>
          <w:bCs/>
        </w:rPr>
        <w:t>Divisão de Estatística das Nações Unidas</w:t>
      </w:r>
      <w:r w:rsidR="00360889">
        <w:rPr>
          <w:rFonts w:cs="Calibri"/>
          <w:bCs/>
        </w:rPr>
        <w:t xml:space="preserve"> (UNSD)</w:t>
      </w:r>
      <w:r w:rsidRPr="003E5799">
        <w:rPr>
          <w:rFonts w:cs="Calibri"/>
          <w:bCs/>
        </w:rPr>
        <w:t xml:space="preserve">, em colaboração com o </w:t>
      </w:r>
      <w:bookmarkStart w:id="0" w:name="_Hlk39157780"/>
      <w:r w:rsidRPr="003E5799">
        <w:rPr>
          <w:rFonts w:cs="Calibri"/>
          <w:bCs/>
        </w:rPr>
        <w:t xml:space="preserve">Grupo de </w:t>
      </w:r>
      <w:bookmarkStart w:id="1" w:name="_Hlk39158000"/>
      <w:r w:rsidR="00540B06" w:rsidRPr="00540B06">
        <w:rPr>
          <w:rFonts w:cs="Calibri"/>
          <w:bCs/>
          <w:i/>
          <w:iCs/>
        </w:rPr>
        <w:t>Experts</w:t>
      </w:r>
      <w:bookmarkEnd w:id="1"/>
      <w:r w:rsidRPr="003E5799">
        <w:rPr>
          <w:rFonts w:cs="Calibri"/>
          <w:bCs/>
        </w:rPr>
        <w:t xml:space="preserve"> em Estatísticas Ambientais</w:t>
      </w:r>
      <w:bookmarkEnd w:id="0"/>
      <w:r w:rsidRPr="003E5799">
        <w:rPr>
          <w:rFonts w:cs="Calibri"/>
          <w:bCs/>
        </w:rPr>
        <w:t xml:space="preserve">, desenvolveu a </w:t>
      </w:r>
      <w:r w:rsidR="00360889" w:rsidRPr="00360889">
        <w:rPr>
          <w:rFonts w:cs="Calibri"/>
          <w:bCs/>
        </w:rPr>
        <w:t>Ferramenta de Autoavaliação das Estatísticas Ambientais</w:t>
      </w:r>
      <w:r w:rsidRPr="003E5799">
        <w:rPr>
          <w:rFonts w:cs="Calibri"/>
          <w:bCs/>
        </w:rPr>
        <w:t xml:space="preserve"> (ESSAT) em apoio ao FDES 2013. O objetivo d</w:t>
      </w:r>
      <w:r w:rsidR="006A317C">
        <w:rPr>
          <w:rFonts w:cs="Calibri"/>
          <w:bCs/>
        </w:rPr>
        <w:t>a</w:t>
      </w:r>
      <w:r w:rsidRPr="003E5799">
        <w:rPr>
          <w:rFonts w:cs="Calibri"/>
          <w:bCs/>
        </w:rPr>
        <w:t xml:space="preserve"> ESSAT é ajudar os países a:</w:t>
      </w:r>
    </w:p>
    <w:p w14:paraId="303CA463" w14:textId="77777777" w:rsidR="003E5799" w:rsidRPr="003E5799" w:rsidRDefault="003E5799" w:rsidP="003E579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Calibri"/>
          <w:bCs/>
        </w:rPr>
      </w:pPr>
      <w:r w:rsidRPr="003E5799">
        <w:rPr>
          <w:rFonts w:cs="Calibri"/>
          <w:bCs/>
        </w:rPr>
        <w:t>desenvolve</w:t>
      </w:r>
      <w:r w:rsidR="00360889">
        <w:rPr>
          <w:rFonts w:cs="Calibri"/>
          <w:bCs/>
        </w:rPr>
        <w:t>r os</w:t>
      </w:r>
      <w:r w:rsidRPr="003E5799">
        <w:rPr>
          <w:rFonts w:cs="Calibri"/>
          <w:bCs/>
        </w:rPr>
        <w:t xml:space="preserve"> seus programas de estatística ambiental;</w:t>
      </w:r>
    </w:p>
    <w:p w14:paraId="217B3FE9" w14:textId="77777777" w:rsidR="003E5799" w:rsidRPr="003E5799" w:rsidRDefault="00360889" w:rsidP="003E579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recolhe</w:t>
      </w:r>
      <w:r w:rsidR="003E5799" w:rsidRPr="003E5799">
        <w:rPr>
          <w:rFonts w:cs="Calibri"/>
          <w:bCs/>
        </w:rPr>
        <w:t xml:space="preserve">r </w:t>
      </w:r>
      <w:r>
        <w:rPr>
          <w:rFonts w:cs="Calibri"/>
          <w:bCs/>
        </w:rPr>
        <w:t xml:space="preserve">os </w:t>
      </w:r>
      <w:r w:rsidR="003E5799" w:rsidRPr="003E5799">
        <w:rPr>
          <w:rFonts w:cs="Calibri"/>
          <w:bCs/>
        </w:rPr>
        <w:t>seus próprios dados sobre o meio ambiente; e</w:t>
      </w:r>
    </w:p>
    <w:p w14:paraId="104F8E3C" w14:textId="77777777" w:rsidR="003E5799" w:rsidRPr="003E5799" w:rsidRDefault="003E5799" w:rsidP="003E579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Calibri"/>
          <w:bCs/>
        </w:rPr>
      </w:pPr>
      <w:r w:rsidRPr="003E5799">
        <w:rPr>
          <w:rFonts w:cs="Calibri"/>
          <w:bCs/>
        </w:rPr>
        <w:t xml:space="preserve">avaliar o estado das estatísticas ambientais e as necessidades de seu desenvolvimento </w:t>
      </w:r>
      <w:r w:rsidR="00360889">
        <w:rPr>
          <w:rFonts w:cs="Calibri"/>
          <w:bCs/>
        </w:rPr>
        <w:t>a</w:t>
      </w:r>
      <w:r w:rsidRPr="003E5799">
        <w:rPr>
          <w:rFonts w:cs="Calibri"/>
          <w:bCs/>
        </w:rPr>
        <w:t xml:space="preserve"> nível nacional, ao mesmo tempo em que é consistente com o </w:t>
      </w:r>
      <w:r w:rsidR="00360889">
        <w:rPr>
          <w:rFonts w:cs="Calibri"/>
          <w:bCs/>
        </w:rPr>
        <w:t>âmbito</w:t>
      </w:r>
      <w:r w:rsidRPr="003E5799">
        <w:rPr>
          <w:rFonts w:cs="Calibri"/>
          <w:bCs/>
        </w:rPr>
        <w:t xml:space="preserve"> do FDES 2013.</w:t>
      </w:r>
    </w:p>
    <w:p w14:paraId="57105D4D" w14:textId="77777777" w:rsidR="00D35F0C" w:rsidRPr="00517876" w:rsidRDefault="00D35F0C" w:rsidP="00D35F0C">
      <w:pPr>
        <w:spacing w:after="0" w:line="240" w:lineRule="auto"/>
        <w:rPr>
          <w:rFonts w:cs="Calibri"/>
          <w:bCs/>
        </w:rPr>
      </w:pPr>
    </w:p>
    <w:p w14:paraId="29D83415" w14:textId="77777777" w:rsidR="00014B64" w:rsidRPr="00517876" w:rsidRDefault="00014B64" w:rsidP="00D35F0C">
      <w:pPr>
        <w:spacing w:after="0" w:line="240" w:lineRule="auto"/>
        <w:rPr>
          <w:rFonts w:cs="Calibri"/>
          <w:bCs/>
        </w:rPr>
      </w:pPr>
      <w:r w:rsidRPr="00517876">
        <w:rPr>
          <w:rFonts w:cs="Calibri"/>
          <w:b/>
          <w:bCs/>
          <w:color w:val="548DD4"/>
          <w:sz w:val="28"/>
          <w:szCs w:val="28"/>
        </w:rPr>
        <w:t>U</w:t>
      </w:r>
      <w:r w:rsidR="000752FA">
        <w:rPr>
          <w:rFonts w:cs="Calibri"/>
          <w:b/>
          <w:bCs/>
          <w:color w:val="548DD4"/>
          <w:sz w:val="28"/>
          <w:szCs w:val="28"/>
        </w:rPr>
        <w:t xml:space="preserve">tilização da </w:t>
      </w:r>
      <w:r w:rsidRPr="00517876">
        <w:rPr>
          <w:rFonts w:cs="Calibri"/>
          <w:b/>
          <w:bCs/>
          <w:color w:val="548DD4"/>
          <w:sz w:val="28"/>
          <w:szCs w:val="28"/>
        </w:rPr>
        <w:t>ESSAT</w:t>
      </w:r>
    </w:p>
    <w:p w14:paraId="6652CCB0" w14:textId="77777777" w:rsidR="000752FA" w:rsidRPr="00517876" w:rsidRDefault="000752FA" w:rsidP="00A65B48">
      <w:pPr>
        <w:spacing w:after="0" w:line="240" w:lineRule="auto"/>
        <w:jc w:val="both"/>
        <w:rPr>
          <w:rFonts w:eastAsia="MS Gothic" w:cs="Calibri"/>
        </w:rPr>
      </w:pPr>
      <w:r w:rsidRPr="000752FA">
        <w:rPr>
          <w:rFonts w:eastAsia="MS Gothic" w:cs="Calibri"/>
        </w:rPr>
        <w:t xml:space="preserve">Embora </w:t>
      </w:r>
      <w:r w:rsidR="006A317C">
        <w:rPr>
          <w:rFonts w:eastAsia="MS Gothic" w:cs="Calibri"/>
        </w:rPr>
        <w:t>a</w:t>
      </w:r>
      <w:r w:rsidRPr="000752FA">
        <w:rPr>
          <w:rFonts w:eastAsia="MS Gothic" w:cs="Calibri"/>
        </w:rPr>
        <w:t xml:space="preserve"> ESSAT tenha sido desenvolvido na forma de um questionário, deve ser </w:t>
      </w:r>
      <w:r w:rsidR="00343300">
        <w:rPr>
          <w:rFonts w:eastAsia="MS Gothic" w:cs="Calibri"/>
        </w:rPr>
        <w:t>utilizado</w:t>
      </w:r>
      <w:r w:rsidR="00343300" w:rsidRPr="000752FA">
        <w:rPr>
          <w:rFonts w:eastAsia="MS Gothic" w:cs="Calibri"/>
        </w:rPr>
        <w:t xml:space="preserve"> </w:t>
      </w:r>
      <w:r w:rsidRPr="000752FA">
        <w:rPr>
          <w:rFonts w:eastAsia="MS Gothic" w:cs="Calibri"/>
        </w:rPr>
        <w:t xml:space="preserve">como um guia para um processo de consulta e discussão </w:t>
      </w:r>
      <w:r w:rsidR="00343300">
        <w:rPr>
          <w:rFonts w:eastAsia="MS Gothic" w:cs="Calibri"/>
        </w:rPr>
        <w:t xml:space="preserve">entres  as </w:t>
      </w:r>
      <w:r w:rsidR="0080038E">
        <w:rPr>
          <w:rFonts w:eastAsia="MS Gothic" w:cs="Calibri"/>
        </w:rPr>
        <w:t>múltiplas</w:t>
      </w:r>
      <w:r w:rsidR="00CB509D" w:rsidRPr="00CB509D">
        <w:rPr>
          <w:rFonts w:eastAsia="MS Gothic" w:cs="Calibri"/>
        </w:rPr>
        <w:t xml:space="preserve"> partes interessadas</w:t>
      </w:r>
      <w:r w:rsidRPr="000752FA">
        <w:rPr>
          <w:rFonts w:eastAsia="MS Gothic" w:cs="Calibri"/>
        </w:rPr>
        <w:t xml:space="preserve">. </w:t>
      </w:r>
      <w:r w:rsidR="00CB509D">
        <w:rPr>
          <w:rFonts w:eastAsia="MS Gothic" w:cs="Calibri"/>
        </w:rPr>
        <w:t>O preenchimento</w:t>
      </w:r>
      <w:r w:rsidRPr="000752FA">
        <w:rPr>
          <w:rFonts w:eastAsia="MS Gothic" w:cs="Calibri"/>
        </w:rPr>
        <w:t xml:space="preserve"> da ESSAT </w:t>
      </w:r>
      <w:r w:rsidR="00343300">
        <w:rPr>
          <w:rFonts w:eastAsia="MS Gothic" w:cs="Calibri"/>
        </w:rPr>
        <w:t xml:space="preserve">deve contemplar </w:t>
      </w:r>
      <w:r w:rsidRPr="000752FA">
        <w:rPr>
          <w:rFonts w:eastAsia="MS Gothic" w:cs="Calibri"/>
        </w:rPr>
        <w:t xml:space="preserve">uma parte orgânica </w:t>
      </w:r>
      <w:r w:rsidR="00343300">
        <w:rPr>
          <w:rFonts w:eastAsia="MS Gothic" w:cs="Calibri"/>
        </w:rPr>
        <w:t>que consiste n</w:t>
      </w:r>
      <w:r w:rsidRPr="000752FA">
        <w:rPr>
          <w:rFonts w:eastAsia="MS Gothic" w:cs="Calibri"/>
        </w:rPr>
        <w:t xml:space="preserve">uma consulta nacional sobre o estado das estatísticas ambientais e </w:t>
      </w:r>
      <w:r w:rsidR="00CB509D">
        <w:rPr>
          <w:rFonts w:eastAsia="MS Gothic" w:cs="Calibri"/>
        </w:rPr>
        <w:t xml:space="preserve">sobre </w:t>
      </w:r>
      <w:r w:rsidRPr="000752FA">
        <w:rPr>
          <w:rFonts w:eastAsia="MS Gothic" w:cs="Calibri"/>
        </w:rPr>
        <w:t>um plano estratégico para o desenvolvimento de estatísticas ambientais.</w:t>
      </w:r>
      <w:r w:rsidR="001836F1">
        <w:rPr>
          <w:rFonts w:eastAsia="MS Gothic" w:cs="Calibri"/>
        </w:rPr>
        <w:t xml:space="preserve"> A </w:t>
      </w:r>
      <w:r w:rsidRPr="000752FA">
        <w:rPr>
          <w:rFonts w:eastAsia="MS Gothic" w:cs="Calibri"/>
        </w:rPr>
        <w:t xml:space="preserve">iniciativa, geralmente liderada </w:t>
      </w:r>
      <w:r w:rsidRPr="00274815">
        <w:rPr>
          <w:rFonts w:eastAsia="MS Gothic" w:cs="Calibri"/>
        </w:rPr>
        <w:t>pel</w:t>
      </w:r>
      <w:r w:rsidR="00343300">
        <w:rPr>
          <w:rFonts w:eastAsia="MS Gothic" w:cs="Calibri"/>
        </w:rPr>
        <w:t>o</w:t>
      </w:r>
      <w:r w:rsidRPr="00274815">
        <w:rPr>
          <w:rFonts w:eastAsia="MS Gothic" w:cs="Calibri"/>
        </w:rPr>
        <w:t xml:space="preserve"> </w:t>
      </w:r>
      <w:r w:rsidR="00274815" w:rsidRPr="00274815">
        <w:rPr>
          <w:rFonts w:eastAsia="MS Gothic" w:cs="Calibri"/>
        </w:rPr>
        <w:t>Instituto</w:t>
      </w:r>
      <w:r w:rsidRPr="00274815">
        <w:rPr>
          <w:rFonts w:eastAsia="MS Gothic" w:cs="Calibri"/>
        </w:rPr>
        <w:t xml:space="preserve"> Nacional de Estatística (</w:t>
      </w:r>
      <w:r w:rsidR="00CB509D" w:rsidRPr="00274815">
        <w:rPr>
          <w:rFonts w:eastAsia="MS Gothic" w:cs="Calibri"/>
        </w:rPr>
        <w:t>INE</w:t>
      </w:r>
      <w:r w:rsidRPr="00274815">
        <w:rPr>
          <w:rFonts w:eastAsia="MS Gothic" w:cs="Calibri"/>
        </w:rPr>
        <w:t>) ou</w:t>
      </w:r>
      <w:r w:rsidRPr="000752FA">
        <w:rPr>
          <w:rFonts w:eastAsia="MS Gothic" w:cs="Calibri"/>
        </w:rPr>
        <w:t xml:space="preserve"> pelo Ministério do Ambiente (ou uma instituição nacional equivalente), deve ser realizada</w:t>
      </w:r>
      <w:r w:rsidR="001836F1">
        <w:rPr>
          <w:rFonts w:eastAsia="MS Gothic" w:cs="Calibri"/>
        </w:rPr>
        <w:t xml:space="preserve"> num</w:t>
      </w:r>
      <w:r w:rsidRPr="000752FA">
        <w:rPr>
          <w:rFonts w:eastAsia="MS Gothic" w:cs="Calibri"/>
        </w:rPr>
        <w:t xml:space="preserve"> esforço conjunto </w:t>
      </w:r>
      <w:r w:rsidR="001836F1">
        <w:rPr>
          <w:rFonts w:eastAsia="MS Gothic" w:cs="Calibri"/>
        </w:rPr>
        <w:t xml:space="preserve">entre </w:t>
      </w:r>
      <w:r w:rsidR="001836F1" w:rsidRPr="000752FA">
        <w:rPr>
          <w:rFonts w:eastAsia="MS Gothic" w:cs="Calibri"/>
        </w:rPr>
        <w:t xml:space="preserve"> </w:t>
      </w:r>
      <w:r w:rsidRPr="000752FA">
        <w:rPr>
          <w:rFonts w:eastAsia="MS Gothic" w:cs="Calibri"/>
        </w:rPr>
        <w:t>tod</w:t>
      </w:r>
      <w:r w:rsidR="0080038E">
        <w:rPr>
          <w:rFonts w:eastAsia="MS Gothic" w:cs="Calibri"/>
        </w:rPr>
        <w:t>a</w:t>
      </w:r>
      <w:r w:rsidRPr="000752FA">
        <w:rPr>
          <w:rFonts w:eastAsia="MS Gothic" w:cs="Calibri"/>
        </w:rPr>
        <w:t>s</w:t>
      </w:r>
      <w:r w:rsidR="0080038E" w:rsidRPr="0080038E">
        <w:rPr>
          <w:rFonts w:eastAsia="MS Gothic" w:cs="Calibri"/>
        </w:rPr>
        <w:t xml:space="preserve"> as principais partes interessadas</w:t>
      </w:r>
      <w:r w:rsidR="001836F1">
        <w:rPr>
          <w:rFonts w:eastAsia="MS Gothic" w:cs="Calibri"/>
        </w:rPr>
        <w:t xml:space="preserve"> </w:t>
      </w:r>
      <w:r w:rsidR="001836F1" w:rsidRPr="00A65B48">
        <w:rPr>
          <w:rFonts w:eastAsia="MS Gothic" w:cs="Calibri"/>
        </w:rPr>
        <w:t>relevantes</w:t>
      </w:r>
      <w:r w:rsidR="001836F1">
        <w:rPr>
          <w:rFonts w:eastAsia="MS Gothic" w:cs="Calibri"/>
        </w:rPr>
        <w:t xml:space="preserve">, </w:t>
      </w:r>
      <w:r w:rsidRPr="000752FA">
        <w:rPr>
          <w:rFonts w:eastAsia="MS Gothic" w:cs="Calibri"/>
        </w:rPr>
        <w:t>que desempenham um papel ativo na produção, divulgação e u</w:t>
      </w:r>
      <w:r w:rsidR="00274815">
        <w:rPr>
          <w:rFonts w:eastAsia="MS Gothic" w:cs="Calibri"/>
        </w:rPr>
        <w:t>tilização</w:t>
      </w:r>
      <w:r w:rsidRPr="000752FA">
        <w:rPr>
          <w:rFonts w:eastAsia="MS Gothic" w:cs="Calibri"/>
        </w:rPr>
        <w:t xml:space="preserve"> de estatísticas ambientais. Outras partes interessadas </w:t>
      </w:r>
      <w:r w:rsidR="0080038E" w:rsidRPr="000752FA">
        <w:rPr>
          <w:rFonts w:eastAsia="MS Gothic" w:cs="Calibri"/>
        </w:rPr>
        <w:t>institucionais</w:t>
      </w:r>
      <w:r w:rsidR="00274815">
        <w:rPr>
          <w:rFonts w:eastAsia="MS Gothic" w:cs="Calibri"/>
        </w:rPr>
        <w:t xml:space="preserve"> </w:t>
      </w:r>
      <w:r w:rsidRPr="000752FA">
        <w:rPr>
          <w:rFonts w:eastAsia="MS Gothic" w:cs="Calibri"/>
        </w:rPr>
        <w:t xml:space="preserve">relevantes podem incluir </w:t>
      </w:r>
      <w:r w:rsidR="00B571F6">
        <w:rPr>
          <w:rFonts w:eastAsia="MS Gothic" w:cs="Calibri"/>
        </w:rPr>
        <w:t xml:space="preserve">outros </w:t>
      </w:r>
      <w:r w:rsidRPr="000752FA">
        <w:rPr>
          <w:rFonts w:eastAsia="MS Gothic" w:cs="Calibri"/>
        </w:rPr>
        <w:t>ministérios</w:t>
      </w:r>
      <w:r w:rsidR="00B571F6">
        <w:rPr>
          <w:rFonts w:eastAsia="MS Gothic" w:cs="Calibri"/>
        </w:rPr>
        <w:t xml:space="preserve"> (</w:t>
      </w:r>
      <w:r w:rsidR="009D076E">
        <w:rPr>
          <w:rFonts w:eastAsia="MS Gothic" w:cs="Calibri"/>
        </w:rPr>
        <w:t>p. ex.</w:t>
      </w:r>
      <w:r w:rsidRPr="000752FA">
        <w:rPr>
          <w:rFonts w:eastAsia="MS Gothic" w:cs="Calibri"/>
        </w:rPr>
        <w:t>, Ministério da Agricultura, Ministério da Energia, Ministério da Água), representantes da</w:t>
      </w:r>
      <w:r w:rsidR="00B571F6">
        <w:rPr>
          <w:rFonts w:eastAsia="MS Gothic" w:cs="Calibri"/>
        </w:rPr>
        <w:t>s universidades</w:t>
      </w:r>
      <w:r w:rsidRPr="000752FA">
        <w:rPr>
          <w:rFonts w:eastAsia="MS Gothic" w:cs="Calibri"/>
        </w:rPr>
        <w:t xml:space="preserve"> e organizações não</w:t>
      </w:r>
      <w:r w:rsidR="00B571F6">
        <w:rPr>
          <w:rFonts w:eastAsia="MS Gothic" w:cs="Calibri"/>
        </w:rPr>
        <w:t xml:space="preserve"> </w:t>
      </w:r>
      <w:r w:rsidRPr="000752FA">
        <w:rPr>
          <w:rFonts w:eastAsia="MS Gothic" w:cs="Calibri"/>
        </w:rPr>
        <w:t xml:space="preserve">governamentais, etc. </w:t>
      </w:r>
      <w:r w:rsidR="00817B45">
        <w:rPr>
          <w:rFonts w:eastAsia="MS Gothic" w:cs="Calibri"/>
        </w:rPr>
        <w:t>Assim sendo</w:t>
      </w:r>
      <w:r w:rsidR="00A65B48" w:rsidRPr="00A65B48">
        <w:rPr>
          <w:rFonts w:eastAsia="MS Gothic" w:cs="Calibri"/>
        </w:rPr>
        <w:t xml:space="preserve">, é desejável que todas as partes interessadas relevantes </w:t>
      </w:r>
      <w:r w:rsidR="00A65B48">
        <w:rPr>
          <w:rFonts w:eastAsia="MS Gothic" w:cs="Calibri"/>
        </w:rPr>
        <w:t>tenh</w:t>
      </w:r>
      <w:r w:rsidR="00A65B48" w:rsidRPr="00A65B48">
        <w:rPr>
          <w:rFonts w:eastAsia="MS Gothic" w:cs="Calibri"/>
        </w:rPr>
        <w:t>am uma compreensão unificada da situação d</w:t>
      </w:r>
      <w:r w:rsidR="001836F1">
        <w:rPr>
          <w:rFonts w:eastAsia="MS Gothic" w:cs="Calibri"/>
        </w:rPr>
        <w:t xml:space="preserve">o </w:t>
      </w:r>
      <w:r w:rsidR="00A65B48" w:rsidRPr="00A65B48">
        <w:rPr>
          <w:rFonts w:eastAsia="MS Gothic" w:cs="Calibri"/>
        </w:rPr>
        <w:t xml:space="preserve">país, referente às estatísticas ambientais, para trabalhar com a ESSAT. </w:t>
      </w:r>
      <w:r w:rsidRPr="00A65B48">
        <w:rPr>
          <w:rFonts w:eastAsia="MS Gothic" w:cs="Calibri"/>
        </w:rPr>
        <w:t xml:space="preserve">Portanto, recomenda-se que um país estabeleça ou </w:t>
      </w:r>
      <w:r w:rsidR="00D22F03">
        <w:rPr>
          <w:rFonts w:eastAsia="MS Gothic" w:cs="Calibri"/>
        </w:rPr>
        <w:t xml:space="preserve">crie </w:t>
      </w:r>
      <w:r w:rsidRPr="00A65B48">
        <w:rPr>
          <w:rFonts w:eastAsia="MS Gothic" w:cs="Calibri"/>
        </w:rPr>
        <w:t>um comit</w:t>
      </w:r>
      <w:r w:rsidR="002E44DF">
        <w:rPr>
          <w:rFonts w:eastAsia="MS Gothic" w:cs="Calibri"/>
        </w:rPr>
        <w:t>é</w:t>
      </w:r>
      <w:r w:rsidRPr="00A65B48">
        <w:rPr>
          <w:rFonts w:eastAsia="MS Gothic" w:cs="Calibri"/>
        </w:rPr>
        <w:t>, grupo de trabalho interinstitucional ou</w:t>
      </w:r>
      <w:r w:rsidR="001836F1">
        <w:rPr>
          <w:rFonts w:eastAsia="MS Gothic" w:cs="Calibri"/>
        </w:rPr>
        <w:t xml:space="preserve"> uma</w:t>
      </w:r>
      <w:r w:rsidRPr="00A65B48">
        <w:rPr>
          <w:rFonts w:eastAsia="MS Gothic" w:cs="Calibri"/>
        </w:rPr>
        <w:t xml:space="preserve"> </w:t>
      </w:r>
      <w:r w:rsidR="00A53D0E" w:rsidRPr="00AA7024">
        <w:rPr>
          <w:rFonts w:eastAsia="MS Gothic" w:cs="Calibri"/>
          <w:i/>
          <w:iCs/>
        </w:rPr>
        <w:t>task force</w:t>
      </w:r>
      <w:r w:rsidRPr="00A65B48">
        <w:rPr>
          <w:rFonts w:eastAsia="MS Gothic" w:cs="Calibri"/>
        </w:rPr>
        <w:t xml:space="preserve"> </w:t>
      </w:r>
      <w:r w:rsidR="00817B45">
        <w:rPr>
          <w:rFonts w:eastAsia="MS Gothic" w:cs="Calibri"/>
        </w:rPr>
        <w:t>de forma a</w:t>
      </w:r>
      <w:r w:rsidRPr="00A65B48">
        <w:rPr>
          <w:rFonts w:eastAsia="MS Gothic" w:cs="Calibri"/>
        </w:rPr>
        <w:t xml:space="preserve"> reunir todas as partes interessadas para discutir e concordar </w:t>
      </w:r>
      <w:r w:rsidR="00D22F03">
        <w:rPr>
          <w:rFonts w:eastAsia="MS Gothic" w:cs="Calibri"/>
        </w:rPr>
        <w:t>n</w:t>
      </w:r>
      <w:r w:rsidRPr="00A65B48">
        <w:rPr>
          <w:rFonts w:eastAsia="MS Gothic" w:cs="Calibri"/>
        </w:rPr>
        <w:t>um conjunto comum de respostas</w:t>
      </w:r>
      <w:r w:rsidR="00A65B48" w:rsidRPr="00A65B48">
        <w:rPr>
          <w:rFonts w:eastAsia="MS Gothic" w:cs="Calibri"/>
        </w:rPr>
        <w:t>,</w:t>
      </w:r>
      <w:r w:rsidRPr="00A65B48">
        <w:rPr>
          <w:rFonts w:eastAsia="MS Gothic" w:cs="Calibri"/>
        </w:rPr>
        <w:t xml:space="preserve"> representando a situação </w:t>
      </w:r>
      <w:r w:rsidR="00D22F03">
        <w:rPr>
          <w:rFonts w:eastAsia="MS Gothic" w:cs="Calibri"/>
        </w:rPr>
        <w:t>do</w:t>
      </w:r>
      <w:r w:rsidR="00D22F03" w:rsidRPr="00A65B48">
        <w:rPr>
          <w:rFonts w:eastAsia="MS Gothic" w:cs="Calibri"/>
        </w:rPr>
        <w:t xml:space="preserve"> </w:t>
      </w:r>
      <w:r w:rsidRPr="00A65B48">
        <w:rPr>
          <w:rFonts w:eastAsia="MS Gothic" w:cs="Calibri"/>
        </w:rPr>
        <w:t>país</w:t>
      </w:r>
      <w:r w:rsidR="00A65B48" w:rsidRPr="00A65B48">
        <w:rPr>
          <w:rFonts w:eastAsia="MS Gothic" w:cs="Calibri"/>
        </w:rPr>
        <w:t>,</w:t>
      </w:r>
      <w:r w:rsidRPr="00A65B48">
        <w:rPr>
          <w:rFonts w:eastAsia="MS Gothic" w:cs="Calibri"/>
        </w:rPr>
        <w:t xml:space="preserve"> e que es</w:t>
      </w:r>
      <w:r w:rsidR="00D22F03">
        <w:rPr>
          <w:rFonts w:eastAsia="MS Gothic" w:cs="Calibri"/>
        </w:rPr>
        <w:t>t</w:t>
      </w:r>
      <w:r w:rsidRPr="00A65B48">
        <w:rPr>
          <w:rFonts w:eastAsia="MS Gothic" w:cs="Calibri"/>
        </w:rPr>
        <w:t>e processo seja realizado</w:t>
      </w:r>
      <w:r w:rsidR="00A65B48" w:rsidRPr="00A65B48">
        <w:rPr>
          <w:rFonts w:eastAsia="MS Gothic" w:cs="Calibri"/>
        </w:rPr>
        <w:t xml:space="preserve"> colaborativamente,</w:t>
      </w:r>
      <w:r w:rsidRPr="00A65B48">
        <w:rPr>
          <w:rFonts w:eastAsia="MS Gothic" w:cs="Calibri"/>
        </w:rPr>
        <w:t xml:space="preserve"> de maneira clara e transparente.</w:t>
      </w:r>
    </w:p>
    <w:p w14:paraId="11836B95" w14:textId="77777777" w:rsidR="00790242" w:rsidRPr="00517876" w:rsidRDefault="00790242" w:rsidP="00BE4DA6">
      <w:pPr>
        <w:spacing w:after="0" w:line="240" w:lineRule="auto"/>
        <w:jc w:val="both"/>
        <w:rPr>
          <w:rFonts w:eastAsia="MS Gothic" w:cs="Calibri"/>
        </w:rPr>
      </w:pPr>
    </w:p>
    <w:p w14:paraId="79C2FF54" w14:textId="77777777" w:rsidR="00527858" w:rsidRPr="00517876" w:rsidRDefault="00527858" w:rsidP="00BE4DA6">
      <w:pPr>
        <w:spacing w:after="0" w:line="240" w:lineRule="auto"/>
        <w:jc w:val="both"/>
        <w:rPr>
          <w:rFonts w:eastAsia="MS Gothic" w:cs="Calibri"/>
        </w:rPr>
      </w:pPr>
      <w:r w:rsidRPr="00527858">
        <w:rPr>
          <w:rFonts w:eastAsia="MS Gothic" w:cs="Calibri"/>
        </w:rPr>
        <w:t xml:space="preserve">Idealmente, antes de aplicar </w:t>
      </w:r>
      <w:r w:rsidR="006A317C">
        <w:rPr>
          <w:rFonts w:eastAsia="MS Gothic" w:cs="Calibri"/>
        </w:rPr>
        <w:t>a</w:t>
      </w:r>
      <w:r w:rsidRPr="00527858">
        <w:rPr>
          <w:rFonts w:eastAsia="MS Gothic" w:cs="Calibri"/>
        </w:rPr>
        <w:t xml:space="preserve"> ESSAT, é recomendável ler o FDES 2013 para obter um entendimento adequado dos principais conceitos usados n</w:t>
      </w:r>
      <w:r w:rsidR="006A317C">
        <w:rPr>
          <w:rFonts w:eastAsia="MS Gothic" w:cs="Calibri"/>
        </w:rPr>
        <w:t>a</w:t>
      </w:r>
      <w:r w:rsidRPr="00527858">
        <w:rPr>
          <w:rFonts w:eastAsia="MS Gothic" w:cs="Calibri"/>
        </w:rPr>
        <w:t xml:space="preserve"> ESSAT e </w:t>
      </w:r>
      <w:r>
        <w:rPr>
          <w:rFonts w:eastAsia="MS Gothic" w:cs="Calibri"/>
        </w:rPr>
        <w:t>para</w:t>
      </w:r>
      <w:r w:rsidR="00E70519">
        <w:rPr>
          <w:rFonts w:eastAsia="MS Gothic" w:cs="Calibri"/>
        </w:rPr>
        <w:t xml:space="preserve"> </w:t>
      </w:r>
      <w:r w:rsidRPr="00527858">
        <w:rPr>
          <w:rFonts w:eastAsia="MS Gothic" w:cs="Calibri"/>
        </w:rPr>
        <w:t>partilhar um</w:t>
      </w:r>
      <w:r>
        <w:rPr>
          <w:rFonts w:eastAsia="MS Gothic" w:cs="Calibri"/>
        </w:rPr>
        <w:t xml:space="preserve">a linguagem </w:t>
      </w:r>
      <w:r w:rsidRPr="00527858">
        <w:rPr>
          <w:rFonts w:eastAsia="MS Gothic" w:cs="Calibri"/>
        </w:rPr>
        <w:t xml:space="preserve">comum. Para a Parte I, as partes mais aplicáveis do FDES são os capítulos 1 e 2. Para a Parte II, os capítulos 3 e 4 são </w:t>
      </w:r>
      <w:r w:rsidR="00E70519">
        <w:rPr>
          <w:rFonts w:eastAsia="MS Gothic" w:cs="Calibri"/>
        </w:rPr>
        <w:t xml:space="preserve">os </w:t>
      </w:r>
      <w:r w:rsidRPr="00527858">
        <w:rPr>
          <w:rFonts w:eastAsia="MS Gothic" w:cs="Calibri"/>
        </w:rPr>
        <w:t>mais aplicáveis.</w:t>
      </w:r>
    </w:p>
    <w:p w14:paraId="48CA2F4D" w14:textId="77777777" w:rsidR="00B143D5" w:rsidRPr="00517876" w:rsidRDefault="00B143D5" w:rsidP="00BE4DA6">
      <w:pPr>
        <w:spacing w:after="0" w:line="240" w:lineRule="auto"/>
        <w:jc w:val="both"/>
        <w:rPr>
          <w:rFonts w:eastAsia="MS Gothic" w:cs="Calibri"/>
        </w:rPr>
      </w:pPr>
    </w:p>
    <w:p w14:paraId="0F858B7F" w14:textId="77777777" w:rsidR="00247D09" w:rsidRPr="00517876" w:rsidRDefault="00247D09" w:rsidP="00BE4DA6">
      <w:pPr>
        <w:spacing w:after="0" w:line="240" w:lineRule="auto"/>
        <w:jc w:val="both"/>
        <w:rPr>
          <w:rFonts w:cs="Calibri"/>
          <w:bCs/>
          <w:color w:val="000000" w:themeColor="text1"/>
        </w:rPr>
      </w:pPr>
      <w:r w:rsidRPr="00247D09">
        <w:rPr>
          <w:rFonts w:cs="Calibri"/>
          <w:bCs/>
          <w:color w:val="000000" w:themeColor="text1"/>
        </w:rPr>
        <w:t xml:space="preserve">As informações sistematizadas </w:t>
      </w:r>
      <w:r>
        <w:rPr>
          <w:rFonts w:cs="Calibri"/>
          <w:bCs/>
          <w:color w:val="000000" w:themeColor="text1"/>
        </w:rPr>
        <w:t>através d</w:t>
      </w:r>
      <w:r w:rsidR="002B37C5">
        <w:rPr>
          <w:rFonts w:cs="Calibri"/>
          <w:bCs/>
          <w:color w:val="000000" w:themeColor="text1"/>
        </w:rPr>
        <w:t>a</w:t>
      </w:r>
      <w:r w:rsidRPr="00247D09">
        <w:rPr>
          <w:rFonts w:cs="Calibri"/>
          <w:bCs/>
          <w:color w:val="000000" w:themeColor="text1"/>
        </w:rPr>
        <w:t xml:space="preserve"> ESSAT podem ser usadas para elaborar um plano para o desenvolvimento de estatísticas ambientais com base nas necessidades, capacidades e recursos de cada país. Ao elaborar um plano, prevê-se que para muitos países o FDES 2013 seja indispensável. Um plano que utiliza o FDES 2013 pode ser construído de maneira sequencial, modular e incremental</w:t>
      </w:r>
      <w:r>
        <w:rPr>
          <w:rFonts w:cs="Calibri"/>
          <w:bCs/>
          <w:color w:val="000000" w:themeColor="text1"/>
        </w:rPr>
        <w:t>.</w:t>
      </w:r>
      <w:r w:rsidRPr="00247D09">
        <w:rPr>
          <w:rFonts w:cs="Calibri"/>
          <w:bCs/>
          <w:color w:val="000000" w:themeColor="text1"/>
        </w:rPr>
        <w:t xml:space="preserve"> </w:t>
      </w:r>
      <w:r>
        <w:rPr>
          <w:rFonts w:cs="Calibri"/>
          <w:bCs/>
          <w:color w:val="000000" w:themeColor="text1"/>
        </w:rPr>
        <w:t xml:space="preserve">Pode ser </w:t>
      </w:r>
      <w:r w:rsidRPr="00247D09">
        <w:rPr>
          <w:rFonts w:cs="Calibri"/>
          <w:bCs/>
          <w:color w:val="000000" w:themeColor="text1"/>
        </w:rPr>
        <w:t>implementado ao longo do tempo</w:t>
      </w:r>
      <w:r w:rsidR="00E70519">
        <w:rPr>
          <w:rFonts w:cs="Calibri"/>
          <w:bCs/>
          <w:color w:val="000000" w:themeColor="text1"/>
        </w:rPr>
        <w:t>,</w:t>
      </w:r>
      <w:r w:rsidRPr="00247D09">
        <w:rPr>
          <w:rFonts w:cs="Calibri"/>
          <w:bCs/>
          <w:color w:val="000000" w:themeColor="text1"/>
        </w:rPr>
        <w:t xml:space="preserve"> com a participação de diferentes agências e parceiros para as estatísticas, identificadas por esta ferramenta. Es</w:t>
      </w:r>
      <w:r w:rsidR="00E70519">
        <w:rPr>
          <w:rFonts w:cs="Calibri"/>
          <w:bCs/>
          <w:color w:val="000000" w:themeColor="text1"/>
        </w:rPr>
        <w:t>t</w:t>
      </w:r>
      <w:r w:rsidRPr="00247D09">
        <w:rPr>
          <w:rFonts w:cs="Calibri"/>
          <w:bCs/>
          <w:color w:val="000000" w:themeColor="text1"/>
        </w:rPr>
        <w:t xml:space="preserve">a colaboração é essencial não apenas para a avaliação bem informada do estado atual das estatísticas ambientais, mas também para a identificação realista das prioridades nacionais e </w:t>
      </w:r>
      <w:r w:rsidR="00A20C6F">
        <w:rPr>
          <w:rFonts w:cs="Calibri"/>
          <w:bCs/>
          <w:color w:val="000000" w:themeColor="text1"/>
        </w:rPr>
        <w:t>d</w:t>
      </w:r>
      <w:r w:rsidRPr="00247D09">
        <w:rPr>
          <w:rFonts w:cs="Calibri"/>
          <w:bCs/>
          <w:color w:val="000000" w:themeColor="text1"/>
        </w:rPr>
        <w:t xml:space="preserve">os principais elementos de uma estratégia nacional comum de desenvolvimento </w:t>
      </w:r>
      <w:r w:rsidRPr="00247D09">
        <w:rPr>
          <w:rFonts w:cs="Calibri"/>
          <w:bCs/>
          <w:color w:val="000000" w:themeColor="text1"/>
        </w:rPr>
        <w:lastRenderedPageBreak/>
        <w:t xml:space="preserve">de estatísticas ambientais, pela qual as partes interessadas </w:t>
      </w:r>
      <w:r w:rsidR="00A20C6F">
        <w:rPr>
          <w:rFonts w:cs="Calibri"/>
          <w:bCs/>
          <w:color w:val="000000" w:themeColor="text1"/>
        </w:rPr>
        <w:t>assumam</w:t>
      </w:r>
      <w:r w:rsidRPr="00247D09">
        <w:rPr>
          <w:rFonts w:cs="Calibri"/>
          <w:bCs/>
          <w:color w:val="000000" w:themeColor="text1"/>
        </w:rPr>
        <w:t xml:space="preserve"> a propriedade</w:t>
      </w:r>
      <w:r w:rsidR="00A20C6F">
        <w:rPr>
          <w:rFonts w:cs="Calibri"/>
          <w:bCs/>
          <w:color w:val="000000" w:themeColor="text1"/>
        </w:rPr>
        <w:t xml:space="preserve"> e </w:t>
      </w:r>
      <w:r w:rsidRPr="00247D09">
        <w:rPr>
          <w:rFonts w:cs="Calibri"/>
          <w:bCs/>
          <w:color w:val="000000" w:themeColor="text1"/>
        </w:rPr>
        <w:t xml:space="preserve">a responsabilidade e </w:t>
      </w:r>
      <w:r w:rsidR="00A20C6F">
        <w:rPr>
          <w:rFonts w:cs="Calibri"/>
          <w:bCs/>
          <w:color w:val="000000" w:themeColor="text1"/>
        </w:rPr>
        <w:t xml:space="preserve">que </w:t>
      </w:r>
      <w:r w:rsidRPr="00247D09">
        <w:rPr>
          <w:rFonts w:cs="Calibri"/>
          <w:bCs/>
          <w:color w:val="000000" w:themeColor="text1"/>
        </w:rPr>
        <w:t>po</w:t>
      </w:r>
      <w:r w:rsidR="00A20C6F">
        <w:rPr>
          <w:rFonts w:cs="Calibri"/>
          <w:bCs/>
          <w:color w:val="000000" w:themeColor="text1"/>
        </w:rPr>
        <w:t>ssam</w:t>
      </w:r>
      <w:r w:rsidRPr="00247D09">
        <w:rPr>
          <w:rFonts w:cs="Calibri"/>
          <w:bCs/>
          <w:color w:val="000000" w:themeColor="text1"/>
        </w:rPr>
        <w:t xml:space="preserve"> ser responsabilizado</w:t>
      </w:r>
      <w:r w:rsidR="00A20C6F">
        <w:rPr>
          <w:rFonts w:cs="Calibri"/>
          <w:bCs/>
          <w:color w:val="000000" w:themeColor="text1"/>
        </w:rPr>
        <w:t>s</w:t>
      </w:r>
      <w:r w:rsidRPr="00247D09">
        <w:rPr>
          <w:rFonts w:cs="Calibri"/>
          <w:bCs/>
          <w:color w:val="000000" w:themeColor="text1"/>
        </w:rPr>
        <w:t>.</w:t>
      </w:r>
    </w:p>
    <w:p w14:paraId="1145378B" w14:textId="77777777" w:rsidR="00D35F0C" w:rsidRPr="00517876" w:rsidRDefault="00D35F0C" w:rsidP="00D35F0C">
      <w:pPr>
        <w:spacing w:after="0" w:line="240" w:lineRule="auto"/>
        <w:rPr>
          <w:rFonts w:cs="Calibri"/>
          <w:b/>
          <w:bCs/>
          <w:color w:val="548DD4"/>
          <w:sz w:val="28"/>
          <w:szCs w:val="28"/>
        </w:rPr>
      </w:pPr>
    </w:p>
    <w:p w14:paraId="27709003" w14:textId="77777777" w:rsidR="00856D16" w:rsidRPr="00517876" w:rsidRDefault="002B37C5" w:rsidP="00D35F0C">
      <w:pPr>
        <w:spacing w:after="0" w:line="240" w:lineRule="auto"/>
        <w:rPr>
          <w:rFonts w:cs="Calibri"/>
          <w:b/>
          <w:bCs/>
          <w:color w:val="548DD4"/>
          <w:sz w:val="28"/>
          <w:szCs w:val="28"/>
        </w:rPr>
      </w:pPr>
      <w:r>
        <w:rPr>
          <w:rFonts w:cs="Calibri"/>
          <w:b/>
          <w:bCs/>
          <w:color w:val="548DD4"/>
          <w:sz w:val="28"/>
          <w:szCs w:val="28"/>
        </w:rPr>
        <w:t>A estrutura da ESSAT</w:t>
      </w:r>
    </w:p>
    <w:p w14:paraId="245185A1" w14:textId="77777777" w:rsidR="006A317C" w:rsidRPr="00517876" w:rsidRDefault="006A317C" w:rsidP="00BE4DA6">
      <w:pPr>
        <w:spacing w:after="0" w:line="240" w:lineRule="auto"/>
        <w:jc w:val="both"/>
        <w:rPr>
          <w:rFonts w:eastAsia="MS Gothic" w:cs="Calibri"/>
        </w:rPr>
      </w:pPr>
      <w:r w:rsidRPr="006A317C">
        <w:rPr>
          <w:rFonts w:eastAsia="MS Gothic" w:cs="Calibri"/>
        </w:rPr>
        <w:t xml:space="preserve">A ESSAT consiste em duas partes, Parte I: </w:t>
      </w:r>
      <w:bookmarkStart w:id="2" w:name="_Hlk38995057"/>
      <w:r w:rsidRPr="006A317C">
        <w:rPr>
          <w:rFonts w:eastAsia="MS Gothic" w:cs="Calibri"/>
        </w:rPr>
        <w:t xml:space="preserve">Dimensão Institucional das Estatísticas Ambientais </w:t>
      </w:r>
      <w:bookmarkEnd w:id="2"/>
      <w:r w:rsidRPr="006A317C">
        <w:rPr>
          <w:rFonts w:eastAsia="MS Gothic" w:cs="Calibri"/>
        </w:rPr>
        <w:t xml:space="preserve">e Parte II: </w:t>
      </w:r>
      <w:bookmarkStart w:id="3" w:name="_Hlk38996092"/>
      <w:r w:rsidRPr="006A317C">
        <w:rPr>
          <w:rFonts w:eastAsia="MS Gothic" w:cs="Calibri"/>
        </w:rPr>
        <w:t>Avaliação do Nível Estatístico</w:t>
      </w:r>
      <w:bookmarkEnd w:id="3"/>
      <w:r w:rsidRPr="006A317C">
        <w:rPr>
          <w:rFonts w:eastAsia="MS Gothic" w:cs="Calibri"/>
        </w:rPr>
        <w:t>. As partes I e II estão estreitamente relacionadas e, idealmente, não devem ser tratadas independentes uma da outra.</w:t>
      </w:r>
    </w:p>
    <w:p w14:paraId="6680305A" w14:textId="77777777" w:rsidR="00CB4906" w:rsidRPr="00517876" w:rsidRDefault="00CB4906" w:rsidP="00856D16">
      <w:pPr>
        <w:spacing w:after="0" w:line="240" w:lineRule="auto"/>
        <w:rPr>
          <w:rFonts w:cs="Calibri"/>
          <w:bCs/>
        </w:rPr>
      </w:pPr>
    </w:p>
    <w:p w14:paraId="5ECBD5BE" w14:textId="77777777" w:rsidR="00D35F0C" w:rsidRPr="00517876" w:rsidRDefault="00D35F0C" w:rsidP="00D35F0C">
      <w:pPr>
        <w:spacing w:after="0" w:line="240" w:lineRule="auto"/>
        <w:rPr>
          <w:rFonts w:cs="Calibri"/>
          <w:b/>
          <w:bCs/>
          <w:color w:val="548DD4"/>
          <w:sz w:val="24"/>
          <w:szCs w:val="24"/>
        </w:rPr>
      </w:pPr>
      <w:r w:rsidRPr="00517876">
        <w:rPr>
          <w:rFonts w:cs="Calibri"/>
          <w:b/>
          <w:bCs/>
          <w:color w:val="548DD4"/>
          <w:sz w:val="24"/>
          <w:szCs w:val="24"/>
        </w:rPr>
        <w:t>Part</w:t>
      </w:r>
      <w:r w:rsidR="006A317C">
        <w:rPr>
          <w:rFonts w:cs="Calibri"/>
          <w:b/>
          <w:bCs/>
          <w:color w:val="548DD4"/>
          <w:sz w:val="24"/>
          <w:szCs w:val="24"/>
        </w:rPr>
        <w:t>e</w:t>
      </w:r>
      <w:r w:rsidRPr="00517876">
        <w:rPr>
          <w:rFonts w:cs="Calibri"/>
          <w:b/>
          <w:bCs/>
          <w:color w:val="548DD4"/>
          <w:sz w:val="24"/>
          <w:szCs w:val="24"/>
        </w:rPr>
        <w:t xml:space="preserve"> I: </w:t>
      </w:r>
      <w:r w:rsidR="006A317C" w:rsidRPr="006A317C">
        <w:rPr>
          <w:rFonts w:cs="Calibri"/>
          <w:b/>
          <w:bCs/>
          <w:color w:val="548DD4"/>
          <w:sz w:val="24"/>
          <w:szCs w:val="24"/>
        </w:rPr>
        <w:t>Dimensão Institucional das Estatísticas Ambientais</w:t>
      </w:r>
    </w:p>
    <w:p w14:paraId="4CD3CD30" w14:textId="77777777" w:rsidR="00C15865" w:rsidRPr="00517876" w:rsidRDefault="00C15865" w:rsidP="00BE4DA6">
      <w:pPr>
        <w:spacing w:after="0" w:line="240" w:lineRule="auto"/>
        <w:jc w:val="both"/>
        <w:rPr>
          <w:rFonts w:cs="Calibri"/>
          <w:bCs/>
        </w:rPr>
      </w:pPr>
      <w:r w:rsidRPr="00C15865">
        <w:rPr>
          <w:rFonts w:cs="Calibri"/>
          <w:bCs/>
        </w:rPr>
        <w:t xml:space="preserve">A Parte I </w:t>
      </w:r>
      <w:r w:rsidR="00E70519">
        <w:rPr>
          <w:rFonts w:cs="Calibri"/>
          <w:bCs/>
        </w:rPr>
        <w:t xml:space="preserve">consiste </w:t>
      </w:r>
      <w:r w:rsidRPr="00C15865">
        <w:rPr>
          <w:rFonts w:cs="Calibri"/>
          <w:bCs/>
        </w:rPr>
        <w:t xml:space="preserve">na estrutura institucional e organizacional geral das estatísticas nacionais </w:t>
      </w:r>
      <w:r w:rsidR="00E70519">
        <w:rPr>
          <w:rFonts w:cs="Calibri"/>
          <w:bCs/>
        </w:rPr>
        <w:t>d</w:t>
      </w:r>
      <w:r w:rsidRPr="00C15865">
        <w:rPr>
          <w:rFonts w:cs="Calibri"/>
          <w:bCs/>
        </w:rPr>
        <w:t xml:space="preserve">o país e em informações específicas sobre estatísticas ambientais em termos de, </w:t>
      </w:r>
      <w:r>
        <w:rPr>
          <w:rFonts w:cs="Calibri"/>
          <w:bCs/>
        </w:rPr>
        <w:t>nomeadamente</w:t>
      </w:r>
      <w:r w:rsidRPr="00C15865">
        <w:rPr>
          <w:rFonts w:cs="Calibri"/>
          <w:bCs/>
        </w:rPr>
        <w:t xml:space="preserve">, enquadramentos políticos, mandatos, </w:t>
      </w:r>
      <w:r w:rsidR="000C2E47" w:rsidRPr="000C2E47">
        <w:rPr>
          <w:rFonts w:cs="Calibri"/>
          <w:bCs/>
        </w:rPr>
        <w:t>disposição institucional</w:t>
      </w:r>
      <w:r w:rsidRPr="00C15865">
        <w:rPr>
          <w:rFonts w:cs="Calibri"/>
          <w:bCs/>
        </w:rPr>
        <w:t xml:space="preserve">, organização, colaboração, recursos, cooperação </w:t>
      </w:r>
      <w:r w:rsidR="000C2E47" w:rsidRPr="00C15865">
        <w:rPr>
          <w:rFonts w:cs="Calibri"/>
          <w:bCs/>
        </w:rPr>
        <w:t>internaciona</w:t>
      </w:r>
      <w:r w:rsidR="000C2E47">
        <w:rPr>
          <w:rFonts w:cs="Calibri"/>
          <w:bCs/>
        </w:rPr>
        <w:t>l</w:t>
      </w:r>
      <w:r w:rsidR="000C2E47" w:rsidRPr="00C15865">
        <w:rPr>
          <w:rFonts w:cs="Calibri"/>
          <w:bCs/>
        </w:rPr>
        <w:t xml:space="preserve"> </w:t>
      </w:r>
      <w:r w:rsidRPr="00C15865">
        <w:rPr>
          <w:rFonts w:cs="Calibri"/>
          <w:bCs/>
        </w:rPr>
        <w:t xml:space="preserve">e usos. Portanto, a Parte I contém muitas informações que podem ser de maior interesse do ponto de vista </w:t>
      </w:r>
      <w:r w:rsidR="008B66F2">
        <w:rPr>
          <w:rFonts w:cs="Calibri"/>
          <w:bCs/>
        </w:rPr>
        <w:t>administrativo</w:t>
      </w:r>
      <w:r w:rsidRPr="00C15865">
        <w:rPr>
          <w:rFonts w:cs="Calibri"/>
          <w:bCs/>
        </w:rPr>
        <w:t xml:space="preserve"> ou político.</w:t>
      </w:r>
    </w:p>
    <w:p w14:paraId="74738B3E" w14:textId="77777777" w:rsidR="00F01B5D" w:rsidRPr="00517876" w:rsidRDefault="00F01B5D" w:rsidP="00BE4DA6">
      <w:pPr>
        <w:spacing w:after="0" w:line="240" w:lineRule="auto"/>
        <w:jc w:val="both"/>
        <w:rPr>
          <w:rFonts w:cs="Calibri"/>
          <w:bCs/>
        </w:rPr>
      </w:pPr>
    </w:p>
    <w:p w14:paraId="0FB1BD71" w14:textId="77777777" w:rsidR="00D35F0C" w:rsidRPr="00517876" w:rsidRDefault="002E483D" w:rsidP="00BE4DA6">
      <w:pPr>
        <w:spacing w:after="0" w:line="240" w:lineRule="auto"/>
        <w:jc w:val="both"/>
        <w:rPr>
          <w:rFonts w:cs="Calibri"/>
          <w:bCs/>
        </w:rPr>
      </w:pPr>
      <w:r w:rsidRPr="002E483D">
        <w:rPr>
          <w:rFonts w:cs="Calibri"/>
          <w:bCs/>
        </w:rPr>
        <w:t>Está dividido nas seguintes seções:</w:t>
      </w:r>
    </w:p>
    <w:p w14:paraId="30BD4B87" w14:textId="77777777" w:rsidR="002E483D" w:rsidRPr="002E483D" w:rsidRDefault="002E483D" w:rsidP="002E483D">
      <w:pPr>
        <w:numPr>
          <w:ilvl w:val="0"/>
          <w:numId w:val="4"/>
        </w:numPr>
        <w:spacing w:after="0" w:line="240" w:lineRule="auto"/>
        <w:jc w:val="both"/>
        <w:rPr>
          <w:rFonts w:cs="Calibri"/>
          <w:bCs/>
        </w:rPr>
      </w:pPr>
      <w:r w:rsidRPr="002E483D">
        <w:rPr>
          <w:rFonts w:cs="Calibri"/>
          <w:bCs/>
        </w:rPr>
        <w:t>Identificação das instituições</w:t>
      </w:r>
    </w:p>
    <w:p w14:paraId="69074BB6" w14:textId="77777777" w:rsidR="002E483D" w:rsidRPr="002E483D" w:rsidRDefault="00A25F20" w:rsidP="002E483D">
      <w:pPr>
        <w:numPr>
          <w:ilvl w:val="0"/>
          <w:numId w:val="4"/>
        </w:numPr>
        <w:spacing w:after="0" w:line="240" w:lineRule="auto"/>
        <w:jc w:val="both"/>
        <w:rPr>
          <w:rFonts w:cs="Calibri"/>
          <w:bCs/>
        </w:rPr>
      </w:pPr>
      <w:bookmarkStart w:id="4" w:name="_Hlk39247194"/>
      <w:r>
        <w:rPr>
          <w:rFonts w:cs="Calibri"/>
          <w:bCs/>
        </w:rPr>
        <w:t>Existência de p</w:t>
      </w:r>
      <w:r w:rsidR="002E483D" w:rsidRPr="002E483D">
        <w:rPr>
          <w:rFonts w:cs="Calibri"/>
          <w:bCs/>
        </w:rPr>
        <w:t>olíticas nacionais relevantes para o ambiente</w:t>
      </w:r>
    </w:p>
    <w:bookmarkEnd w:id="4"/>
    <w:p w14:paraId="57F084DE" w14:textId="77777777" w:rsidR="002E483D" w:rsidRPr="002E483D" w:rsidRDefault="002E483D" w:rsidP="002E483D">
      <w:pPr>
        <w:numPr>
          <w:ilvl w:val="0"/>
          <w:numId w:val="4"/>
        </w:numPr>
        <w:spacing w:after="0" w:line="240" w:lineRule="auto"/>
        <w:jc w:val="both"/>
        <w:rPr>
          <w:rFonts w:cs="Calibri"/>
          <w:bCs/>
        </w:rPr>
      </w:pPr>
      <w:r w:rsidRPr="002E483D">
        <w:rPr>
          <w:rFonts w:cs="Calibri"/>
          <w:bCs/>
        </w:rPr>
        <w:t>Mandato e organização de estatísticas nacionais</w:t>
      </w:r>
    </w:p>
    <w:p w14:paraId="41262D3D" w14:textId="77777777" w:rsidR="002E483D" w:rsidRPr="002E483D" w:rsidRDefault="002E483D" w:rsidP="002E483D">
      <w:pPr>
        <w:numPr>
          <w:ilvl w:val="0"/>
          <w:numId w:val="4"/>
        </w:numPr>
        <w:spacing w:after="0" w:line="240" w:lineRule="auto"/>
        <w:jc w:val="both"/>
        <w:rPr>
          <w:rFonts w:cs="Calibri"/>
          <w:bCs/>
        </w:rPr>
      </w:pPr>
      <w:r w:rsidRPr="002E483D">
        <w:rPr>
          <w:rFonts w:cs="Calibri"/>
          <w:bCs/>
        </w:rPr>
        <w:t>Mandato e organização das estatísticas ambientais</w:t>
      </w:r>
    </w:p>
    <w:p w14:paraId="70A248E9" w14:textId="77777777" w:rsidR="002E483D" w:rsidRPr="002E483D" w:rsidRDefault="002E483D" w:rsidP="002E483D">
      <w:pPr>
        <w:numPr>
          <w:ilvl w:val="0"/>
          <w:numId w:val="4"/>
        </w:numPr>
        <w:spacing w:after="0" w:line="240" w:lineRule="auto"/>
        <w:jc w:val="both"/>
        <w:rPr>
          <w:rFonts w:cs="Calibri"/>
          <w:bCs/>
        </w:rPr>
      </w:pPr>
      <w:r w:rsidRPr="002E483D">
        <w:rPr>
          <w:rFonts w:cs="Calibri"/>
          <w:bCs/>
        </w:rPr>
        <w:t>Produção de estatísticas ambientais</w:t>
      </w:r>
    </w:p>
    <w:p w14:paraId="1CD404FD" w14:textId="77777777" w:rsidR="002E483D" w:rsidRPr="002E483D" w:rsidRDefault="002E483D" w:rsidP="002E483D">
      <w:pPr>
        <w:numPr>
          <w:ilvl w:val="0"/>
          <w:numId w:val="4"/>
        </w:numPr>
        <w:spacing w:after="0" w:line="240" w:lineRule="auto"/>
        <w:jc w:val="both"/>
        <w:rPr>
          <w:rFonts w:cs="Calibri"/>
          <w:bCs/>
        </w:rPr>
      </w:pPr>
      <w:r w:rsidRPr="002E483D">
        <w:rPr>
          <w:rFonts w:cs="Calibri"/>
          <w:bCs/>
        </w:rPr>
        <w:t>U</w:t>
      </w:r>
      <w:r w:rsidR="00A25F20">
        <w:rPr>
          <w:rFonts w:cs="Calibri"/>
          <w:bCs/>
        </w:rPr>
        <w:t>tilizaçõe</w:t>
      </w:r>
      <w:r w:rsidRPr="002E483D">
        <w:rPr>
          <w:rFonts w:cs="Calibri"/>
          <w:bCs/>
        </w:rPr>
        <w:t>s das estatísticas ambientais</w:t>
      </w:r>
    </w:p>
    <w:p w14:paraId="0CD01895" w14:textId="77777777" w:rsidR="002E483D" w:rsidRPr="002E483D" w:rsidRDefault="002E483D" w:rsidP="002E483D">
      <w:pPr>
        <w:numPr>
          <w:ilvl w:val="0"/>
          <w:numId w:val="4"/>
        </w:numPr>
        <w:spacing w:after="0" w:line="240" w:lineRule="auto"/>
        <w:jc w:val="both"/>
        <w:rPr>
          <w:rFonts w:cs="Calibri"/>
          <w:bCs/>
        </w:rPr>
      </w:pPr>
      <w:r w:rsidRPr="002E483D">
        <w:rPr>
          <w:rFonts w:cs="Calibri"/>
          <w:bCs/>
        </w:rPr>
        <w:t>Colaboração interinstitucional para a produção de estatísticas ambientais</w:t>
      </w:r>
    </w:p>
    <w:p w14:paraId="264BC839" w14:textId="77777777" w:rsidR="002E483D" w:rsidRPr="002E483D" w:rsidRDefault="002E483D" w:rsidP="002E483D">
      <w:pPr>
        <w:numPr>
          <w:ilvl w:val="0"/>
          <w:numId w:val="4"/>
        </w:numPr>
        <w:spacing w:after="0" w:line="240" w:lineRule="auto"/>
        <w:jc w:val="both"/>
        <w:rPr>
          <w:rFonts w:cs="Calibri"/>
          <w:bCs/>
        </w:rPr>
      </w:pPr>
      <w:r w:rsidRPr="002E483D">
        <w:rPr>
          <w:rFonts w:cs="Calibri"/>
          <w:bCs/>
        </w:rPr>
        <w:t xml:space="preserve">Recursos existentes e necessários para </w:t>
      </w:r>
      <w:r w:rsidR="00FA398A">
        <w:rPr>
          <w:rFonts w:cs="Calibri"/>
          <w:bCs/>
        </w:rPr>
        <w:t xml:space="preserve">as </w:t>
      </w:r>
      <w:r w:rsidRPr="002E483D">
        <w:rPr>
          <w:rFonts w:cs="Calibri"/>
          <w:bCs/>
        </w:rPr>
        <w:t xml:space="preserve">estatísticas </w:t>
      </w:r>
      <w:r w:rsidR="00FA398A">
        <w:rPr>
          <w:rFonts w:cs="Calibri"/>
          <w:bCs/>
        </w:rPr>
        <w:t>ambientais</w:t>
      </w:r>
    </w:p>
    <w:p w14:paraId="444D001C" w14:textId="77777777" w:rsidR="002E483D" w:rsidRPr="002E483D" w:rsidRDefault="002E483D" w:rsidP="002E483D">
      <w:pPr>
        <w:numPr>
          <w:ilvl w:val="0"/>
          <w:numId w:val="4"/>
        </w:numPr>
        <w:spacing w:after="0" w:line="240" w:lineRule="auto"/>
        <w:jc w:val="both"/>
        <w:rPr>
          <w:rFonts w:cs="Calibri"/>
          <w:bCs/>
        </w:rPr>
      </w:pPr>
      <w:bookmarkStart w:id="5" w:name="_Hlk39157589"/>
      <w:r w:rsidRPr="002E483D">
        <w:rPr>
          <w:rFonts w:cs="Calibri"/>
          <w:bCs/>
        </w:rPr>
        <w:t>Rede</w:t>
      </w:r>
      <w:r w:rsidR="00540B06">
        <w:rPr>
          <w:rFonts w:cs="Calibri"/>
          <w:bCs/>
        </w:rPr>
        <w:t>s</w:t>
      </w:r>
      <w:r w:rsidRPr="002E483D">
        <w:rPr>
          <w:rFonts w:cs="Calibri"/>
          <w:bCs/>
        </w:rPr>
        <w:t xml:space="preserve"> internacional e regional</w:t>
      </w:r>
    </w:p>
    <w:p w14:paraId="5909FE00" w14:textId="77777777" w:rsidR="002E483D" w:rsidRPr="002E483D" w:rsidRDefault="002E483D" w:rsidP="002E483D">
      <w:pPr>
        <w:numPr>
          <w:ilvl w:val="0"/>
          <w:numId w:val="4"/>
        </w:numPr>
        <w:spacing w:after="0" w:line="240" w:lineRule="auto"/>
        <w:jc w:val="both"/>
        <w:rPr>
          <w:rFonts w:cs="Calibri"/>
          <w:bCs/>
        </w:rPr>
      </w:pPr>
      <w:bookmarkStart w:id="6" w:name="_Hlk39158288"/>
      <w:bookmarkEnd w:id="5"/>
      <w:r w:rsidRPr="002E483D">
        <w:rPr>
          <w:rFonts w:cs="Calibri"/>
          <w:bCs/>
        </w:rPr>
        <w:t>Assistência técnica e treinamento</w:t>
      </w:r>
      <w:r>
        <w:rPr>
          <w:rFonts w:cs="Calibri"/>
          <w:bCs/>
        </w:rPr>
        <w:t>/formação</w:t>
      </w:r>
    </w:p>
    <w:p w14:paraId="6F6218F1" w14:textId="77777777" w:rsidR="002E483D" w:rsidRPr="00517876" w:rsidRDefault="000E59A1" w:rsidP="002E483D">
      <w:pPr>
        <w:numPr>
          <w:ilvl w:val="0"/>
          <w:numId w:val="4"/>
        </w:numPr>
        <w:spacing w:after="0" w:line="240" w:lineRule="auto"/>
        <w:jc w:val="both"/>
        <w:rPr>
          <w:rFonts w:cs="Calibri"/>
          <w:bCs/>
        </w:rPr>
      </w:pPr>
      <w:bookmarkStart w:id="7" w:name="_Hlk39170476"/>
      <w:bookmarkEnd w:id="6"/>
      <w:r>
        <w:rPr>
          <w:rFonts w:cs="Calibri"/>
          <w:bCs/>
        </w:rPr>
        <w:t xml:space="preserve">O caminho a seguir para </w:t>
      </w:r>
      <w:r w:rsidR="00471BA1">
        <w:rPr>
          <w:rFonts w:cs="Calibri"/>
          <w:bCs/>
        </w:rPr>
        <w:t>a</w:t>
      </w:r>
      <w:r w:rsidR="002E483D" w:rsidRPr="002E483D">
        <w:rPr>
          <w:rFonts w:cs="Calibri"/>
          <w:bCs/>
        </w:rPr>
        <w:t>s estatísticas ambientais</w:t>
      </w:r>
    </w:p>
    <w:bookmarkEnd w:id="7"/>
    <w:p w14:paraId="2163D8AD" w14:textId="77777777" w:rsidR="00D35F0C" w:rsidRPr="00517876" w:rsidRDefault="00D35F0C" w:rsidP="00D35F0C">
      <w:pPr>
        <w:spacing w:after="0" w:line="240" w:lineRule="auto"/>
        <w:rPr>
          <w:rFonts w:cs="Calibri"/>
          <w:bCs/>
        </w:rPr>
      </w:pPr>
    </w:p>
    <w:p w14:paraId="0E7C39E5" w14:textId="77777777" w:rsidR="00D35F0C" w:rsidRPr="00517876" w:rsidRDefault="00D35F0C" w:rsidP="00D35F0C">
      <w:pPr>
        <w:spacing w:after="0" w:line="240" w:lineRule="auto"/>
        <w:rPr>
          <w:rFonts w:cs="Calibri"/>
          <w:bCs/>
          <w:sz w:val="24"/>
          <w:szCs w:val="24"/>
        </w:rPr>
      </w:pPr>
    </w:p>
    <w:p w14:paraId="4EC5BFE3" w14:textId="77777777" w:rsidR="00D35F0C" w:rsidRPr="00517876" w:rsidRDefault="00D35F0C" w:rsidP="00D35F0C">
      <w:pPr>
        <w:spacing w:after="0" w:line="240" w:lineRule="auto"/>
        <w:rPr>
          <w:rFonts w:cs="Calibri"/>
          <w:b/>
          <w:bCs/>
          <w:color w:val="548DD4"/>
          <w:sz w:val="24"/>
          <w:szCs w:val="24"/>
        </w:rPr>
      </w:pPr>
      <w:r w:rsidRPr="00517876">
        <w:rPr>
          <w:rFonts w:cs="Calibri"/>
          <w:b/>
          <w:bCs/>
          <w:color w:val="548DD4"/>
          <w:sz w:val="24"/>
          <w:szCs w:val="24"/>
        </w:rPr>
        <w:t>Part</w:t>
      </w:r>
      <w:r w:rsidR="008B4552">
        <w:rPr>
          <w:rFonts w:cs="Calibri"/>
          <w:b/>
          <w:bCs/>
          <w:color w:val="548DD4"/>
          <w:sz w:val="24"/>
          <w:szCs w:val="24"/>
        </w:rPr>
        <w:t>e</w:t>
      </w:r>
      <w:r w:rsidRPr="00517876">
        <w:rPr>
          <w:rFonts w:cs="Calibri"/>
          <w:b/>
          <w:bCs/>
          <w:color w:val="548DD4"/>
          <w:sz w:val="24"/>
          <w:szCs w:val="24"/>
        </w:rPr>
        <w:t xml:space="preserve"> II: </w:t>
      </w:r>
      <w:r w:rsidR="008B4552" w:rsidRPr="008B4552">
        <w:rPr>
          <w:rFonts w:cs="Calibri"/>
          <w:b/>
          <w:bCs/>
          <w:color w:val="548DD4"/>
          <w:sz w:val="24"/>
          <w:szCs w:val="24"/>
        </w:rPr>
        <w:t>Avaliação do Nível Estatístico</w:t>
      </w:r>
    </w:p>
    <w:p w14:paraId="135F3C10" w14:textId="77777777" w:rsidR="002B4AF3" w:rsidRPr="00517876" w:rsidRDefault="002B4AF3" w:rsidP="00BE4DA6">
      <w:pPr>
        <w:spacing w:after="0" w:line="240" w:lineRule="auto"/>
        <w:jc w:val="both"/>
        <w:rPr>
          <w:rFonts w:cs="Calibri"/>
          <w:bCs/>
        </w:rPr>
      </w:pPr>
      <w:r w:rsidRPr="002B4AF3">
        <w:rPr>
          <w:rFonts w:cs="Calibri"/>
          <w:bCs/>
        </w:rPr>
        <w:t xml:space="preserve">A Parte II da ESSAT </w:t>
      </w:r>
      <w:r w:rsidR="00EC734F" w:rsidRPr="00EC734F">
        <w:rPr>
          <w:rFonts w:cs="Calibri"/>
          <w:bCs/>
        </w:rPr>
        <w:t>está fundamentada</w:t>
      </w:r>
      <w:r w:rsidRPr="002B4AF3">
        <w:rPr>
          <w:rFonts w:cs="Calibri"/>
          <w:bCs/>
        </w:rPr>
        <w:t xml:space="preserve"> no Conjunto Básico de Estatísticas Ambientais (BSES) do FDES 2013. Segue a estrutura hierárquica do FDES (em ordem decrescente: componente, subcomponente, tópico estatístico, estatística) e serve como um</w:t>
      </w:r>
      <w:r>
        <w:rPr>
          <w:rFonts w:cs="Calibri"/>
          <w:bCs/>
        </w:rPr>
        <w:t xml:space="preserve">a </w:t>
      </w:r>
      <w:r w:rsidRPr="002B4AF3">
        <w:rPr>
          <w:rFonts w:cs="Calibri"/>
          <w:bCs/>
        </w:rPr>
        <w:t xml:space="preserve">ferramenta para avaliar a relevância, </w:t>
      </w:r>
      <w:r>
        <w:rPr>
          <w:rFonts w:cs="Calibri"/>
          <w:bCs/>
        </w:rPr>
        <w:t xml:space="preserve">a </w:t>
      </w:r>
      <w:r w:rsidRPr="002B4AF3">
        <w:rPr>
          <w:rFonts w:cs="Calibri"/>
          <w:bCs/>
        </w:rPr>
        <w:t xml:space="preserve">importância, </w:t>
      </w:r>
      <w:r>
        <w:rPr>
          <w:rFonts w:cs="Calibri"/>
          <w:bCs/>
        </w:rPr>
        <w:t xml:space="preserve">a </w:t>
      </w:r>
      <w:r w:rsidRPr="002B4AF3">
        <w:rPr>
          <w:rFonts w:cs="Calibri"/>
          <w:bCs/>
        </w:rPr>
        <w:t xml:space="preserve">disponibilidade e </w:t>
      </w:r>
      <w:r>
        <w:rPr>
          <w:rFonts w:cs="Calibri"/>
          <w:bCs/>
        </w:rPr>
        <w:t xml:space="preserve">as </w:t>
      </w:r>
      <w:r w:rsidRPr="002B4AF3">
        <w:rPr>
          <w:rFonts w:cs="Calibri"/>
          <w:bCs/>
        </w:rPr>
        <w:t xml:space="preserve">fontes nacionais das estatísticas individuais contidas no BSES. Também ajuda a identificar </w:t>
      </w:r>
      <w:r>
        <w:rPr>
          <w:rFonts w:cs="Calibri"/>
          <w:bCs/>
        </w:rPr>
        <w:t xml:space="preserve">as </w:t>
      </w:r>
      <w:r w:rsidRPr="002B4AF3">
        <w:rPr>
          <w:rFonts w:cs="Calibri"/>
          <w:bCs/>
        </w:rPr>
        <w:t xml:space="preserve">lacunas </w:t>
      </w:r>
      <w:r w:rsidR="00EC734F" w:rsidRPr="002B4AF3">
        <w:rPr>
          <w:rFonts w:cs="Calibri"/>
          <w:bCs/>
        </w:rPr>
        <w:t xml:space="preserve">relevantes </w:t>
      </w:r>
      <w:r w:rsidRPr="002B4AF3">
        <w:rPr>
          <w:rFonts w:cs="Calibri"/>
          <w:bCs/>
        </w:rPr>
        <w:t>de dados quantitativos e qualitativos e a desenvolver um plano para preenchê-las</w:t>
      </w:r>
      <w:r w:rsidR="00EC734F">
        <w:rPr>
          <w:rFonts w:cs="Calibri"/>
          <w:bCs/>
        </w:rPr>
        <w:t xml:space="preserve"> e</w:t>
      </w:r>
      <w:r w:rsidRPr="002B4AF3">
        <w:rPr>
          <w:rFonts w:cs="Calibri"/>
          <w:bCs/>
        </w:rPr>
        <w:t xml:space="preserve"> fortalecer as estatísticas ambientais de acordo com as prioridades nacionais, </w:t>
      </w:r>
      <w:r>
        <w:rPr>
          <w:rFonts w:cs="Calibri"/>
          <w:bCs/>
        </w:rPr>
        <w:t xml:space="preserve">as </w:t>
      </w:r>
      <w:r w:rsidRPr="002B4AF3">
        <w:rPr>
          <w:rFonts w:cs="Calibri"/>
          <w:bCs/>
        </w:rPr>
        <w:t xml:space="preserve">necessidades e </w:t>
      </w:r>
      <w:r>
        <w:rPr>
          <w:rFonts w:cs="Calibri"/>
          <w:bCs/>
        </w:rPr>
        <w:t xml:space="preserve">os </w:t>
      </w:r>
      <w:r w:rsidRPr="002B4AF3">
        <w:rPr>
          <w:rFonts w:cs="Calibri"/>
          <w:bCs/>
        </w:rPr>
        <w:t>recursos disponíveis.</w:t>
      </w:r>
    </w:p>
    <w:p w14:paraId="478FE80F" w14:textId="77777777" w:rsidR="00F4474E" w:rsidRPr="00517876" w:rsidRDefault="00F4474E" w:rsidP="00BE4DA6">
      <w:pPr>
        <w:spacing w:after="0" w:line="240" w:lineRule="auto"/>
        <w:jc w:val="both"/>
        <w:rPr>
          <w:rFonts w:cs="Calibri"/>
          <w:bCs/>
        </w:rPr>
      </w:pPr>
    </w:p>
    <w:p w14:paraId="76C674C4" w14:textId="77777777" w:rsidR="008D5506" w:rsidRPr="00517876" w:rsidRDefault="008D5506" w:rsidP="00BE4DA6">
      <w:pPr>
        <w:spacing w:after="0" w:line="240" w:lineRule="auto"/>
        <w:jc w:val="both"/>
        <w:rPr>
          <w:rFonts w:cs="Calibri"/>
          <w:bCs/>
        </w:rPr>
      </w:pPr>
      <w:r w:rsidRPr="008D5506">
        <w:rPr>
          <w:rFonts w:cs="Calibri"/>
          <w:bCs/>
        </w:rPr>
        <w:t>O conteúdo da Parte II é mais técnico e específico para o campo das estatísticas ambientais e possivelmente exig</w:t>
      </w:r>
      <w:r w:rsidR="0020434A">
        <w:rPr>
          <w:rFonts w:cs="Calibri"/>
          <w:bCs/>
        </w:rPr>
        <w:t>e</w:t>
      </w:r>
      <w:r w:rsidRPr="008D5506">
        <w:rPr>
          <w:rFonts w:cs="Calibri"/>
          <w:bCs/>
        </w:rPr>
        <w:t xml:space="preserve"> o envolvimento de um número maior de partes interessadas.</w:t>
      </w:r>
    </w:p>
    <w:p w14:paraId="367A83EE" w14:textId="77777777" w:rsidR="00D35F0C" w:rsidRPr="00517876" w:rsidRDefault="00D35F0C" w:rsidP="00D35F0C">
      <w:pPr>
        <w:spacing w:after="0" w:line="240" w:lineRule="auto"/>
        <w:rPr>
          <w:rFonts w:cs="Calibri"/>
          <w:bCs/>
          <w:sz w:val="24"/>
          <w:szCs w:val="24"/>
        </w:rPr>
      </w:pPr>
    </w:p>
    <w:p w14:paraId="15241DB3" w14:textId="77777777" w:rsidR="0084501D" w:rsidRPr="00517876" w:rsidRDefault="007C3935">
      <w:pPr>
        <w:spacing w:after="0" w:line="240" w:lineRule="auto"/>
        <w:rPr>
          <w:rFonts w:cs="Calibri"/>
          <w:b/>
          <w:bCs/>
          <w:color w:val="548DD4"/>
          <w:sz w:val="24"/>
          <w:szCs w:val="24"/>
        </w:rPr>
      </w:pPr>
      <w:r w:rsidRPr="007C3935">
        <w:rPr>
          <w:rFonts w:cs="Calibri"/>
          <w:b/>
          <w:bCs/>
          <w:color w:val="548DD4"/>
          <w:sz w:val="24"/>
          <w:szCs w:val="24"/>
        </w:rPr>
        <w:t>Principais conceitos do FDES 2013</w:t>
      </w:r>
    </w:p>
    <w:p w14:paraId="25942682" w14:textId="77777777" w:rsidR="00516988" w:rsidRPr="00517876" w:rsidRDefault="00516988" w:rsidP="00BE4DA6">
      <w:pPr>
        <w:spacing w:after="0" w:line="240" w:lineRule="auto"/>
        <w:jc w:val="both"/>
      </w:pPr>
      <w:r w:rsidRPr="00516988">
        <w:t xml:space="preserve">As informações ambientais incluem fatos quantitativos e qualitativos que descrevem o estado do meio ambiente e </w:t>
      </w:r>
      <w:r>
        <w:t xml:space="preserve">as </w:t>
      </w:r>
      <w:r w:rsidRPr="00516988">
        <w:t xml:space="preserve">suas mudanças. </w:t>
      </w:r>
      <w:r>
        <w:t>As i</w:t>
      </w:r>
      <w:r w:rsidRPr="00516988">
        <w:t xml:space="preserve">nformações ambientais quantitativas são geralmente produzidas na forma de dados, estatísticas e indicadores, e geralmente são divulgadas por meio de </w:t>
      </w:r>
      <w:r w:rsidR="00BF0FD8">
        <w:t>bases</w:t>
      </w:r>
      <w:r w:rsidRPr="00516988">
        <w:t xml:space="preserve"> de dados, planilhas</w:t>
      </w:r>
      <w:r>
        <w:t xml:space="preserve"> (</w:t>
      </w:r>
      <w:r w:rsidRPr="00516988">
        <w:t>folhas de cálculo</w:t>
      </w:r>
      <w:r>
        <w:t>)</w:t>
      </w:r>
      <w:r w:rsidRPr="00516988">
        <w:t xml:space="preserve">, compêndios e anuários. Informações ambientais qualitativas consistem em </w:t>
      </w:r>
      <w:r w:rsidRPr="00516988">
        <w:lastRenderedPageBreak/>
        <w:t>descrições (</w:t>
      </w:r>
      <w:r w:rsidR="009D076E">
        <w:t>p. ex.</w:t>
      </w:r>
      <w:r w:rsidRPr="00516988">
        <w:t>, textua</w:t>
      </w:r>
      <w:r w:rsidR="00FC1E9A">
        <w:t>l ou pictórico</w:t>
      </w:r>
      <w:r w:rsidRPr="00516988">
        <w:t>) do ambiente ou d</w:t>
      </w:r>
      <w:r w:rsidR="00E70519">
        <w:t>as</w:t>
      </w:r>
      <w:r w:rsidRPr="00516988">
        <w:t xml:space="preserve"> suas partes constituintes que não podem ser adequadamente representadas por descritores quantitativos precisos.</w:t>
      </w:r>
    </w:p>
    <w:p w14:paraId="3F9611D5" w14:textId="77777777" w:rsidR="00FA13DC" w:rsidRPr="00517876" w:rsidRDefault="00FA13DC" w:rsidP="00BE4DA6">
      <w:pPr>
        <w:spacing w:after="0" w:line="240" w:lineRule="auto"/>
        <w:jc w:val="both"/>
        <w:rPr>
          <w:rFonts w:cs="Calibri"/>
          <w:b/>
          <w:bCs/>
          <w:color w:val="548DD4"/>
          <w:sz w:val="28"/>
          <w:szCs w:val="28"/>
        </w:rPr>
      </w:pPr>
    </w:p>
    <w:p w14:paraId="7B36F297" w14:textId="77777777" w:rsidR="00C154CF" w:rsidRPr="00517876" w:rsidRDefault="00C154CF" w:rsidP="00BE4DA6">
      <w:pPr>
        <w:spacing w:after="0" w:line="240" w:lineRule="auto"/>
        <w:jc w:val="both"/>
      </w:pPr>
      <w:r w:rsidRPr="00C154CF">
        <w:t xml:space="preserve">Os </w:t>
      </w:r>
      <w:r w:rsidRPr="00C154CF">
        <w:rPr>
          <w:u w:val="single"/>
        </w:rPr>
        <w:t>dados ambientais</w:t>
      </w:r>
      <w:r w:rsidRPr="00C154CF">
        <w:t xml:space="preserve"> são grandes quantidades de observações e medições não processadas sobre o meio ambiente e </w:t>
      </w:r>
      <w:r>
        <w:t xml:space="preserve">os </w:t>
      </w:r>
      <w:r w:rsidRPr="00C154CF">
        <w:t xml:space="preserve">processos </w:t>
      </w:r>
      <w:r>
        <w:t>associa</w:t>
      </w:r>
      <w:r w:rsidRPr="00C154CF">
        <w:t xml:space="preserve">dos. Eles podem ser </w:t>
      </w:r>
      <w:r w:rsidR="00DF769D">
        <w:t>recolhi</w:t>
      </w:r>
      <w:r w:rsidRPr="00C154CF">
        <w:t xml:space="preserve">dos ou compilados por meio de </w:t>
      </w:r>
      <w:r w:rsidR="00531841">
        <w:t>inquéritos</w:t>
      </w:r>
      <w:r w:rsidRPr="00C154CF">
        <w:t xml:space="preserve"> estatístic</w:t>
      </w:r>
      <w:r w:rsidR="00531841">
        <w:t>o</w:t>
      </w:r>
      <w:r w:rsidRPr="00C154CF">
        <w:t xml:space="preserve">s (censos ou </w:t>
      </w:r>
      <w:r w:rsidR="00531841">
        <w:t>inquéritos</w:t>
      </w:r>
      <w:r w:rsidRPr="00C154CF">
        <w:t xml:space="preserve"> por amostra</w:t>
      </w:r>
      <w:r w:rsidR="006864DC">
        <w:t>gem</w:t>
      </w:r>
      <w:r w:rsidRPr="00C154CF">
        <w:t>) pelo sistema estatístico nacional ou podem se</w:t>
      </w:r>
      <w:r w:rsidR="00531841">
        <w:t>r</w:t>
      </w:r>
      <w:r w:rsidRPr="00C154CF">
        <w:t xml:space="preserve"> </w:t>
      </w:r>
      <w:r w:rsidR="006864DC">
        <w:t>provenientes</w:t>
      </w:r>
      <w:r w:rsidRPr="00C154CF">
        <w:t xml:space="preserve"> de registros administrativos, </w:t>
      </w:r>
      <w:r w:rsidR="00BF0FD8">
        <w:t>bases</w:t>
      </w:r>
      <w:r w:rsidRPr="00C154CF">
        <w:t xml:space="preserve"> de dados geográficos, </w:t>
      </w:r>
      <w:r w:rsidR="006864DC">
        <w:t>cadast</w:t>
      </w:r>
      <w:r w:rsidR="006864DC" w:rsidRPr="00C154CF">
        <w:t>ros</w:t>
      </w:r>
      <w:r w:rsidRPr="00C154CF">
        <w:t>, inventários, redes de monitor</w:t>
      </w:r>
      <w:r w:rsidR="006864DC">
        <w:t>ização</w:t>
      </w:r>
      <w:r w:rsidRPr="00C154CF">
        <w:t xml:space="preserve">, </w:t>
      </w:r>
      <w:r w:rsidR="006864DC">
        <w:t>cartografia/</w:t>
      </w:r>
      <w:r w:rsidRPr="00C154CF">
        <w:t>mapeamento temático, sensoriamento remoto</w:t>
      </w:r>
      <w:r w:rsidR="00280B1A">
        <w:t xml:space="preserve"> (</w:t>
      </w:r>
      <w:r w:rsidR="00280B1A" w:rsidRPr="00280B1A">
        <w:t>deteção remota</w:t>
      </w:r>
      <w:r w:rsidR="00280B1A">
        <w:t>)</w:t>
      </w:r>
      <w:r w:rsidRPr="00C154CF">
        <w:t xml:space="preserve">, </w:t>
      </w:r>
      <w:r w:rsidR="00280B1A">
        <w:t>investigação</w:t>
      </w:r>
      <w:r w:rsidRPr="00C154CF">
        <w:t xml:space="preserve"> científica e estudos de campo.</w:t>
      </w:r>
    </w:p>
    <w:p w14:paraId="06057F5F" w14:textId="77777777" w:rsidR="00FA13DC" w:rsidRPr="00517876" w:rsidRDefault="00FA13DC" w:rsidP="00BE4DA6">
      <w:pPr>
        <w:spacing w:after="0" w:line="240" w:lineRule="auto"/>
        <w:jc w:val="both"/>
      </w:pPr>
    </w:p>
    <w:p w14:paraId="1BF42460" w14:textId="77777777" w:rsidR="00155F48" w:rsidRPr="00517876" w:rsidRDefault="00155F48" w:rsidP="00BE4DA6">
      <w:pPr>
        <w:spacing w:after="0" w:line="240" w:lineRule="auto"/>
        <w:jc w:val="both"/>
      </w:pPr>
      <w:r w:rsidRPr="00155F48">
        <w:t xml:space="preserve">As </w:t>
      </w:r>
      <w:r w:rsidRPr="00155F48">
        <w:rPr>
          <w:u w:val="single"/>
        </w:rPr>
        <w:t>estatísticas ambientais</w:t>
      </w:r>
      <w:r w:rsidRPr="00155F48">
        <w:t xml:space="preserve"> são dados ambientais que foram estruturados, sintetizados e agregados de acordo com métodos, normas e procedimentos estatísticos. O papel das </w:t>
      </w:r>
      <w:r w:rsidR="00BE772C" w:rsidRPr="00BE772C">
        <w:t>estatísticas ambientais</w:t>
      </w:r>
      <w:r w:rsidRPr="00155F48">
        <w:t xml:space="preserve"> é processar </w:t>
      </w:r>
      <w:r w:rsidR="00171566">
        <w:t xml:space="preserve">os </w:t>
      </w:r>
      <w:r w:rsidRPr="00155F48">
        <w:t>dados ambientais e o</w:t>
      </w:r>
      <w:r w:rsidR="00171566">
        <w:t>s ou</w:t>
      </w:r>
      <w:r w:rsidRPr="00155F48">
        <w:t xml:space="preserve">tros </w:t>
      </w:r>
      <w:r w:rsidR="007243DB">
        <w:t xml:space="preserve">dados </w:t>
      </w:r>
      <w:r w:rsidRPr="00155F48">
        <w:t xml:space="preserve">em estatísticas significativas que descrevam o estado e as tendências no ambiente e os principais processos que os afetam. Nem todos os dados ambientais são usados para produzir estatísticas ambientais. O FDES fornece uma estrutura que identifica </w:t>
      </w:r>
      <w:r w:rsidR="00171566">
        <w:t xml:space="preserve">os </w:t>
      </w:r>
      <w:r w:rsidRPr="00155F48">
        <w:t xml:space="preserve">dados ambientais e </w:t>
      </w:r>
      <w:r w:rsidR="00171566">
        <w:t xml:space="preserve">os </w:t>
      </w:r>
      <w:r w:rsidRPr="00155F48">
        <w:t xml:space="preserve">outros que se enquadram </w:t>
      </w:r>
      <w:r w:rsidR="00171566">
        <w:t>no</w:t>
      </w:r>
      <w:r w:rsidRPr="00155F48">
        <w:t xml:space="preserve"> seu </w:t>
      </w:r>
      <w:r w:rsidR="00764C41">
        <w:t>âmbito</w:t>
      </w:r>
      <w:r w:rsidRPr="00155F48">
        <w:t xml:space="preserve"> e</w:t>
      </w:r>
      <w:r w:rsidR="00764C41">
        <w:t xml:space="preserve"> </w:t>
      </w:r>
      <w:r w:rsidR="00AE19A4">
        <w:t>depois</w:t>
      </w:r>
      <w:r w:rsidRPr="00155F48">
        <w:t xml:space="preserve"> contribui para estruturar, sintetizar e agregar os dados em séries e indicadores estatísticos.</w:t>
      </w:r>
    </w:p>
    <w:p w14:paraId="00242795" w14:textId="77777777" w:rsidR="00FA13DC" w:rsidRPr="00517876" w:rsidRDefault="00FA13DC" w:rsidP="00BE4DA6">
      <w:pPr>
        <w:spacing w:after="0" w:line="240" w:lineRule="auto"/>
        <w:jc w:val="both"/>
      </w:pPr>
    </w:p>
    <w:p w14:paraId="060F3528" w14:textId="77777777" w:rsidR="00171566" w:rsidRPr="00517876" w:rsidRDefault="00171566" w:rsidP="00717D3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Os </w:t>
      </w:r>
      <w:r w:rsidRPr="00171566">
        <w:rPr>
          <w:u w:val="single"/>
        </w:rPr>
        <w:t>indicadores ambientais</w:t>
      </w:r>
      <w:r w:rsidRPr="00171566">
        <w:t xml:space="preserve"> são estatísticas ambientais que foram selecionadas por sua capacidade de representar fen</w:t>
      </w:r>
      <w:r w:rsidR="00E70519">
        <w:t>ó</w:t>
      </w:r>
      <w:r w:rsidRPr="00171566">
        <w:t xml:space="preserve">menos ou dinâmicas importantes. Os indicadores ambientais são usados ​​para sintetizar e apresentar </w:t>
      </w:r>
      <w:r w:rsidR="006464B4" w:rsidRPr="00171566">
        <w:t xml:space="preserve">estatísticas </w:t>
      </w:r>
      <w:r w:rsidRPr="00171566">
        <w:t>ambient</w:t>
      </w:r>
      <w:r w:rsidR="006464B4">
        <w:t>ai</w:t>
      </w:r>
      <w:r w:rsidRPr="00171566">
        <w:t xml:space="preserve">s </w:t>
      </w:r>
      <w:r w:rsidR="006464B4" w:rsidRPr="00171566">
        <w:t xml:space="preserve">e outras </w:t>
      </w:r>
      <w:r w:rsidR="006464B4">
        <w:t xml:space="preserve">estatísticas </w:t>
      </w:r>
      <w:r w:rsidRPr="00171566">
        <w:t>complex</w:t>
      </w:r>
      <w:r w:rsidR="006464B4">
        <w:t>a</w:t>
      </w:r>
      <w:r w:rsidRPr="00171566">
        <w:t xml:space="preserve">s de maneira simples, direta, clara e relevante. Os indicadores ambientais são </w:t>
      </w:r>
      <w:r w:rsidR="008C71C7">
        <w:t>produzi</w:t>
      </w:r>
      <w:r w:rsidRPr="00171566">
        <w:t xml:space="preserve">dos porque as estatísticas ambientais geralmente são </w:t>
      </w:r>
      <w:r w:rsidR="0014714B">
        <w:t xml:space="preserve">muito </w:t>
      </w:r>
      <w:r w:rsidRPr="00171566">
        <w:t xml:space="preserve">numerosas e detalhadas para atender às necessidades dos </w:t>
      </w:r>
      <w:r w:rsidR="00AE0A76">
        <w:t>d</w:t>
      </w:r>
      <w:r w:rsidR="00AE0A76" w:rsidRPr="00AE0A76">
        <w:t xml:space="preserve">ecisores </w:t>
      </w:r>
      <w:r w:rsidR="00AE0A76">
        <w:t>p</w:t>
      </w:r>
      <w:r w:rsidR="00AE0A76" w:rsidRPr="00AE0A76">
        <w:t xml:space="preserve">olíticos </w:t>
      </w:r>
      <w:r w:rsidRPr="00171566">
        <w:t xml:space="preserve">e do público em geral, e </w:t>
      </w:r>
      <w:r w:rsidR="005A7801">
        <w:t xml:space="preserve">muitas vezes </w:t>
      </w:r>
      <w:r w:rsidRPr="00171566">
        <w:t xml:space="preserve">requerem processamento e interpretação adicionais para serem significativos. Os indicadores ambientais podem assumir várias formas, como taxas, </w:t>
      </w:r>
      <w:r w:rsidR="0067106D">
        <w:t>rácios</w:t>
      </w:r>
      <w:r w:rsidRPr="00171566">
        <w:t xml:space="preserve"> ou proporções, e </w:t>
      </w:r>
      <w:r w:rsidR="0067106D">
        <w:t xml:space="preserve">podem </w:t>
      </w:r>
      <w:r w:rsidRPr="00171566">
        <w:t xml:space="preserve">ser construídos em diferentes níveis de agregação. O objetivo desses indicadores é avaliar as direções presentes e futuras em relação </w:t>
      </w:r>
      <w:r w:rsidR="00E70519">
        <w:t>aos</w:t>
      </w:r>
      <w:r w:rsidR="00E70519" w:rsidRPr="00171566">
        <w:t xml:space="preserve"> </w:t>
      </w:r>
      <w:r w:rsidR="0067106D" w:rsidRPr="00171566">
        <w:t xml:space="preserve">objetivos </w:t>
      </w:r>
      <w:r w:rsidR="0067106D">
        <w:t xml:space="preserve">e </w:t>
      </w:r>
      <w:r w:rsidRPr="00171566">
        <w:t>metas, avaliar e determinar o impacto de programas específicos, monitor</w:t>
      </w:r>
      <w:r w:rsidR="0067106D">
        <w:t>iz</w:t>
      </w:r>
      <w:r w:rsidRPr="00171566">
        <w:t xml:space="preserve">ar o progresso, medir mudanças em uma condição ou situação específica ao longo do tempo e transmitir mensagens. </w:t>
      </w:r>
      <w:r w:rsidR="00830618">
        <w:t>Os quadros</w:t>
      </w:r>
      <w:r w:rsidRPr="00171566">
        <w:t xml:space="preserve"> polític</w:t>
      </w:r>
      <w:r w:rsidR="00830618">
        <w:t>o</w:t>
      </w:r>
      <w:r w:rsidRPr="00171566">
        <w:t xml:space="preserve">s, como </w:t>
      </w:r>
      <w:r w:rsidR="00830618">
        <w:t xml:space="preserve">os </w:t>
      </w:r>
      <w:r w:rsidR="00DD7172">
        <w:t>Objetivos</w:t>
      </w:r>
      <w:r w:rsidRPr="00171566">
        <w:t xml:space="preserve"> de Desenvolvimento do Mil</w:t>
      </w:r>
      <w:r w:rsidR="00E70519">
        <w:t>é</w:t>
      </w:r>
      <w:r w:rsidRPr="00171566">
        <w:t>nio (ODM)</w:t>
      </w:r>
      <w:r w:rsidR="00830618">
        <w:t>,</w:t>
      </w:r>
      <w:r w:rsidRPr="00171566">
        <w:t xml:space="preserve"> </w:t>
      </w:r>
      <w:r w:rsidR="00830618">
        <w:t xml:space="preserve">os </w:t>
      </w:r>
      <w:r w:rsidR="00DD7172">
        <w:t>Objetivos</w:t>
      </w:r>
      <w:r w:rsidRPr="00171566">
        <w:t xml:space="preserve"> de Desenvolvimento Sustentável (ODS), </w:t>
      </w:r>
      <w:r w:rsidR="00CD4B1E">
        <w:t>o modelo</w:t>
      </w:r>
      <w:r w:rsidRPr="00171566">
        <w:t xml:space="preserve"> Força </w:t>
      </w:r>
      <w:r w:rsidR="00DD7172">
        <w:t>M</w:t>
      </w:r>
      <w:r w:rsidRPr="00171566">
        <w:t>otriz - Pressão - Estado - Impacto - Resposta (</w:t>
      </w:r>
      <w:r w:rsidR="00DD7172" w:rsidRPr="00DD7172">
        <w:t>FPEIR</w:t>
      </w:r>
      <w:r w:rsidRPr="00171566">
        <w:t>) e os conjuntos nacionais de indicadores de ambiente/ desenvolvimento sustentável</w:t>
      </w:r>
      <w:r w:rsidR="00830618">
        <w:t>,</w:t>
      </w:r>
      <w:r w:rsidRPr="00171566">
        <w:t xml:space="preserve"> são normalmente usados ​​para identificar e </w:t>
      </w:r>
      <w:r w:rsidR="00830618" w:rsidRPr="00171566">
        <w:t>estrutura</w:t>
      </w:r>
      <w:r w:rsidR="00830618">
        <w:t>r</w:t>
      </w:r>
      <w:r w:rsidR="00830618" w:rsidRPr="00171566">
        <w:t xml:space="preserve"> </w:t>
      </w:r>
      <w:r w:rsidRPr="00171566">
        <w:t>indicadores.</w:t>
      </w:r>
    </w:p>
    <w:sectPr w:rsidR="00171566" w:rsidRPr="00517876" w:rsidSect="004340F5">
      <w:pgSz w:w="12240" w:h="15840"/>
      <w:pgMar w:top="1440" w:right="1440" w:bottom="1440" w:left="1440" w:header="720" w:footer="720" w:gutter="0"/>
      <w:pgNumType w:fmt="lowerRoman"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D194B" w14:textId="77777777" w:rsidR="00C22341" w:rsidRDefault="00C22341" w:rsidP="00C15615">
      <w:pPr>
        <w:spacing w:after="0" w:line="240" w:lineRule="auto"/>
      </w:pPr>
      <w:r>
        <w:separator/>
      </w:r>
    </w:p>
  </w:endnote>
  <w:endnote w:type="continuationSeparator" w:id="0">
    <w:p w14:paraId="5A559D1E" w14:textId="77777777" w:rsidR="00C22341" w:rsidRDefault="00C22341" w:rsidP="00C1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2210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92F744" w14:textId="77777777" w:rsidR="004340F5" w:rsidRDefault="004340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024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5524B26F" w14:textId="77777777" w:rsidR="0009694D" w:rsidRDefault="00096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9167C" w14:textId="77777777" w:rsidR="00C22341" w:rsidRDefault="00C22341" w:rsidP="00C15615">
      <w:pPr>
        <w:spacing w:after="0" w:line="240" w:lineRule="auto"/>
      </w:pPr>
      <w:r>
        <w:separator/>
      </w:r>
    </w:p>
  </w:footnote>
  <w:footnote w:type="continuationSeparator" w:id="0">
    <w:p w14:paraId="0745B8FF" w14:textId="77777777" w:rsidR="00C22341" w:rsidRDefault="00C22341" w:rsidP="00C15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7AC7804"/>
    <w:lvl w:ilvl="0">
      <w:numFmt w:val="bullet"/>
      <w:lvlText w:val="*"/>
      <w:lvlJc w:val="left"/>
    </w:lvl>
  </w:abstractNum>
  <w:abstractNum w:abstractNumId="1" w15:restartNumberingAfterBreak="0">
    <w:nsid w:val="24AC069E"/>
    <w:multiLevelType w:val="hybridMultilevel"/>
    <w:tmpl w:val="036ECF14"/>
    <w:lvl w:ilvl="0" w:tplc="BB5E99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AD8AEF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DBC0C0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1E0C44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A828BB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66C4CB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7BAC11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236D06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4803D2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93A4D"/>
    <w:multiLevelType w:val="hybridMultilevel"/>
    <w:tmpl w:val="08F62B9A"/>
    <w:lvl w:ilvl="0" w:tplc="1FBA6A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65E2D"/>
    <w:multiLevelType w:val="hybridMultilevel"/>
    <w:tmpl w:val="4374344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64A434D8"/>
    <w:multiLevelType w:val="hybridMultilevel"/>
    <w:tmpl w:val="1F7C5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E88"/>
    <w:rsid w:val="00000D3C"/>
    <w:rsid w:val="000110DE"/>
    <w:rsid w:val="00012CF6"/>
    <w:rsid w:val="00014B64"/>
    <w:rsid w:val="00022A44"/>
    <w:rsid w:val="000251C0"/>
    <w:rsid w:val="00026428"/>
    <w:rsid w:val="00033E39"/>
    <w:rsid w:val="00033FCF"/>
    <w:rsid w:val="00034C14"/>
    <w:rsid w:val="0006226F"/>
    <w:rsid w:val="000643E2"/>
    <w:rsid w:val="00065F72"/>
    <w:rsid w:val="00067058"/>
    <w:rsid w:val="000724CF"/>
    <w:rsid w:val="000752FA"/>
    <w:rsid w:val="00082A09"/>
    <w:rsid w:val="0009694D"/>
    <w:rsid w:val="000B2436"/>
    <w:rsid w:val="000B7C6E"/>
    <w:rsid w:val="000B7D93"/>
    <w:rsid w:val="000C2E47"/>
    <w:rsid w:val="000D62BA"/>
    <w:rsid w:val="000D6679"/>
    <w:rsid w:val="000E4FBF"/>
    <w:rsid w:val="000E59A1"/>
    <w:rsid w:val="000F5D18"/>
    <w:rsid w:val="000F72F0"/>
    <w:rsid w:val="00124E14"/>
    <w:rsid w:val="00141082"/>
    <w:rsid w:val="0014714B"/>
    <w:rsid w:val="001549B4"/>
    <w:rsid w:val="00154C12"/>
    <w:rsid w:val="00155F48"/>
    <w:rsid w:val="001578F5"/>
    <w:rsid w:val="00166880"/>
    <w:rsid w:val="001678C8"/>
    <w:rsid w:val="00171566"/>
    <w:rsid w:val="00181A22"/>
    <w:rsid w:val="001836F1"/>
    <w:rsid w:val="00183CA6"/>
    <w:rsid w:val="0018428A"/>
    <w:rsid w:val="001940A0"/>
    <w:rsid w:val="001950C2"/>
    <w:rsid w:val="00195B7B"/>
    <w:rsid w:val="001A0057"/>
    <w:rsid w:val="001A092B"/>
    <w:rsid w:val="001A5582"/>
    <w:rsid w:val="001C0D4B"/>
    <w:rsid w:val="001C3AA2"/>
    <w:rsid w:val="001D13CA"/>
    <w:rsid w:val="001D6B6C"/>
    <w:rsid w:val="001D7C95"/>
    <w:rsid w:val="001E35B4"/>
    <w:rsid w:val="0020434A"/>
    <w:rsid w:val="00205492"/>
    <w:rsid w:val="002072A7"/>
    <w:rsid w:val="00216F11"/>
    <w:rsid w:val="00221130"/>
    <w:rsid w:val="00222761"/>
    <w:rsid w:val="0022784C"/>
    <w:rsid w:val="00227D22"/>
    <w:rsid w:val="0023100E"/>
    <w:rsid w:val="0023178C"/>
    <w:rsid w:val="002323C8"/>
    <w:rsid w:val="00234148"/>
    <w:rsid w:val="00234D81"/>
    <w:rsid w:val="002369EF"/>
    <w:rsid w:val="00242EE9"/>
    <w:rsid w:val="0024317A"/>
    <w:rsid w:val="00247D09"/>
    <w:rsid w:val="002505B6"/>
    <w:rsid w:val="00251B95"/>
    <w:rsid w:val="00253E5F"/>
    <w:rsid w:val="00254CE6"/>
    <w:rsid w:val="00272047"/>
    <w:rsid w:val="00274815"/>
    <w:rsid w:val="00275E66"/>
    <w:rsid w:val="00280B1A"/>
    <w:rsid w:val="0029066D"/>
    <w:rsid w:val="00297084"/>
    <w:rsid w:val="00297DFE"/>
    <w:rsid w:val="002A678A"/>
    <w:rsid w:val="002B37C5"/>
    <w:rsid w:val="002B4AF3"/>
    <w:rsid w:val="002C3BA7"/>
    <w:rsid w:val="002C5493"/>
    <w:rsid w:val="002C578D"/>
    <w:rsid w:val="002D300C"/>
    <w:rsid w:val="002D3085"/>
    <w:rsid w:val="002D6B17"/>
    <w:rsid w:val="002D74B4"/>
    <w:rsid w:val="002E44DF"/>
    <w:rsid w:val="002E483D"/>
    <w:rsid w:val="002F6556"/>
    <w:rsid w:val="00302522"/>
    <w:rsid w:val="00305D5C"/>
    <w:rsid w:val="003064E3"/>
    <w:rsid w:val="00316F94"/>
    <w:rsid w:val="003177E0"/>
    <w:rsid w:val="00323D6F"/>
    <w:rsid w:val="00337B0C"/>
    <w:rsid w:val="003409B8"/>
    <w:rsid w:val="00343300"/>
    <w:rsid w:val="0034670F"/>
    <w:rsid w:val="00353DA5"/>
    <w:rsid w:val="003570E9"/>
    <w:rsid w:val="00360889"/>
    <w:rsid w:val="00365ACE"/>
    <w:rsid w:val="00373974"/>
    <w:rsid w:val="00375BC3"/>
    <w:rsid w:val="003761AD"/>
    <w:rsid w:val="0038101F"/>
    <w:rsid w:val="00385A25"/>
    <w:rsid w:val="00387A32"/>
    <w:rsid w:val="00387DDB"/>
    <w:rsid w:val="003945B2"/>
    <w:rsid w:val="00394704"/>
    <w:rsid w:val="003C636F"/>
    <w:rsid w:val="003D3F56"/>
    <w:rsid w:val="003D4375"/>
    <w:rsid w:val="003E5799"/>
    <w:rsid w:val="003F216D"/>
    <w:rsid w:val="003F3409"/>
    <w:rsid w:val="00402BF4"/>
    <w:rsid w:val="00402DD9"/>
    <w:rsid w:val="004046BA"/>
    <w:rsid w:val="00411D67"/>
    <w:rsid w:val="00413A84"/>
    <w:rsid w:val="00417CFC"/>
    <w:rsid w:val="00417EB1"/>
    <w:rsid w:val="00425DE8"/>
    <w:rsid w:val="00426E88"/>
    <w:rsid w:val="00433EC5"/>
    <w:rsid w:val="004340F5"/>
    <w:rsid w:val="00434209"/>
    <w:rsid w:val="00440729"/>
    <w:rsid w:val="0044432A"/>
    <w:rsid w:val="00452B79"/>
    <w:rsid w:val="0046416D"/>
    <w:rsid w:val="00471A30"/>
    <w:rsid w:val="00471BA1"/>
    <w:rsid w:val="00471CBE"/>
    <w:rsid w:val="00472B27"/>
    <w:rsid w:val="004746E0"/>
    <w:rsid w:val="00484769"/>
    <w:rsid w:val="004C55D3"/>
    <w:rsid w:val="004D00F2"/>
    <w:rsid w:val="004E105C"/>
    <w:rsid w:val="004E21DA"/>
    <w:rsid w:val="004E3264"/>
    <w:rsid w:val="004E5D79"/>
    <w:rsid w:val="004F1DF2"/>
    <w:rsid w:val="004F3F59"/>
    <w:rsid w:val="004F5A64"/>
    <w:rsid w:val="005049A0"/>
    <w:rsid w:val="00506A8D"/>
    <w:rsid w:val="00516988"/>
    <w:rsid w:val="00517876"/>
    <w:rsid w:val="00522B7F"/>
    <w:rsid w:val="00524C2B"/>
    <w:rsid w:val="00527858"/>
    <w:rsid w:val="00531683"/>
    <w:rsid w:val="00531841"/>
    <w:rsid w:val="0053648A"/>
    <w:rsid w:val="00540B06"/>
    <w:rsid w:val="005415CD"/>
    <w:rsid w:val="00545055"/>
    <w:rsid w:val="00552CED"/>
    <w:rsid w:val="0056103E"/>
    <w:rsid w:val="0059106A"/>
    <w:rsid w:val="00593A45"/>
    <w:rsid w:val="00596DFE"/>
    <w:rsid w:val="0059742D"/>
    <w:rsid w:val="005A7801"/>
    <w:rsid w:val="005B2093"/>
    <w:rsid w:val="005C04BF"/>
    <w:rsid w:val="005C0B78"/>
    <w:rsid w:val="005C0D2A"/>
    <w:rsid w:val="005C22E8"/>
    <w:rsid w:val="005E4E8E"/>
    <w:rsid w:val="005E64AA"/>
    <w:rsid w:val="005F10FE"/>
    <w:rsid w:val="005F541D"/>
    <w:rsid w:val="005F5EC4"/>
    <w:rsid w:val="006007D7"/>
    <w:rsid w:val="00600A63"/>
    <w:rsid w:val="00607468"/>
    <w:rsid w:val="00607CE1"/>
    <w:rsid w:val="00630E66"/>
    <w:rsid w:val="006464B4"/>
    <w:rsid w:val="00656D52"/>
    <w:rsid w:val="0067106D"/>
    <w:rsid w:val="00673DE0"/>
    <w:rsid w:val="006744CB"/>
    <w:rsid w:val="00675ECD"/>
    <w:rsid w:val="006864DC"/>
    <w:rsid w:val="006931FF"/>
    <w:rsid w:val="006A0838"/>
    <w:rsid w:val="006A317C"/>
    <w:rsid w:val="006B2850"/>
    <w:rsid w:val="006C56FE"/>
    <w:rsid w:val="006D3359"/>
    <w:rsid w:val="006E17FE"/>
    <w:rsid w:val="006F27B7"/>
    <w:rsid w:val="006F71E9"/>
    <w:rsid w:val="00712F2C"/>
    <w:rsid w:val="00717B0C"/>
    <w:rsid w:val="00717D39"/>
    <w:rsid w:val="00722FBD"/>
    <w:rsid w:val="007243DB"/>
    <w:rsid w:val="00725AD8"/>
    <w:rsid w:val="00727FA5"/>
    <w:rsid w:val="00743DD7"/>
    <w:rsid w:val="00764C41"/>
    <w:rsid w:val="00766BF9"/>
    <w:rsid w:val="00774F0D"/>
    <w:rsid w:val="00781DB5"/>
    <w:rsid w:val="00785319"/>
    <w:rsid w:val="00790242"/>
    <w:rsid w:val="0079036A"/>
    <w:rsid w:val="007A07FD"/>
    <w:rsid w:val="007A27DD"/>
    <w:rsid w:val="007A3FBB"/>
    <w:rsid w:val="007A7F4D"/>
    <w:rsid w:val="007B0365"/>
    <w:rsid w:val="007B72D3"/>
    <w:rsid w:val="007C3935"/>
    <w:rsid w:val="007C6E12"/>
    <w:rsid w:val="007F2304"/>
    <w:rsid w:val="007F62AC"/>
    <w:rsid w:val="0080038E"/>
    <w:rsid w:val="008165B7"/>
    <w:rsid w:val="00817B45"/>
    <w:rsid w:val="008212DD"/>
    <w:rsid w:val="008215AC"/>
    <w:rsid w:val="00821BC9"/>
    <w:rsid w:val="00830618"/>
    <w:rsid w:val="0084501D"/>
    <w:rsid w:val="008543DC"/>
    <w:rsid w:val="00856D16"/>
    <w:rsid w:val="00876189"/>
    <w:rsid w:val="0087786C"/>
    <w:rsid w:val="00882BD3"/>
    <w:rsid w:val="008835FC"/>
    <w:rsid w:val="00885A0F"/>
    <w:rsid w:val="008938B8"/>
    <w:rsid w:val="008A0E5A"/>
    <w:rsid w:val="008A789E"/>
    <w:rsid w:val="008B4552"/>
    <w:rsid w:val="008B521A"/>
    <w:rsid w:val="008B66F2"/>
    <w:rsid w:val="008C0DAB"/>
    <w:rsid w:val="008C71C7"/>
    <w:rsid w:val="008D469E"/>
    <w:rsid w:val="008D5506"/>
    <w:rsid w:val="008E648E"/>
    <w:rsid w:val="008E725E"/>
    <w:rsid w:val="008F4066"/>
    <w:rsid w:val="00904F4B"/>
    <w:rsid w:val="00905AC1"/>
    <w:rsid w:val="0091425B"/>
    <w:rsid w:val="00917164"/>
    <w:rsid w:val="009238A7"/>
    <w:rsid w:val="00932FBC"/>
    <w:rsid w:val="009374DE"/>
    <w:rsid w:val="00947E10"/>
    <w:rsid w:val="0095379A"/>
    <w:rsid w:val="00954F77"/>
    <w:rsid w:val="00956EF2"/>
    <w:rsid w:val="00961999"/>
    <w:rsid w:val="009677DF"/>
    <w:rsid w:val="009731E8"/>
    <w:rsid w:val="00981B14"/>
    <w:rsid w:val="00984C4F"/>
    <w:rsid w:val="00987236"/>
    <w:rsid w:val="0099083A"/>
    <w:rsid w:val="009B53C8"/>
    <w:rsid w:val="009B6AA4"/>
    <w:rsid w:val="009B7C67"/>
    <w:rsid w:val="009C561E"/>
    <w:rsid w:val="009D076E"/>
    <w:rsid w:val="009D1FEC"/>
    <w:rsid w:val="009D345A"/>
    <w:rsid w:val="009D5EC2"/>
    <w:rsid w:val="009E7727"/>
    <w:rsid w:val="00A02272"/>
    <w:rsid w:val="00A031C9"/>
    <w:rsid w:val="00A05969"/>
    <w:rsid w:val="00A2054D"/>
    <w:rsid w:val="00A20C6F"/>
    <w:rsid w:val="00A25F20"/>
    <w:rsid w:val="00A37436"/>
    <w:rsid w:val="00A41C2B"/>
    <w:rsid w:val="00A53D0E"/>
    <w:rsid w:val="00A57980"/>
    <w:rsid w:val="00A60771"/>
    <w:rsid w:val="00A65B48"/>
    <w:rsid w:val="00A67121"/>
    <w:rsid w:val="00A84401"/>
    <w:rsid w:val="00A91F94"/>
    <w:rsid w:val="00AA7024"/>
    <w:rsid w:val="00AB3125"/>
    <w:rsid w:val="00AB36F3"/>
    <w:rsid w:val="00AC4CCA"/>
    <w:rsid w:val="00AD461C"/>
    <w:rsid w:val="00AE0A76"/>
    <w:rsid w:val="00AE19A4"/>
    <w:rsid w:val="00AF303E"/>
    <w:rsid w:val="00B02EC5"/>
    <w:rsid w:val="00B0463B"/>
    <w:rsid w:val="00B143D5"/>
    <w:rsid w:val="00B171F5"/>
    <w:rsid w:val="00B17AC5"/>
    <w:rsid w:val="00B23B1D"/>
    <w:rsid w:val="00B26230"/>
    <w:rsid w:val="00B35AF4"/>
    <w:rsid w:val="00B366F4"/>
    <w:rsid w:val="00B452C1"/>
    <w:rsid w:val="00B51E73"/>
    <w:rsid w:val="00B51F92"/>
    <w:rsid w:val="00B571F6"/>
    <w:rsid w:val="00B77243"/>
    <w:rsid w:val="00B8170B"/>
    <w:rsid w:val="00B875C6"/>
    <w:rsid w:val="00B94E50"/>
    <w:rsid w:val="00B965CD"/>
    <w:rsid w:val="00BA45FF"/>
    <w:rsid w:val="00BB1D5C"/>
    <w:rsid w:val="00BC1E4F"/>
    <w:rsid w:val="00BD17EC"/>
    <w:rsid w:val="00BD3F45"/>
    <w:rsid w:val="00BE4DA6"/>
    <w:rsid w:val="00BE751F"/>
    <w:rsid w:val="00BE772C"/>
    <w:rsid w:val="00BF0FD8"/>
    <w:rsid w:val="00C06664"/>
    <w:rsid w:val="00C06853"/>
    <w:rsid w:val="00C154CF"/>
    <w:rsid w:val="00C15615"/>
    <w:rsid w:val="00C15865"/>
    <w:rsid w:val="00C20075"/>
    <w:rsid w:val="00C22341"/>
    <w:rsid w:val="00C25F13"/>
    <w:rsid w:val="00C337D8"/>
    <w:rsid w:val="00C36603"/>
    <w:rsid w:val="00C401AF"/>
    <w:rsid w:val="00C41882"/>
    <w:rsid w:val="00C4314E"/>
    <w:rsid w:val="00C50F1E"/>
    <w:rsid w:val="00C51225"/>
    <w:rsid w:val="00C52DAB"/>
    <w:rsid w:val="00C567E4"/>
    <w:rsid w:val="00C65208"/>
    <w:rsid w:val="00C75FB2"/>
    <w:rsid w:val="00C8570C"/>
    <w:rsid w:val="00C863CD"/>
    <w:rsid w:val="00C9020F"/>
    <w:rsid w:val="00C926AA"/>
    <w:rsid w:val="00CA632F"/>
    <w:rsid w:val="00CB081F"/>
    <w:rsid w:val="00CB4906"/>
    <w:rsid w:val="00CB509D"/>
    <w:rsid w:val="00CD339F"/>
    <w:rsid w:val="00CD4B1E"/>
    <w:rsid w:val="00CD6CE4"/>
    <w:rsid w:val="00CD7F8C"/>
    <w:rsid w:val="00CE359B"/>
    <w:rsid w:val="00CF0FEA"/>
    <w:rsid w:val="00CF213E"/>
    <w:rsid w:val="00CF4DC2"/>
    <w:rsid w:val="00CF5099"/>
    <w:rsid w:val="00CF55EA"/>
    <w:rsid w:val="00CF632B"/>
    <w:rsid w:val="00D111F0"/>
    <w:rsid w:val="00D13D26"/>
    <w:rsid w:val="00D204AE"/>
    <w:rsid w:val="00D2276A"/>
    <w:rsid w:val="00D22F03"/>
    <w:rsid w:val="00D30CA6"/>
    <w:rsid w:val="00D35F0C"/>
    <w:rsid w:val="00D54C92"/>
    <w:rsid w:val="00D55817"/>
    <w:rsid w:val="00D70959"/>
    <w:rsid w:val="00D8090B"/>
    <w:rsid w:val="00D840F7"/>
    <w:rsid w:val="00D862D3"/>
    <w:rsid w:val="00D87AAF"/>
    <w:rsid w:val="00DC6798"/>
    <w:rsid w:val="00DD2889"/>
    <w:rsid w:val="00DD7011"/>
    <w:rsid w:val="00DD7172"/>
    <w:rsid w:val="00DE2A07"/>
    <w:rsid w:val="00DF769D"/>
    <w:rsid w:val="00E00388"/>
    <w:rsid w:val="00E100B5"/>
    <w:rsid w:val="00E119EB"/>
    <w:rsid w:val="00E21ABE"/>
    <w:rsid w:val="00E372F6"/>
    <w:rsid w:val="00E42F74"/>
    <w:rsid w:val="00E46E6E"/>
    <w:rsid w:val="00E507C6"/>
    <w:rsid w:val="00E52727"/>
    <w:rsid w:val="00E60A6A"/>
    <w:rsid w:val="00E6159F"/>
    <w:rsid w:val="00E70519"/>
    <w:rsid w:val="00E82C64"/>
    <w:rsid w:val="00E90B43"/>
    <w:rsid w:val="00E92E38"/>
    <w:rsid w:val="00EA2F59"/>
    <w:rsid w:val="00EB5502"/>
    <w:rsid w:val="00EB59E1"/>
    <w:rsid w:val="00EB6B65"/>
    <w:rsid w:val="00EB6D14"/>
    <w:rsid w:val="00EC3A29"/>
    <w:rsid w:val="00EC400B"/>
    <w:rsid w:val="00EC734F"/>
    <w:rsid w:val="00EC7D4B"/>
    <w:rsid w:val="00EE488B"/>
    <w:rsid w:val="00EF734F"/>
    <w:rsid w:val="00F01B5D"/>
    <w:rsid w:val="00F1682F"/>
    <w:rsid w:val="00F35927"/>
    <w:rsid w:val="00F434F1"/>
    <w:rsid w:val="00F4474E"/>
    <w:rsid w:val="00F450C9"/>
    <w:rsid w:val="00F452E5"/>
    <w:rsid w:val="00F50175"/>
    <w:rsid w:val="00F52AB1"/>
    <w:rsid w:val="00F545FE"/>
    <w:rsid w:val="00F6123D"/>
    <w:rsid w:val="00F63C0C"/>
    <w:rsid w:val="00F67AA5"/>
    <w:rsid w:val="00F841A8"/>
    <w:rsid w:val="00F85C2E"/>
    <w:rsid w:val="00F9491A"/>
    <w:rsid w:val="00FA13DC"/>
    <w:rsid w:val="00FA398A"/>
    <w:rsid w:val="00FA7A3C"/>
    <w:rsid w:val="00FB729A"/>
    <w:rsid w:val="00FC1E9A"/>
    <w:rsid w:val="00FD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3BAD3"/>
  <w15:docId w15:val="{8F72FE8A-FB33-4734-BB9B-EB8DE30D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E88"/>
    <w:pPr>
      <w:spacing w:after="200" w:line="276" w:lineRule="auto"/>
    </w:pPr>
    <w:rPr>
      <w:sz w:val="22"/>
      <w:szCs w:val="22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11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1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1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1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1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5A6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425B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56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615"/>
  </w:style>
  <w:style w:type="character" w:styleId="FootnoteReference">
    <w:name w:val="footnote reference"/>
    <w:basedOn w:val="DefaultParagraphFont"/>
    <w:uiPriority w:val="99"/>
    <w:semiHidden/>
    <w:unhideWhenUsed/>
    <w:rsid w:val="00C1561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B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B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F5EC4"/>
    <w:pPr>
      <w:ind w:left="720"/>
      <w:contextualSpacing/>
    </w:pPr>
  </w:style>
  <w:style w:type="table" w:styleId="TableGrid">
    <w:name w:val="Table Grid"/>
    <w:basedOn w:val="TableNormal"/>
    <w:uiPriority w:val="59"/>
    <w:rsid w:val="00C0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1B8E4-2C68-431C-A29F-579ADE65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8130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9537</CharactersWithSpaces>
  <SharedDoc>false</SharedDoc>
  <HLinks>
    <vt:vector size="6" baseType="variant">
      <vt:variant>
        <vt:i4>1114149</vt:i4>
      </vt:variant>
      <vt:variant>
        <vt:i4>0</vt:i4>
      </vt:variant>
      <vt:variant>
        <vt:i4>0</vt:i4>
      </vt:variant>
      <vt:variant>
        <vt:i4>5</vt:i4>
      </vt:variant>
      <vt:variant>
        <vt:lpwstr>mailto:azroog@yahoo.com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Preferred Customer</dc:creator>
  <cp:lastModifiedBy>Reena Shah</cp:lastModifiedBy>
  <cp:revision>2</cp:revision>
  <cp:lastPrinted>2015-09-30T13:35:00Z</cp:lastPrinted>
  <dcterms:created xsi:type="dcterms:W3CDTF">2020-07-29T21:38:00Z</dcterms:created>
  <dcterms:modified xsi:type="dcterms:W3CDTF">2020-07-29T21:38:00Z</dcterms:modified>
</cp:coreProperties>
</file>