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oter1.xml" ContentType="application/vnd.openxmlformats-officedocument.wordprocessingml.footer+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DCF1" w14:textId="77777777" w:rsidR="007559F6" w:rsidRPr="00641425" w:rsidRDefault="007E1AB3" w:rsidP="00485B5A">
      <w:pPr>
        <w:spacing w:after="0" w:line="240" w:lineRule="auto"/>
        <w:jc w:val="both"/>
        <w:rPr>
          <w:b/>
          <w:bCs/>
          <w:sz w:val="22"/>
          <w:szCs w:val="22"/>
        </w:rPr>
      </w:pPr>
      <w:bookmarkStart w:id="0" w:name="_Hlk186804389"/>
      <w:bookmarkEnd w:id="0"/>
      <w:r w:rsidRPr="00641425">
        <w:rPr>
          <w:b/>
          <w:bCs/>
          <w:sz w:val="22"/>
          <w:szCs w:val="22"/>
        </w:rPr>
        <w:t>TT-COFOG</w:t>
      </w:r>
    </w:p>
    <w:p w14:paraId="2CA95F92" w14:textId="77777777" w:rsidR="007559F6" w:rsidRPr="00641425" w:rsidRDefault="007E1AB3" w:rsidP="00485B5A">
      <w:pPr>
        <w:spacing w:after="0" w:line="240" w:lineRule="auto"/>
        <w:jc w:val="both"/>
        <w:rPr>
          <w:b/>
          <w:bCs/>
          <w:sz w:val="22"/>
          <w:szCs w:val="22"/>
        </w:rPr>
      </w:pPr>
      <w:r w:rsidRPr="00641425">
        <w:rPr>
          <w:b/>
          <w:bCs/>
          <w:sz w:val="22"/>
          <w:szCs w:val="22"/>
        </w:rPr>
        <w:t>Global Consultation on the Initial List of Issues</w:t>
      </w:r>
    </w:p>
    <w:p w14:paraId="06A4E8E5" w14:textId="7BE25951" w:rsidR="00630F00" w:rsidRDefault="00642484" w:rsidP="001A4726">
      <w:pPr>
        <w:spacing w:after="0" w:line="240" w:lineRule="auto"/>
        <w:jc w:val="both"/>
        <w:rPr>
          <w:b/>
          <w:bCs/>
          <w:sz w:val="22"/>
          <w:szCs w:val="22"/>
        </w:rPr>
      </w:pPr>
      <w:r w:rsidRPr="00641425">
        <w:rPr>
          <w:b/>
          <w:bCs/>
          <w:sz w:val="22"/>
          <w:szCs w:val="22"/>
        </w:rPr>
        <w:t>Final</w:t>
      </w:r>
      <w:r w:rsidR="007E1AB3" w:rsidRPr="00641425">
        <w:rPr>
          <w:b/>
          <w:bCs/>
          <w:sz w:val="22"/>
          <w:szCs w:val="22"/>
        </w:rPr>
        <w:t xml:space="preserve"> Results</w:t>
      </w:r>
      <w:r w:rsidR="007559F6" w:rsidRPr="00641425">
        <w:rPr>
          <w:b/>
          <w:bCs/>
          <w:sz w:val="22"/>
          <w:szCs w:val="22"/>
        </w:rPr>
        <w:t xml:space="preserve"> </w:t>
      </w:r>
      <w:r w:rsidR="00B63ADA">
        <w:rPr>
          <w:b/>
          <w:bCs/>
          <w:sz w:val="22"/>
          <w:szCs w:val="22"/>
        </w:rPr>
        <w:t>-</w:t>
      </w:r>
      <w:r w:rsidR="007559F6" w:rsidRPr="00641425">
        <w:rPr>
          <w:b/>
          <w:bCs/>
          <w:sz w:val="22"/>
          <w:szCs w:val="22"/>
        </w:rPr>
        <w:t xml:space="preserve"> </w:t>
      </w:r>
      <w:r w:rsidR="007151F6">
        <w:rPr>
          <w:b/>
          <w:bCs/>
          <w:sz w:val="22"/>
          <w:szCs w:val="22"/>
        </w:rPr>
        <w:t>April</w:t>
      </w:r>
      <w:r w:rsidR="007151F6" w:rsidRPr="00641425">
        <w:rPr>
          <w:b/>
          <w:bCs/>
          <w:sz w:val="22"/>
          <w:szCs w:val="22"/>
        </w:rPr>
        <w:t xml:space="preserve"> </w:t>
      </w:r>
      <w:r w:rsidR="007E1AB3" w:rsidRPr="00641425">
        <w:rPr>
          <w:b/>
          <w:bCs/>
          <w:sz w:val="22"/>
          <w:szCs w:val="22"/>
        </w:rPr>
        <w:t>202</w:t>
      </w:r>
      <w:r w:rsidR="00EC1650">
        <w:rPr>
          <w:b/>
          <w:bCs/>
          <w:sz w:val="22"/>
          <w:szCs w:val="22"/>
        </w:rPr>
        <w:t>5</w:t>
      </w:r>
    </w:p>
    <w:p w14:paraId="5944621D" w14:textId="77777777" w:rsidR="001F6783" w:rsidRDefault="001F6783" w:rsidP="001A4726">
      <w:pPr>
        <w:spacing w:after="0" w:line="240" w:lineRule="auto"/>
        <w:jc w:val="both"/>
        <w:rPr>
          <w:b/>
          <w:bCs/>
          <w:sz w:val="22"/>
          <w:szCs w:val="22"/>
        </w:rPr>
      </w:pPr>
    </w:p>
    <w:p w14:paraId="28CE23AC" w14:textId="77777777" w:rsidR="001F6783" w:rsidRPr="001A4726" w:rsidRDefault="001F6783" w:rsidP="001A4726">
      <w:pPr>
        <w:spacing w:after="0" w:line="240" w:lineRule="auto"/>
        <w:jc w:val="both"/>
        <w:rPr>
          <w:b/>
          <w:bCs/>
          <w:sz w:val="22"/>
          <w:szCs w:val="22"/>
        </w:rPr>
      </w:pPr>
    </w:p>
    <w:bookmarkStart w:id="1" w:name="_Toc193184047" w:displacedByCustomXml="next"/>
    <w:sdt>
      <w:sdtPr>
        <w:id w:val="-417795167"/>
        <w:docPartObj>
          <w:docPartGallery w:val="Table of Contents"/>
          <w:docPartUnique/>
        </w:docPartObj>
      </w:sdtPr>
      <w:sdtEndPr>
        <w:rPr>
          <w:b/>
          <w:bCs/>
          <w:noProof/>
          <w:sz w:val="20"/>
          <w:szCs w:val="20"/>
        </w:rPr>
      </w:sdtEndPr>
      <w:sdtContent>
        <w:bookmarkEnd w:id="1" w:displacedByCustomXml="prev"/>
        <w:p w14:paraId="683F889D" w14:textId="73555A0E" w:rsidR="004E2F21" w:rsidRPr="004E2F21" w:rsidRDefault="005431AB">
          <w:pPr>
            <w:pStyle w:val="TOC1"/>
            <w:tabs>
              <w:tab w:val="right" w:leader="dot" w:pos="9350"/>
            </w:tabs>
            <w:rPr>
              <w:b/>
              <w:bCs/>
              <w:noProof/>
              <w:sz w:val="22"/>
              <w:szCs w:val="22"/>
            </w:rPr>
          </w:pPr>
          <w:r w:rsidRPr="001F6783">
            <w:rPr>
              <w:sz w:val="10"/>
              <w:szCs w:val="10"/>
            </w:rPr>
            <w:fldChar w:fldCharType="begin"/>
          </w:r>
          <w:r w:rsidRPr="001F6783">
            <w:rPr>
              <w:sz w:val="10"/>
              <w:szCs w:val="10"/>
            </w:rPr>
            <w:instrText xml:space="preserve"> TOC \o "1-3" \h \z \u </w:instrText>
          </w:r>
          <w:r w:rsidRPr="001F6783">
            <w:rPr>
              <w:sz w:val="10"/>
              <w:szCs w:val="10"/>
            </w:rPr>
            <w:fldChar w:fldCharType="separate"/>
          </w:r>
          <w:hyperlink w:anchor="_Toc195776379" w:history="1">
            <w:r w:rsidR="004E2F21" w:rsidRPr="004E2F21">
              <w:rPr>
                <w:rStyle w:val="Hyperlink"/>
                <w:b/>
                <w:bCs/>
                <w:noProof/>
                <w:sz w:val="22"/>
                <w:szCs w:val="22"/>
              </w:rPr>
              <w:t>Executive Summary</w:t>
            </w:r>
            <w:r w:rsidR="004E2F21" w:rsidRPr="004E2F21">
              <w:rPr>
                <w:b/>
                <w:bCs/>
                <w:noProof/>
                <w:webHidden/>
                <w:sz w:val="22"/>
                <w:szCs w:val="22"/>
              </w:rPr>
              <w:tab/>
            </w:r>
            <w:r w:rsidR="004E2F21" w:rsidRPr="004E2F21">
              <w:rPr>
                <w:b/>
                <w:bCs/>
                <w:noProof/>
                <w:webHidden/>
                <w:sz w:val="22"/>
                <w:szCs w:val="22"/>
              </w:rPr>
              <w:fldChar w:fldCharType="begin"/>
            </w:r>
            <w:r w:rsidR="004E2F21" w:rsidRPr="004E2F21">
              <w:rPr>
                <w:b/>
                <w:bCs/>
                <w:noProof/>
                <w:webHidden/>
                <w:sz w:val="22"/>
                <w:szCs w:val="22"/>
              </w:rPr>
              <w:instrText xml:space="preserve"> PAGEREF _Toc195776379 \h </w:instrText>
            </w:r>
            <w:r w:rsidR="004E2F21" w:rsidRPr="004E2F21">
              <w:rPr>
                <w:b/>
                <w:bCs/>
                <w:noProof/>
                <w:webHidden/>
                <w:sz w:val="22"/>
                <w:szCs w:val="22"/>
              </w:rPr>
            </w:r>
            <w:r w:rsidR="004E2F21" w:rsidRPr="004E2F21">
              <w:rPr>
                <w:b/>
                <w:bCs/>
                <w:noProof/>
                <w:webHidden/>
                <w:sz w:val="22"/>
                <w:szCs w:val="22"/>
              </w:rPr>
              <w:fldChar w:fldCharType="separate"/>
            </w:r>
            <w:r w:rsidR="004E2F21" w:rsidRPr="004E2F21">
              <w:rPr>
                <w:b/>
                <w:bCs/>
                <w:noProof/>
                <w:webHidden/>
                <w:sz w:val="22"/>
                <w:szCs w:val="22"/>
              </w:rPr>
              <w:t>2</w:t>
            </w:r>
            <w:r w:rsidR="004E2F21" w:rsidRPr="004E2F21">
              <w:rPr>
                <w:b/>
                <w:bCs/>
                <w:noProof/>
                <w:webHidden/>
                <w:sz w:val="22"/>
                <w:szCs w:val="22"/>
              </w:rPr>
              <w:fldChar w:fldCharType="end"/>
            </w:r>
          </w:hyperlink>
        </w:p>
        <w:p w14:paraId="6868D024" w14:textId="314F5A61" w:rsidR="004E2F21" w:rsidRPr="004E2F21" w:rsidRDefault="004E2F21">
          <w:pPr>
            <w:pStyle w:val="TOC1"/>
            <w:tabs>
              <w:tab w:val="left" w:pos="480"/>
              <w:tab w:val="right" w:leader="dot" w:pos="9350"/>
            </w:tabs>
            <w:rPr>
              <w:b/>
              <w:bCs/>
              <w:noProof/>
              <w:sz w:val="22"/>
              <w:szCs w:val="22"/>
            </w:rPr>
          </w:pPr>
          <w:hyperlink w:anchor="_Toc195776380" w:history="1">
            <w:r w:rsidRPr="004E2F21">
              <w:rPr>
                <w:rStyle w:val="Hyperlink"/>
                <w:b/>
                <w:bCs/>
                <w:noProof/>
                <w:sz w:val="22"/>
                <w:szCs w:val="22"/>
              </w:rPr>
              <w:t>I.</w:t>
            </w:r>
            <w:r w:rsidRPr="004E2F21">
              <w:rPr>
                <w:b/>
                <w:bCs/>
                <w:noProof/>
                <w:sz w:val="22"/>
                <w:szCs w:val="22"/>
              </w:rPr>
              <w:tab/>
            </w:r>
            <w:r w:rsidRPr="004E2F21">
              <w:rPr>
                <w:rStyle w:val="Hyperlink"/>
                <w:b/>
                <w:bCs/>
                <w:noProof/>
                <w:sz w:val="22"/>
                <w:szCs w:val="22"/>
              </w:rPr>
              <w:t>Responses to Global Consultation</w:t>
            </w:r>
            <w:r w:rsidRPr="004E2F21">
              <w:rPr>
                <w:b/>
                <w:bCs/>
                <w:noProof/>
                <w:webHidden/>
                <w:sz w:val="22"/>
                <w:szCs w:val="22"/>
              </w:rPr>
              <w:tab/>
            </w:r>
            <w:r w:rsidRPr="004E2F21">
              <w:rPr>
                <w:b/>
                <w:bCs/>
                <w:noProof/>
                <w:webHidden/>
                <w:sz w:val="22"/>
                <w:szCs w:val="22"/>
              </w:rPr>
              <w:fldChar w:fldCharType="begin"/>
            </w:r>
            <w:r w:rsidRPr="004E2F21">
              <w:rPr>
                <w:b/>
                <w:bCs/>
                <w:noProof/>
                <w:webHidden/>
                <w:sz w:val="22"/>
                <w:szCs w:val="22"/>
              </w:rPr>
              <w:instrText xml:space="preserve"> PAGEREF _Toc195776380 \h </w:instrText>
            </w:r>
            <w:r w:rsidRPr="004E2F21">
              <w:rPr>
                <w:b/>
                <w:bCs/>
                <w:noProof/>
                <w:webHidden/>
                <w:sz w:val="22"/>
                <w:szCs w:val="22"/>
              </w:rPr>
            </w:r>
            <w:r w:rsidRPr="004E2F21">
              <w:rPr>
                <w:b/>
                <w:bCs/>
                <w:noProof/>
                <w:webHidden/>
                <w:sz w:val="22"/>
                <w:szCs w:val="22"/>
              </w:rPr>
              <w:fldChar w:fldCharType="separate"/>
            </w:r>
            <w:r w:rsidRPr="004E2F21">
              <w:rPr>
                <w:b/>
                <w:bCs/>
                <w:noProof/>
                <w:webHidden/>
                <w:sz w:val="22"/>
                <w:szCs w:val="22"/>
              </w:rPr>
              <w:t>3</w:t>
            </w:r>
            <w:r w:rsidRPr="004E2F21">
              <w:rPr>
                <w:b/>
                <w:bCs/>
                <w:noProof/>
                <w:webHidden/>
                <w:sz w:val="22"/>
                <w:szCs w:val="22"/>
              </w:rPr>
              <w:fldChar w:fldCharType="end"/>
            </w:r>
          </w:hyperlink>
        </w:p>
        <w:p w14:paraId="1805DE81" w14:textId="04446935" w:rsidR="004E2F21" w:rsidRPr="004E2F21" w:rsidRDefault="004E2F21">
          <w:pPr>
            <w:pStyle w:val="TOC2"/>
            <w:tabs>
              <w:tab w:val="left" w:pos="720"/>
              <w:tab w:val="right" w:leader="dot" w:pos="9350"/>
            </w:tabs>
            <w:rPr>
              <w:b/>
              <w:bCs/>
              <w:noProof/>
              <w:sz w:val="22"/>
              <w:szCs w:val="22"/>
            </w:rPr>
          </w:pPr>
          <w:hyperlink w:anchor="_Toc195776381" w:history="1">
            <w:r w:rsidRPr="004E2F21">
              <w:rPr>
                <w:rStyle w:val="Hyperlink"/>
                <w:b/>
                <w:bCs/>
                <w:noProof/>
                <w:sz w:val="22"/>
                <w:szCs w:val="22"/>
              </w:rPr>
              <w:t>A.</w:t>
            </w:r>
            <w:r w:rsidRPr="004E2F21">
              <w:rPr>
                <w:b/>
                <w:bCs/>
                <w:noProof/>
                <w:sz w:val="22"/>
                <w:szCs w:val="22"/>
              </w:rPr>
              <w:tab/>
            </w:r>
            <w:r w:rsidRPr="004E2F21">
              <w:rPr>
                <w:rStyle w:val="Hyperlink"/>
                <w:b/>
                <w:bCs/>
                <w:noProof/>
                <w:sz w:val="22"/>
                <w:szCs w:val="22"/>
              </w:rPr>
              <w:t>Respondent Information</w:t>
            </w:r>
            <w:r w:rsidRPr="004E2F21">
              <w:rPr>
                <w:b/>
                <w:bCs/>
                <w:noProof/>
                <w:webHidden/>
                <w:sz w:val="22"/>
                <w:szCs w:val="22"/>
              </w:rPr>
              <w:tab/>
            </w:r>
            <w:r w:rsidRPr="004E2F21">
              <w:rPr>
                <w:b/>
                <w:bCs/>
                <w:noProof/>
                <w:webHidden/>
                <w:sz w:val="22"/>
                <w:szCs w:val="22"/>
              </w:rPr>
              <w:fldChar w:fldCharType="begin"/>
            </w:r>
            <w:r w:rsidRPr="004E2F21">
              <w:rPr>
                <w:b/>
                <w:bCs/>
                <w:noProof/>
                <w:webHidden/>
                <w:sz w:val="22"/>
                <w:szCs w:val="22"/>
              </w:rPr>
              <w:instrText xml:space="preserve"> PAGEREF _Toc195776381 \h </w:instrText>
            </w:r>
            <w:r w:rsidRPr="004E2F21">
              <w:rPr>
                <w:b/>
                <w:bCs/>
                <w:noProof/>
                <w:webHidden/>
                <w:sz w:val="22"/>
                <w:szCs w:val="22"/>
              </w:rPr>
            </w:r>
            <w:r w:rsidRPr="004E2F21">
              <w:rPr>
                <w:b/>
                <w:bCs/>
                <w:noProof/>
                <w:webHidden/>
                <w:sz w:val="22"/>
                <w:szCs w:val="22"/>
              </w:rPr>
              <w:fldChar w:fldCharType="separate"/>
            </w:r>
            <w:r w:rsidRPr="004E2F21">
              <w:rPr>
                <w:b/>
                <w:bCs/>
                <w:noProof/>
                <w:webHidden/>
                <w:sz w:val="22"/>
                <w:szCs w:val="22"/>
              </w:rPr>
              <w:t>3</w:t>
            </w:r>
            <w:r w:rsidRPr="004E2F21">
              <w:rPr>
                <w:b/>
                <w:bCs/>
                <w:noProof/>
                <w:webHidden/>
                <w:sz w:val="22"/>
                <w:szCs w:val="22"/>
              </w:rPr>
              <w:fldChar w:fldCharType="end"/>
            </w:r>
          </w:hyperlink>
        </w:p>
        <w:p w14:paraId="3435C425" w14:textId="483206AB" w:rsidR="004E2F21" w:rsidRPr="004E2F21" w:rsidRDefault="004E2F21">
          <w:pPr>
            <w:pStyle w:val="TOC2"/>
            <w:tabs>
              <w:tab w:val="left" w:pos="720"/>
              <w:tab w:val="right" w:leader="dot" w:pos="9350"/>
            </w:tabs>
            <w:rPr>
              <w:b/>
              <w:bCs/>
              <w:noProof/>
              <w:sz w:val="22"/>
              <w:szCs w:val="22"/>
            </w:rPr>
          </w:pPr>
          <w:hyperlink w:anchor="_Toc195776382" w:history="1">
            <w:r w:rsidRPr="004E2F21">
              <w:rPr>
                <w:rStyle w:val="Hyperlink"/>
                <w:b/>
                <w:bCs/>
                <w:noProof/>
                <w:sz w:val="22"/>
                <w:szCs w:val="22"/>
              </w:rPr>
              <w:t>B.</w:t>
            </w:r>
            <w:r w:rsidRPr="004E2F21">
              <w:rPr>
                <w:b/>
                <w:bCs/>
                <w:noProof/>
                <w:sz w:val="22"/>
                <w:szCs w:val="22"/>
              </w:rPr>
              <w:tab/>
            </w:r>
            <w:r w:rsidRPr="004E2F21">
              <w:rPr>
                <w:rStyle w:val="Hyperlink"/>
                <w:b/>
                <w:bCs/>
                <w:noProof/>
                <w:sz w:val="22"/>
                <w:szCs w:val="22"/>
              </w:rPr>
              <w:t>Use of COFOG</w:t>
            </w:r>
            <w:r w:rsidRPr="004E2F21">
              <w:rPr>
                <w:b/>
                <w:bCs/>
                <w:noProof/>
                <w:webHidden/>
                <w:sz w:val="22"/>
                <w:szCs w:val="22"/>
              </w:rPr>
              <w:tab/>
            </w:r>
            <w:r w:rsidRPr="004E2F21">
              <w:rPr>
                <w:b/>
                <w:bCs/>
                <w:noProof/>
                <w:webHidden/>
                <w:sz w:val="22"/>
                <w:szCs w:val="22"/>
              </w:rPr>
              <w:fldChar w:fldCharType="begin"/>
            </w:r>
            <w:r w:rsidRPr="004E2F21">
              <w:rPr>
                <w:b/>
                <w:bCs/>
                <w:noProof/>
                <w:webHidden/>
                <w:sz w:val="22"/>
                <w:szCs w:val="22"/>
              </w:rPr>
              <w:instrText xml:space="preserve"> PAGEREF _Toc195776382 \h </w:instrText>
            </w:r>
            <w:r w:rsidRPr="004E2F21">
              <w:rPr>
                <w:b/>
                <w:bCs/>
                <w:noProof/>
                <w:webHidden/>
                <w:sz w:val="22"/>
                <w:szCs w:val="22"/>
              </w:rPr>
            </w:r>
            <w:r w:rsidRPr="004E2F21">
              <w:rPr>
                <w:b/>
                <w:bCs/>
                <w:noProof/>
                <w:webHidden/>
                <w:sz w:val="22"/>
                <w:szCs w:val="22"/>
              </w:rPr>
              <w:fldChar w:fldCharType="separate"/>
            </w:r>
            <w:r w:rsidRPr="004E2F21">
              <w:rPr>
                <w:b/>
                <w:bCs/>
                <w:noProof/>
                <w:webHidden/>
                <w:sz w:val="22"/>
                <w:szCs w:val="22"/>
              </w:rPr>
              <w:t>4</w:t>
            </w:r>
            <w:r w:rsidRPr="004E2F21">
              <w:rPr>
                <w:b/>
                <w:bCs/>
                <w:noProof/>
                <w:webHidden/>
                <w:sz w:val="22"/>
                <w:szCs w:val="22"/>
              </w:rPr>
              <w:fldChar w:fldCharType="end"/>
            </w:r>
          </w:hyperlink>
        </w:p>
        <w:p w14:paraId="0DB28BA6" w14:textId="19EA10D3" w:rsidR="004E2F21" w:rsidRPr="004E2F21" w:rsidRDefault="004E2F21">
          <w:pPr>
            <w:pStyle w:val="TOC3"/>
            <w:tabs>
              <w:tab w:val="left" w:pos="960"/>
              <w:tab w:val="right" w:leader="dot" w:pos="9350"/>
            </w:tabs>
            <w:rPr>
              <w:noProof/>
              <w:sz w:val="22"/>
              <w:szCs w:val="22"/>
            </w:rPr>
          </w:pPr>
          <w:hyperlink w:anchor="_Toc195776383" w:history="1">
            <w:r w:rsidRPr="004E2F21">
              <w:rPr>
                <w:rStyle w:val="Hyperlink"/>
                <w:noProof/>
                <w:sz w:val="22"/>
                <w:szCs w:val="22"/>
              </w:rPr>
              <w:t>i.</w:t>
            </w:r>
            <w:r w:rsidRPr="004E2F21">
              <w:rPr>
                <w:noProof/>
                <w:sz w:val="22"/>
                <w:szCs w:val="22"/>
              </w:rPr>
              <w:tab/>
            </w:r>
            <w:r w:rsidRPr="004E2F21">
              <w:rPr>
                <w:rStyle w:val="Hyperlink"/>
                <w:noProof/>
                <w:sz w:val="22"/>
                <w:szCs w:val="22"/>
              </w:rPr>
              <w:t>Level of Use</w:t>
            </w:r>
            <w:r w:rsidRPr="004E2F21">
              <w:rPr>
                <w:noProof/>
                <w:webHidden/>
                <w:sz w:val="22"/>
                <w:szCs w:val="22"/>
              </w:rPr>
              <w:tab/>
            </w:r>
            <w:r w:rsidRPr="004E2F21">
              <w:rPr>
                <w:noProof/>
                <w:webHidden/>
                <w:sz w:val="22"/>
                <w:szCs w:val="22"/>
              </w:rPr>
              <w:fldChar w:fldCharType="begin"/>
            </w:r>
            <w:r w:rsidRPr="004E2F21">
              <w:rPr>
                <w:noProof/>
                <w:webHidden/>
                <w:sz w:val="22"/>
                <w:szCs w:val="22"/>
              </w:rPr>
              <w:instrText xml:space="preserve"> PAGEREF _Toc195776383 \h </w:instrText>
            </w:r>
            <w:r w:rsidRPr="004E2F21">
              <w:rPr>
                <w:noProof/>
                <w:webHidden/>
                <w:sz w:val="22"/>
                <w:szCs w:val="22"/>
              </w:rPr>
            </w:r>
            <w:r w:rsidRPr="004E2F21">
              <w:rPr>
                <w:noProof/>
                <w:webHidden/>
                <w:sz w:val="22"/>
                <w:szCs w:val="22"/>
              </w:rPr>
              <w:fldChar w:fldCharType="separate"/>
            </w:r>
            <w:r w:rsidRPr="004E2F21">
              <w:rPr>
                <w:noProof/>
                <w:webHidden/>
                <w:sz w:val="22"/>
                <w:szCs w:val="22"/>
              </w:rPr>
              <w:t>5</w:t>
            </w:r>
            <w:r w:rsidRPr="004E2F21">
              <w:rPr>
                <w:noProof/>
                <w:webHidden/>
                <w:sz w:val="22"/>
                <w:szCs w:val="22"/>
              </w:rPr>
              <w:fldChar w:fldCharType="end"/>
            </w:r>
          </w:hyperlink>
        </w:p>
        <w:p w14:paraId="15A4085E" w14:textId="2277B5BB" w:rsidR="004E2F21" w:rsidRPr="004E2F21" w:rsidRDefault="004E2F21">
          <w:pPr>
            <w:pStyle w:val="TOC3"/>
            <w:tabs>
              <w:tab w:val="left" w:pos="960"/>
              <w:tab w:val="right" w:leader="dot" w:pos="9350"/>
            </w:tabs>
            <w:rPr>
              <w:noProof/>
              <w:sz w:val="22"/>
              <w:szCs w:val="22"/>
            </w:rPr>
          </w:pPr>
          <w:hyperlink w:anchor="_Toc195776384" w:history="1">
            <w:r w:rsidRPr="004E2F21">
              <w:rPr>
                <w:rStyle w:val="Hyperlink"/>
                <w:noProof/>
                <w:sz w:val="22"/>
                <w:szCs w:val="22"/>
              </w:rPr>
              <w:t>ii.</w:t>
            </w:r>
            <w:r w:rsidRPr="004E2F21">
              <w:rPr>
                <w:noProof/>
                <w:sz w:val="22"/>
                <w:szCs w:val="22"/>
              </w:rPr>
              <w:tab/>
            </w:r>
            <w:r w:rsidRPr="004E2F21">
              <w:rPr>
                <w:rStyle w:val="Hyperlink"/>
                <w:noProof/>
                <w:sz w:val="22"/>
                <w:szCs w:val="22"/>
              </w:rPr>
              <w:t>Sectoral Coverage</w:t>
            </w:r>
            <w:r w:rsidRPr="004E2F21">
              <w:rPr>
                <w:noProof/>
                <w:webHidden/>
                <w:sz w:val="22"/>
                <w:szCs w:val="22"/>
              </w:rPr>
              <w:tab/>
            </w:r>
            <w:r w:rsidRPr="004E2F21">
              <w:rPr>
                <w:noProof/>
                <w:webHidden/>
                <w:sz w:val="22"/>
                <w:szCs w:val="22"/>
              </w:rPr>
              <w:fldChar w:fldCharType="begin"/>
            </w:r>
            <w:r w:rsidRPr="004E2F21">
              <w:rPr>
                <w:noProof/>
                <w:webHidden/>
                <w:sz w:val="22"/>
                <w:szCs w:val="22"/>
              </w:rPr>
              <w:instrText xml:space="preserve"> PAGEREF _Toc195776384 \h </w:instrText>
            </w:r>
            <w:r w:rsidRPr="004E2F21">
              <w:rPr>
                <w:noProof/>
                <w:webHidden/>
                <w:sz w:val="22"/>
                <w:szCs w:val="22"/>
              </w:rPr>
            </w:r>
            <w:r w:rsidRPr="004E2F21">
              <w:rPr>
                <w:noProof/>
                <w:webHidden/>
                <w:sz w:val="22"/>
                <w:szCs w:val="22"/>
              </w:rPr>
              <w:fldChar w:fldCharType="separate"/>
            </w:r>
            <w:r w:rsidRPr="004E2F21">
              <w:rPr>
                <w:noProof/>
                <w:webHidden/>
                <w:sz w:val="22"/>
                <w:szCs w:val="22"/>
              </w:rPr>
              <w:t>7</w:t>
            </w:r>
            <w:r w:rsidRPr="004E2F21">
              <w:rPr>
                <w:noProof/>
                <w:webHidden/>
                <w:sz w:val="22"/>
                <w:szCs w:val="22"/>
              </w:rPr>
              <w:fldChar w:fldCharType="end"/>
            </w:r>
          </w:hyperlink>
        </w:p>
        <w:p w14:paraId="50E1C64E" w14:textId="07A4BAAF" w:rsidR="004E2F21" w:rsidRPr="004E2F21" w:rsidRDefault="004E2F21">
          <w:pPr>
            <w:pStyle w:val="TOC3"/>
            <w:tabs>
              <w:tab w:val="left" w:pos="1200"/>
              <w:tab w:val="right" w:leader="dot" w:pos="9350"/>
            </w:tabs>
            <w:rPr>
              <w:noProof/>
              <w:sz w:val="22"/>
              <w:szCs w:val="22"/>
            </w:rPr>
          </w:pPr>
          <w:hyperlink w:anchor="_Toc195776385" w:history="1">
            <w:r w:rsidRPr="004E2F21">
              <w:rPr>
                <w:rStyle w:val="Hyperlink"/>
                <w:noProof/>
                <w:sz w:val="22"/>
                <w:szCs w:val="22"/>
              </w:rPr>
              <w:t>iii.</w:t>
            </w:r>
            <w:r w:rsidR="00710D62">
              <w:rPr>
                <w:noProof/>
                <w:sz w:val="22"/>
                <w:szCs w:val="22"/>
              </w:rPr>
              <w:t xml:space="preserve">      </w:t>
            </w:r>
            <w:r w:rsidRPr="004E2F21">
              <w:rPr>
                <w:rStyle w:val="Hyperlink"/>
                <w:noProof/>
                <w:sz w:val="22"/>
                <w:szCs w:val="22"/>
              </w:rPr>
              <w:t>Primary/Secondary Expenditure</w:t>
            </w:r>
            <w:r w:rsidRPr="004E2F21">
              <w:rPr>
                <w:noProof/>
                <w:webHidden/>
                <w:sz w:val="22"/>
                <w:szCs w:val="22"/>
              </w:rPr>
              <w:tab/>
            </w:r>
            <w:r w:rsidRPr="004E2F21">
              <w:rPr>
                <w:noProof/>
                <w:webHidden/>
                <w:sz w:val="22"/>
                <w:szCs w:val="22"/>
              </w:rPr>
              <w:fldChar w:fldCharType="begin"/>
            </w:r>
            <w:r w:rsidRPr="004E2F21">
              <w:rPr>
                <w:noProof/>
                <w:webHidden/>
                <w:sz w:val="22"/>
                <w:szCs w:val="22"/>
              </w:rPr>
              <w:instrText xml:space="preserve"> PAGEREF _Toc195776385 \h </w:instrText>
            </w:r>
            <w:r w:rsidRPr="004E2F21">
              <w:rPr>
                <w:noProof/>
                <w:webHidden/>
                <w:sz w:val="22"/>
                <w:szCs w:val="22"/>
              </w:rPr>
            </w:r>
            <w:r w:rsidRPr="004E2F21">
              <w:rPr>
                <w:noProof/>
                <w:webHidden/>
                <w:sz w:val="22"/>
                <w:szCs w:val="22"/>
              </w:rPr>
              <w:fldChar w:fldCharType="separate"/>
            </w:r>
            <w:r w:rsidRPr="004E2F21">
              <w:rPr>
                <w:noProof/>
                <w:webHidden/>
                <w:sz w:val="22"/>
                <w:szCs w:val="22"/>
              </w:rPr>
              <w:t>8</w:t>
            </w:r>
            <w:r w:rsidRPr="004E2F21">
              <w:rPr>
                <w:noProof/>
                <w:webHidden/>
                <w:sz w:val="22"/>
                <w:szCs w:val="22"/>
              </w:rPr>
              <w:fldChar w:fldCharType="end"/>
            </w:r>
          </w:hyperlink>
        </w:p>
        <w:p w14:paraId="0081751B" w14:textId="57DD647A" w:rsidR="004E2F21" w:rsidRPr="004E2F21" w:rsidRDefault="004E2F21">
          <w:pPr>
            <w:pStyle w:val="TOC3"/>
            <w:tabs>
              <w:tab w:val="right" w:leader="dot" w:pos="9350"/>
            </w:tabs>
            <w:rPr>
              <w:noProof/>
              <w:sz w:val="22"/>
              <w:szCs w:val="22"/>
            </w:rPr>
          </w:pPr>
          <w:hyperlink w:anchor="_Toc195776386" w:history="1">
            <w:r w:rsidRPr="004E2F21">
              <w:rPr>
                <w:rStyle w:val="Hyperlink"/>
                <w:noProof/>
                <w:sz w:val="22"/>
                <w:szCs w:val="22"/>
              </w:rPr>
              <w:t xml:space="preserve">iv.  </w:t>
            </w:r>
            <w:r w:rsidR="00710D62">
              <w:rPr>
                <w:rStyle w:val="Hyperlink"/>
                <w:noProof/>
                <w:sz w:val="22"/>
                <w:szCs w:val="22"/>
              </w:rPr>
              <w:t xml:space="preserve">    </w:t>
            </w:r>
            <w:r w:rsidRPr="004E2F21">
              <w:rPr>
                <w:rStyle w:val="Hyperlink"/>
                <w:noProof/>
                <w:sz w:val="22"/>
                <w:szCs w:val="22"/>
              </w:rPr>
              <w:t>Time Series</w:t>
            </w:r>
            <w:r w:rsidRPr="004E2F21">
              <w:rPr>
                <w:noProof/>
                <w:webHidden/>
                <w:sz w:val="22"/>
                <w:szCs w:val="22"/>
              </w:rPr>
              <w:tab/>
            </w:r>
            <w:r w:rsidRPr="004E2F21">
              <w:rPr>
                <w:noProof/>
                <w:webHidden/>
                <w:sz w:val="22"/>
                <w:szCs w:val="22"/>
              </w:rPr>
              <w:fldChar w:fldCharType="begin"/>
            </w:r>
            <w:r w:rsidRPr="004E2F21">
              <w:rPr>
                <w:noProof/>
                <w:webHidden/>
                <w:sz w:val="22"/>
                <w:szCs w:val="22"/>
              </w:rPr>
              <w:instrText xml:space="preserve"> PAGEREF _Toc195776386 \h </w:instrText>
            </w:r>
            <w:r w:rsidRPr="004E2F21">
              <w:rPr>
                <w:noProof/>
                <w:webHidden/>
                <w:sz w:val="22"/>
                <w:szCs w:val="22"/>
              </w:rPr>
            </w:r>
            <w:r w:rsidRPr="004E2F21">
              <w:rPr>
                <w:noProof/>
                <w:webHidden/>
                <w:sz w:val="22"/>
                <w:szCs w:val="22"/>
              </w:rPr>
              <w:fldChar w:fldCharType="separate"/>
            </w:r>
            <w:r w:rsidRPr="004E2F21">
              <w:rPr>
                <w:noProof/>
                <w:webHidden/>
                <w:sz w:val="22"/>
                <w:szCs w:val="22"/>
              </w:rPr>
              <w:t>10</w:t>
            </w:r>
            <w:r w:rsidRPr="004E2F21">
              <w:rPr>
                <w:noProof/>
                <w:webHidden/>
                <w:sz w:val="22"/>
                <w:szCs w:val="22"/>
              </w:rPr>
              <w:fldChar w:fldCharType="end"/>
            </w:r>
          </w:hyperlink>
        </w:p>
        <w:p w14:paraId="01764D53" w14:textId="15BBEF44" w:rsidR="004E2F21" w:rsidRPr="004E2F21" w:rsidRDefault="004E2F21">
          <w:pPr>
            <w:pStyle w:val="TOC3"/>
            <w:tabs>
              <w:tab w:val="left" w:pos="960"/>
              <w:tab w:val="right" w:leader="dot" w:pos="9350"/>
            </w:tabs>
            <w:rPr>
              <w:noProof/>
              <w:sz w:val="22"/>
              <w:szCs w:val="22"/>
            </w:rPr>
          </w:pPr>
          <w:hyperlink w:anchor="_Toc195776387" w:history="1">
            <w:r w:rsidRPr="004E2F21">
              <w:rPr>
                <w:rStyle w:val="Hyperlink"/>
                <w:noProof/>
                <w:sz w:val="22"/>
                <w:szCs w:val="22"/>
              </w:rPr>
              <w:t>v.</w:t>
            </w:r>
            <w:r w:rsidRPr="004E2F21">
              <w:rPr>
                <w:noProof/>
                <w:sz w:val="22"/>
                <w:szCs w:val="22"/>
              </w:rPr>
              <w:tab/>
            </w:r>
            <w:r w:rsidRPr="004E2F21">
              <w:rPr>
                <w:rStyle w:val="Hyperlink"/>
                <w:noProof/>
                <w:sz w:val="22"/>
                <w:szCs w:val="22"/>
              </w:rPr>
              <w:t>Expenditure Types</w:t>
            </w:r>
            <w:r w:rsidRPr="004E2F21">
              <w:rPr>
                <w:noProof/>
                <w:webHidden/>
                <w:sz w:val="22"/>
                <w:szCs w:val="22"/>
              </w:rPr>
              <w:tab/>
            </w:r>
            <w:r w:rsidRPr="004E2F21">
              <w:rPr>
                <w:noProof/>
                <w:webHidden/>
                <w:sz w:val="22"/>
                <w:szCs w:val="22"/>
              </w:rPr>
              <w:fldChar w:fldCharType="begin"/>
            </w:r>
            <w:r w:rsidRPr="004E2F21">
              <w:rPr>
                <w:noProof/>
                <w:webHidden/>
                <w:sz w:val="22"/>
                <w:szCs w:val="22"/>
              </w:rPr>
              <w:instrText xml:space="preserve"> PAGEREF _Toc195776387 \h </w:instrText>
            </w:r>
            <w:r w:rsidRPr="004E2F21">
              <w:rPr>
                <w:noProof/>
                <w:webHidden/>
                <w:sz w:val="22"/>
                <w:szCs w:val="22"/>
              </w:rPr>
            </w:r>
            <w:r w:rsidRPr="004E2F21">
              <w:rPr>
                <w:noProof/>
                <w:webHidden/>
                <w:sz w:val="22"/>
                <w:szCs w:val="22"/>
              </w:rPr>
              <w:fldChar w:fldCharType="separate"/>
            </w:r>
            <w:r w:rsidRPr="004E2F21">
              <w:rPr>
                <w:noProof/>
                <w:webHidden/>
                <w:sz w:val="22"/>
                <w:szCs w:val="22"/>
              </w:rPr>
              <w:t>11</w:t>
            </w:r>
            <w:r w:rsidRPr="004E2F21">
              <w:rPr>
                <w:noProof/>
                <w:webHidden/>
                <w:sz w:val="22"/>
                <w:szCs w:val="22"/>
              </w:rPr>
              <w:fldChar w:fldCharType="end"/>
            </w:r>
          </w:hyperlink>
        </w:p>
        <w:p w14:paraId="32812BB1" w14:textId="190CFC63" w:rsidR="004E2F21" w:rsidRPr="004E2F21" w:rsidRDefault="004E2F21">
          <w:pPr>
            <w:pStyle w:val="TOC3"/>
            <w:tabs>
              <w:tab w:val="left" w:pos="960"/>
              <w:tab w:val="right" w:leader="dot" w:pos="9350"/>
            </w:tabs>
            <w:rPr>
              <w:noProof/>
              <w:sz w:val="22"/>
              <w:szCs w:val="22"/>
            </w:rPr>
          </w:pPr>
          <w:hyperlink w:anchor="_Toc195776388" w:history="1">
            <w:r w:rsidRPr="004E2F21">
              <w:rPr>
                <w:rStyle w:val="Hyperlink"/>
                <w:noProof/>
                <w:sz w:val="22"/>
                <w:szCs w:val="22"/>
              </w:rPr>
              <w:t>vi.</w:t>
            </w:r>
            <w:r w:rsidRPr="004E2F21">
              <w:rPr>
                <w:noProof/>
                <w:sz w:val="22"/>
                <w:szCs w:val="22"/>
              </w:rPr>
              <w:tab/>
            </w:r>
            <w:r w:rsidRPr="004E2F21">
              <w:rPr>
                <w:rStyle w:val="Hyperlink"/>
                <w:noProof/>
                <w:sz w:val="22"/>
                <w:szCs w:val="22"/>
              </w:rPr>
              <w:t>Individual/Collective Expenditure</w:t>
            </w:r>
            <w:r w:rsidRPr="004E2F21">
              <w:rPr>
                <w:noProof/>
                <w:webHidden/>
                <w:sz w:val="22"/>
                <w:szCs w:val="22"/>
              </w:rPr>
              <w:tab/>
            </w:r>
            <w:r w:rsidRPr="004E2F21">
              <w:rPr>
                <w:noProof/>
                <w:webHidden/>
                <w:sz w:val="22"/>
                <w:szCs w:val="22"/>
              </w:rPr>
              <w:fldChar w:fldCharType="begin"/>
            </w:r>
            <w:r w:rsidRPr="004E2F21">
              <w:rPr>
                <w:noProof/>
                <w:webHidden/>
                <w:sz w:val="22"/>
                <w:szCs w:val="22"/>
              </w:rPr>
              <w:instrText xml:space="preserve"> PAGEREF _Toc195776388 \h </w:instrText>
            </w:r>
            <w:r w:rsidRPr="004E2F21">
              <w:rPr>
                <w:noProof/>
                <w:webHidden/>
                <w:sz w:val="22"/>
                <w:szCs w:val="22"/>
              </w:rPr>
            </w:r>
            <w:r w:rsidRPr="004E2F21">
              <w:rPr>
                <w:noProof/>
                <w:webHidden/>
                <w:sz w:val="22"/>
                <w:szCs w:val="22"/>
              </w:rPr>
              <w:fldChar w:fldCharType="separate"/>
            </w:r>
            <w:r w:rsidRPr="004E2F21">
              <w:rPr>
                <w:noProof/>
                <w:webHidden/>
                <w:sz w:val="22"/>
                <w:szCs w:val="22"/>
              </w:rPr>
              <w:t>12</w:t>
            </w:r>
            <w:r w:rsidRPr="004E2F21">
              <w:rPr>
                <w:noProof/>
                <w:webHidden/>
                <w:sz w:val="22"/>
                <w:szCs w:val="22"/>
              </w:rPr>
              <w:fldChar w:fldCharType="end"/>
            </w:r>
          </w:hyperlink>
        </w:p>
        <w:p w14:paraId="2075EFAB" w14:textId="7A1507ED" w:rsidR="004E2F21" w:rsidRPr="004E2F21" w:rsidRDefault="004E2F21">
          <w:pPr>
            <w:pStyle w:val="TOC3"/>
            <w:tabs>
              <w:tab w:val="left" w:pos="1200"/>
              <w:tab w:val="right" w:leader="dot" w:pos="9350"/>
            </w:tabs>
            <w:rPr>
              <w:noProof/>
              <w:sz w:val="22"/>
              <w:szCs w:val="22"/>
            </w:rPr>
          </w:pPr>
          <w:hyperlink w:anchor="_Toc195776389" w:history="1">
            <w:r w:rsidRPr="004E2F21">
              <w:rPr>
                <w:rStyle w:val="Hyperlink"/>
                <w:noProof/>
                <w:sz w:val="22"/>
                <w:szCs w:val="22"/>
              </w:rPr>
              <w:t>vii.</w:t>
            </w:r>
            <w:r w:rsidR="00710D62">
              <w:rPr>
                <w:noProof/>
                <w:sz w:val="22"/>
                <w:szCs w:val="22"/>
              </w:rPr>
              <w:t xml:space="preserve">    </w:t>
            </w:r>
            <w:r w:rsidRPr="004E2F21">
              <w:rPr>
                <w:rStyle w:val="Hyperlink"/>
                <w:noProof/>
                <w:sz w:val="22"/>
                <w:szCs w:val="22"/>
              </w:rPr>
              <w:t>Data and Compilation Quality</w:t>
            </w:r>
            <w:r w:rsidRPr="004E2F21">
              <w:rPr>
                <w:noProof/>
                <w:webHidden/>
                <w:sz w:val="22"/>
                <w:szCs w:val="22"/>
              </w:rPr>
              <w:tab/>
            </w:r>
            <w:r w:rsidRPr="004E2F21">
              <w:rPr>
                <w:noProof/>
                <w:webHidden/>
                <w:sz w:val="22"/>
                <w:szCs w:val="22"/>
              </w:rPr>
              <w:fldChar w:fldCharType="begin"/>
            </w:r>
            <w:r w:rsidRPr="004E2F21">
              <w:rPr>
                <w:noProof/>
                <w:webHidden/>
                <w:sz w:val="22"/>
                <w:szCs w:val="22"/>
              </w:rPr>
              <w:instrText xml:space="preserve"> PAGEREF _Toc195776389 \h </w:instrText>
            </w:r>
            <w:r w:rsidRPr="004E2F21">
              <w:rPr>
                <w:noProof/>
                <w:webHidden/>
                <w:sz w:val="22"/>
                <w:szCs w:val="22"/>
              </w:rPr>
            </w:r>
            <w:r w:rsidRPr="004E2F21">
              <w:rPr>
                <w:noProof/>
                <w:webHidden/>
                <w:sz w:val="22"/>
                <w:szCs w:val="22"/>
              </w:rPr>
              <w:fldChar w:fldCharType="separate"/>
            </w:r>
            <w:r w:rsidRPr="004E2F21">
              <w:rPr>
                <w:noProof/>
                <w:webHidden/>
                <w:sz w:val="22"/>
                <w:szCs w:val="22"/>
              </w:rPr>
              <w:t>13</w:t>
            </w:r>
            <w:r w:rsidRPr="004E2F21">
              <w:rPr>
                <w:noProof/>
                <w:webHidden/>
                <w:sz w:val="22"/>
                <w:szCs w:val="22"/>
              </w:rPr>
              <w:fldChar w:fldCharType="end"/>
            </w:r>
          </w:hyperlink>
        </w:p>
        <w:p w14:paraId="67782D73" w14:textId="489ADC29" w:rsidR="004E2F21" w:rsidRPr="004E2F21" w:rsidRDefault="004E2F21">
          <w:pPr>
            <w:pStyle w:val="TOC3"/>
            <w:tabs>
              <w:tab w:val="left" w:pos="1200"/>
              <w:tab w:val="right" w:leader="dot" w:pos="9350"/>
            </w:tabs>
            <w:rPr>
              <w:noProof/>
              <w:sz w:val="22"/>
              <w:szCs w:val="22"/>
            </w:rPr>
          </w:pPr>
          <w:hyperlink w:anchor="_Toc195776390" w:history="1">
            <w:r w:rsidRPr="004E2F21">
              <w:rPr>
                <w:rStyle w:val="Hyperlink"/>
                <w:noProof/>
                <w:sz w:val="22"/>
                <w:szCs w:val="22"/>
              </w:rPr>
              <w:t>viii.</w:t>
            </w:r>
            <w:r w:rsidR="00710D62">
              <w:rPr>
                <w:noProof/>
                <w:sz w:val="22"/>
                <w:szCs w:val="22"/>
              </w:rPr>
              <w:t xml:space="preserve">   </w:t>
            </w:r>
            <w:r w:rsidRPr="004E2F21">
              <w:rPr>
                <w:rStyle w:val="Hyperlink"/>
                <w:noProof/>
                <w:sz w:val="22"/>
                <w:szCs w:val="22"/>
              </w:rPr>
              <w:t>Programme Budgeting</w:t>
            </w:r>
            <w:r w:rsidRPr="004E2F21">
              <w:rPr>
                <w:noProof/>
                <w:webHidden/>
                <w:sz w:val="22"/>
                <w:szCs w:val="22"/>
              </w:rPr>
              <w:tab/>
            </w:r>
            <w:r w:rsidRPr="004E2F21">
              <w:rPr>
                <w:noProof/>
                <w:webHidden/>
                <w:sz w:val="22"/>
                <w:szCs w:val="22"/>
              </w:rPr>
              <w:fldChar w:fldCharType="begin"/>
            </w:r>
            <w:r w:rsidRPr="004E2F21">
              <w:rPr>
                <w:noProof/>
                <w:webHidden/>
                <w:sz w:val="22"/>
                <w:szCs w:val="22"/>
              </w:rPr>
              <w:instrText xml:space="preserve"> PAGEREF _Toc195776390 \h </w:instrText>
            </w:r>
            <w:r w:rsidRPr="004E2F21">
              <w:rPr>
                <w:noProof/>
                <w:webHidden/>
                <w:sz w:val="22"/>
                <w:szCs w:val="22"/>
              </w:rPr>
            </w:r>
            <w:r w:rsidRPr="004E2F21">
              <w:rPr>
                <w:noProof/>
                <w:webHidden/>
                <w:sz w:val="22"/>
                <w:szCs w:val="22"/>
              </w:rPr>
              <w:fldChar w:fldCharType="separate"/>
            </w:r>
            <w:r w:rsidRPr="004E2F21">
              <w:rPr>
                <w:noProof/>
                <w:webHidden/>
                <w:sz w:val="22"/>
                <w:szCs w:val="22"/>
              </w:rPr>
              <w:t>13</w:t>
            </w:r>
            <w:r w:rsidRPr="004E2F21">
              <w:rPr>
                <w:noProof/>
                <w:webHidden/>
                <w:sz w:val="22"/>
                <w:szCs w:val="22"/>
              </w:rPr>
              <w:fldChar w:fldCharType="end"/>
            </w:r>
          </w:hyperlink>
        </w:p>
        <w:p w14:paraId="0874916D" w14:textId="16EE5E11" w:rsidR="004E2F21" w:rsidRPr="004E2F21" w:rsidRDefault="004E2F21">
          <w:pPr>
            <w:pStyle w:val="TOC2"/>
            <w:tabs>
              <w:tab w:val="left" w:pos="720"/>
              <w:tab w:val="right" w:leader="dot" w:pos="9350"/>
            </w:tabs>
            <w:rPr>
              <w:b/>
              <w:bCs/>
              <w:noProof/>
              <w:sz w:val="22"/>
              <w:szCs w:val="22"/>
            </w:rPr>
          </w:pPr>
          <w:hyperlink w:anchor="_Toc195776391" w:history="1">
            <w:r w:rsidRPr="004E2F21">
              <w:rPr>
                <w:rStyle w:val="Hyperlink"/>
                <w:b/>
                <w:bCs/>
                <w:noProof/>
                <w:sz w:val="22"/>
                <w:szCs w:val="22"/>
              </w:rPr>
              <w:t>C.</w:t>
            </w:r>
            <w:r w:rsidRPr="004E2F21">
              <w:rPr>
                <w:b/>
                <w:bCs/>
                <w:noProof/>
                <w:sz w:val="22"/>
                <w:szCs w:val="22"/>
              </w:rPr>
              <w:tab/>
            </w:r>
            <w:r w:rsidRPr="004E2F21">
              <w:rPr>
                <w:rStyle w:val="Hyperlink"/>
                <w:b/>
                <w:bCs/>
                <w:noProof/>
                <w:sz w:val="22"/>
                <w:szCs w:val="22"/>
              </w:rPr>
              <w:t>Proposed Issue Categories</w:t>
            </w:r>
            <w:r w:rsidRPr="004E2F21">
              <w:rPr>
                <w:b/>
                <w:bCs/>
                <w:noProof/>
                <w:webHidden/>
                <w:sz w:val="22"/>
                <w:szCs w:val="22"/>
              </w:rPr>
              <w:tab/>
            </w:r>
            <w:r w:rsidRPr="004E2F21">
              <w:rPr>
                <w:b/>
                <w:bCs/>
                <w:noProof/>
                <w:webHidden/>
                <w:sz w:val="22"/>
                <w:szCs w:val="22"/>
              </w:rPr>
              <w:fldChar w:fldCharType="begin"/>
            </w:r>
            <w:r w:rsidRPr="004E2F21">
              <w:rPr>
                <w:b/>
                <w:bCs/>
                <w:noProof/>
                <w:webHidden/>
                <w:sz w:val="22"/>
                <w:szCs w:val="22"/>
              </w:rPr>
              <w:instrText xml:space="preserve"> PAGEREF _Toc195776391 \h </w:instrText>
            </w:r>
            <w:r w:rsidRPr="004E2F21">
              <w:rPr>
                <w:b/>
                <w:bCs/>
                <w:noProof/>
                <w:webHidden/>
                <w:sz w:val="22"/>
                <w:szCs w:val="22"/>
              </w:rPr>
            </w:r>
            <w:r w:rsidRPr="004E2F21">
              <w:rPr>
                <w:b/>
                <w:bCs/>
                <w:noProof/>
                <w:webHidden/>
                <w:sz w:val="22"/>
                <w:szCs w:val="22"/>
              </w:rPr>
              <w:fldChar w:fldCharType="separate"/>
            </w:r>
            <w:r w:rsidRPr="004E2F21">
              <w:rPr>
                <w:b/>
                <w:bCs/>
                <w:noProof/>
                <w:webHidden/>
                <w:sz w:val="22"/>
                <w:szCs w:val="22"/>
              </w:rPr>
              <w:t>14</w:t>
            </w:r>
            <w:r w:rsidRPr="004E2F21">
              <w:rPr>
                <w:b/>
                <w:bCs/>
                <w:noProof/>
                <w:webHidden/>
                <w:sz w:val="22"/>
                <w:szCs w:val="22"/>
              </w:rPr>
              <w:fldChar w:fldCharType="end"/>
            </w:r>
          </w:hyperlink>
        </w:p>
        <w:p w14:paraId="7AFBA8F5" w14:textId="6C3A0F7D" w:rsidR="004E2F21" w:rsidRPr="004E2F21" w:rsidRDefault="004E2F21">
          <w:pPr>
            <w:pStyle w:val="TOC2"/>
            <w:tabs>
              <w:tab w:val="left" w:pos="720"/>
              <w:tab w:val="right" w:leader="dot" w:pos="9350"/>
            </w:tabs>
            <w:rPr>
              <w:b/>
              <w:bCs/>
              <w:noProof/>
              <w:sz w:val="22"/>
              <w:szCs w:val="22"/>
            </w:rPr>
          </w:pPr>
          <w:hyperlink w:anchor="_Toc195776392" w:history="1">
            <w:r w:rsidRPr="004E2F21">
              <w:rPr>
                <w:rStyle w:val="Hyperlink"/>
                <w:b/>
                <w:bCs/>
                <w:noProof/>
                <w:sz w:val="22"/>
                <w:szCs w:val="22"/>
              </w:rPr>
              <w:t>D.</w:t>
            </w:r>
            <w:r w:rsidRPr="004E2F21">
              <w:rPr>
                <w:b/>
                <w:bCs/>
                <w:noProof/>
                <w:sz w:val="22"/>
                <w:szCs w:val="22"/>
              </w:rPr>
              <w:tab/>
            </w:r>
            <w:r w:rsidRPr="004E2F21">
              <w:rPr>
                <w:rStyle w:val="Hyperlink"/>
                <w:b/>
                <w:bCs/>
                <w:noProof/>
                <w:sz w:val="22"/>
                <w:szCs w:val="22"/>
              </w:rPr>
              <w:t>Additional Questions</w:t>
            </w:r>
            <w:r w:rsidRPr="004E2F21">
              <w:rPr>
                <w:b/>
                <w:bCs/>
                <w:noProof/>
                <w:webHidden/>
                <w:sz w:val="22"/>
                <w:szCs w:val="22"/>
              </w:rPr>
              <w:tab/>
            </w:r>
            <w:r w:rsidRPr="004E2F21">
              <w:rPr>
                <w:b/>
                <w:bCs/>
                <w:noProof/>
                <w:webHidden/>
                <w:sz w:val="22"/>
                <w:szCs w:val="22"/>
              </w:rPr>
              <w:fldChar w:fldCharType="begin"/>
            </w:r>
            <w:r w:rsidRPr="004E2F21">
              <w:rPr>
                <w:b/>
                <w:bCs/>
                <w:noProof/>
                <w:webHidden/>
                <w:sz w:val="22"/>
                <w:szCs w:val="22"/>
              </w:rPr>
              <w:instrText xml:space="preserve"> PAGEREF _Toc195776392 \h </w:instrText>
            </w:r>
            <w:r w:rsidRPr="004E2F21">
              <w:rPr>
                <w:b/>
                <w:bCs/>
                <w:noProof/>
                <w:webHidden/>
                <w:sz w:val="22"/>
                <w:szCs w:val="22"/>
              </w:rPr>
            </w:r>
            <w:r w:rsidRPr="004E2F21">
              <w:rPr>
                <w:b/>
                <w:bCs/>
                <w:noProof/>
                <w:webHidden/>
                <w:sz w:val="22"/>
                <w:szCs w:val="22"/>
              </w:rPr>
              <w:fldChar w:fldCharType="separate"/>
            </w:r>
            <w:r w:rsidRPr="004E2F21">
              <w:rPr>
                <w:b/>
                <w:bCs/>
                <w:noProof/>
                <w:webHidden/>
                <w:sz w:val="22"/>
                <w:szCs w:val="22"/>
              </w:rPr>
              <w:t>37</w:t>
            </w:r>
            <w:r w:rsidRPr="004E2F21">
              <w:rPr>
                <w:b/>
                <w:bCs/>
                <w:noProof/>
                <w:webHidden/>
                <w:sz w:val="22"/>
                <w:szCs w:val="22"/>
              </w:rPr>
              <w:fldChar w:fldCharType="end"/>
            </w:r>
          </w:hyperlink>
        </w:p>
        <w:p w14:paraId="238DBF35" w14:textId="6ED77F60" w:rsidR="004E2F21" w:rsidRPr="004E2F21" w:rsidRDefault="004E2F21">
          <w:pPr>
            <w:pStyle w:val="TOC1"/>
            <w:tabs>
              <w:tab w:val="left" w:pos="480"/>
              <w:tab w:val="right" w:leader="dot" w:pos="9350"/>
            </w:tabs>
            <w:rPr>
              <w:b/>
              <w:bCs/>
              <w:noProof/>
              <w:sz w:val="22"/>
              <w:szCs w:val="22"/>
            </w:rPr>
          </w:pPr>
          <w:hyperlink w:anchor="_Toc195776393" w:history="1">
            <w:r w:rsidRPr="004E2F21">
              <w:rPr>
                <w:rStyle w:val="Hyperlink"/>
                <w:b/>
                <w:bCs/>
                <w:noProof/>
                <w:sz w:val="22"/>
                <w:szCs w:val="22"/>
              </w:rPr>
              <w:t>II.</w:t>
            </w:r>
            <w:r w:rsidRPr="004E2F21">
              <w:rPr>
                <w:b/>
                <w:bCs/>
                <w:noProof/>
                <w:sz w:val="22"/>
                <w:szCs w:val="22"/>
              </w:rPr>
              <w:tab/>
            </w:r>
            <w:r w:rsidRPr="004E2F21">
              <w:rPr>
                <w:rStyle w:val="Hyperlink"/>
                <w:b/>
                <w:bCs/>
                <w:noProof/>
                <w:sz w:val="22"/>
                <w:szCs w:val="22"/>
              </w:rPr>
              <w:t>Annex I. Questionnaire</w:t>
            </w:r>
            <w:r w:rsidRPr="004E2F21">
              <w:rPr>
                <w:b/>
                <w:bCs/>
                <w:noProof/>
                <w:webHidden/>
                <w:sz w:val="22"/>
                <w:szCs w:val="22"/>
              </w:rPr>
              <w:tab/>
            </w:r>
            <w:r w:rsidRPr="004E2F21">
              <w:rPr>
                <w:b/>
                <w:bCs/>
                <w:noProof/>
                <w:webHidden/>
                <w:sz w:val="22"/>
                <w:szCs w:val="22"/>
              </w:rPr>
              <w:fldChar w:fldCharType="begin"/>
            </w:r>
            <w:r w:rsidRPr="004E2F21">
              <w:rPr>
                <w:b/>
                <w:bCs/>
                <w:noProof/>
                <w:webHidden/>
                <w:sz w:val="22"/>
                <w:szCs w:val="22"/>
              </w:rPr>
              <w:instrText xml:space="preserve"> PAGEREF _Toc195776393 \h </w:instrText>
            </w:r>
            <w:r w:rsidRPr="004E2F21">
              <w:rPr>
                <w:b/>
                <w:bCs/>
                <w:noProof/>
                <w:webHidden/>
                <w:sz w:val="22"/>
                <w:szCs w:val="22"/>
              </w:rPr>
            </w:r>
            <w:r w:rsidRPr="004E2F21">
              <w:rPr>
                <w:b/>
                <w:bCs/>
                <w:noProof/>
                <w:webHidden/>
                <w:sz w:val="22"/>
                <w:szCs w:val="22"/>
              </w:rPr>
              <w:fldChar w:fldCharType="separate"/>
            </w:r>
            <w:r w:rsidRPr="004E2F21">
              <w:rPr>
                <w:b/>
                <w:bCs/>
                <w:noProof/>
                <w:webHidden/>
                <w:sz w:val="22"/>
                <w:szCs w:val="22"/>
              </w:rPr>
              <w:t>40</w:t>
            </w:r>
            <w:r w:rsidRPr="004E2F21">
              <w:rPr>
                <w:b/>
                <w:bCs/>
                <w:noProof/>
                <w:webHidden/>
                <w:sz w:val="22"/>
                <w:szCs w:val="22"/>
              </w:rPr>
              <w:fldChar w:fldCharType="end"/>
            </w:r>
          </w:hyperlink>
        </w:p>
        <w:p w14:paraId="256DE009" w14:textId="0FED2601" w:rsidR="009E6E29" w:rsidRPr="00B63ADA" w:rsidRDefault="005431AB" w:rsidP="00E11ECF">
          <w:pPr>
            <w:pStyle w:val="TOC1"/>
            <w:tabs>
              <w:tab w:val="left" w:pos="480"/>
              <w:tab w:val="right" w:leader="dot" w:pos="9350"/>
            </w:tabs>
            <w:rPr>
              <w:sz w:val="20"/>
              <w:szCs w:val="20"/>
            </w:rPr>
          </w:pPr>
          <w:r w:rsidRPr="001F6783">
            <w:rPr>
              <w:noProof/>
              <w:sz w:val="10"/>
              <w:szCs w:val="10"/>
            </w:rPr>
            <w:fldChar w:fldCharType="end"/>
          </w:r>
        </w:p>
      </w:sdtContent>
    </w:sdt>
    <w:p w14:paraId="5F9DDE32" w14:textId="77777777" w:rsidR="005B3DF2" w:rsidRDefault="005B3DF2">
      <w:pPr>
        <w:rPr>
          <w:rFonts w:asciiTheme="majorHAnsi" w:eastAsiaTheme="majorEastAsia" w:hAnsiTheme="majorHAnsi" w:cstheme="majorBidi"/>
          <w:color w:val="0F4761" w:themeColor="accent1" w:themeShade="BF"/>
          <w:sz w:val="28"/>
          <w:szCs w:val="28"/>
          <w:highlight w:val="lightGray"/>
        </w:rPr>
      </w:pPr>
      <w:r>
        <w:rPr>
          <w:highlight w:val="lightGray"/>
        </w:rPr>
        <w:br w:type="page"/>
      </w:r>
    </w:p>
    <w:p w14:paraId="3A158015" w14:textId="2851A7C4" w:rsidR="009E6E29" w:rsidRPr="0095432C" w:rsidRDefault="00B02852" w:rsidP="005B3DF2">
      <w:pPr>
        <w:pStyle w:val="Heading1"/>
        <w:numPr>
          <w:ilvl w:val="0"/>
          <w:numId w:val="0"/>
        </w:numPr>
      </w:pPr>
      <w:bookmarkStart w:id="2" w:name="_Toc195776379"/>
      <w:r w:rsidRPr="0095432C">
        <w:lastRenderedPageBreak/>
        <w:t>Executive Summary</w:t>
      </w:r>
      <w:bookmarkEnd w:id="2"/>
    </w:p>
    <w:p w14:paraId="682B3991" w14:textId="58899932" w:rsidR="00472617" w:rsidRDefault="00472617" w:rsidP="00AB3909">
      <w:pPr>
        <w:spacing w:after="0" w:line="240" w:lineRule="auto"/>
        <w:jc w:val="both"/>
        <w:rPr>
          <w:sz w:val="22"/>
          <w:szCs w:val="22"/>
        </w:rPr>
      </w:pPr>
      <w:r w:rsidRPr="00761D46">
        <w:rPr>
          <w:sz w:val="22"/>
          <w:szCs w:val="22"/>
        </w:rPr>
        <w:t xml:space="preserve">This </w:t>
      </w:r>
      <w:r>
        <w:rPr>
          <w:sz w:val="22"/>
          <w:szCs w:val="22"/>
        </w:rPr>
        <w:t xml:space="preserve">report presents the results of the Global Consultation on the Initial List of Issues for the Update of COFOG, distributed in November 2024 and completed in January 2025.  </w:t>
      </w:r>
    </w:p>
    <w:p w14:paraId="371795B1" w14:textId="77777777" w:rsidR="00AB3909" w:rsidRDefault="00AB3909" w:rsidP="00AB3909">
      <w:pPr>
        <w:spacing w:after="0" w:line="240" w:lineRule="auto"/>
        <w:jc w:val="both"/>
        <w:rPr>
          <w:sz w:val="22"/>
          <w:szCs w:val="22"/>
        </w:rPr>
      </w:pPr>
    </w:p>
    <w:p w14:paraId="72BB0EB5" w14:textId="77777777" w:rsidR="003A0ADB" w:rsidRPr="00AB3909" w:rsidRDefault="003A0ADB" w:rsidP="00AB3909">
      <w:pPr>
        <w:spacing w:after="0" w:line="240" w:lineRule="auto"/>
        <w:jc w:val="both"/>
        <w:rPr>
          <w:sz w:val="22"/>
          <w:szCs w:val="22"/>
        </w:rPr>
      </w:pPr>
    </w:p>
    <w:p w14:paraId="703AE3CC" w14:textId="53E07F33" w:rsidR="00472617" w:rsidRPr="00472617" w:rsidRDefault="00472617" w:rsidP="00A25E62">
      <w:pPr>
        <w:rPr>
          <w:b/>
          <w:bCs/>
          <w:sz w:val="22"/>
          <w:szCs w:val="22"/>
        </w:rPr>
      </w:pPr>
      <w:r w:rsidRPr="00472617">
        <w:rPr>
          <w:b/>
          <w:bCs/>
          <w:sz w:val="22"/>
          <w:szCs w:val="22"/>
        </w:rPr>
        <w:t>Main Findings</w:t>
      </w:r>
    </w:p>
    <w:p w14:paraId="1E1A7AE2" w14:textId="0376A869" w:rsidR="00CB419D" w:rsidRDefault="00CB419D" w:rsidP="00D25872">
      <w:pPr>
        <w:pStyle w:val="ListParagraph"/>
        <w:numPr>
          <w:ilvl w:val="0"/>
          <w:numId w:val="25"/>
        </w:numPr>
        <w:spacing w:after="0" w:line="240" w:lineRule="auto"/>
        <w:rPr>
          <w:sz w:val="22"/>
          <w:szCs w:val="22"/>
        </w:rPr>
      </w:pPr>
      <w:r>
        <w:rPr>
          <w:sz w:val="22"/>
          <w:szCs w:val="22"/>
        </w:rPr>
        <w:t xml:space="preserve">105 responses were received from 74 </w:t>
      </w:r>
      <w:r w:rsidR="00226409">
        <w:rPr>
          <w:sz w:val="22"/>
          <w:szCs w:val="22"/>
        </w:rPr>
        <w:t xml:space="preserve">different </w:t>
      </w:r>
      <w:r>
        <w:rPr>
          <w:sz w:val="22"/>
          <w:szCs w:val="22"/>
        </w:rPr>
        <w:t xml:space="preserve">countries and 8 organizations </w:t>
      </w:r>
    </w:p>
    <w:p w14:paraId="3C87BD19" w14:textId="77777777" w:rsidR="003A0ADB" w:rsidRDefault="003A0ADB" w:rsidP="003A0ADB">
      <w:pPr>
        <w:pStyle w:val="ListParagraph"/>
        <w:spacing w:after="0" w:line="240" w:lineRule="auto"/>
        <w:ind w:left="360"/>
        <w:rPr>
          <w:sz w:val="22"/>
          <w:szCs w:val="22"/>
        </w:rPr>
      </w:pPr>
    </w:p>
    <w:p w14:paraId="47D40B2A" w14:textId="3873B54E" w:rsidR="009E6E29" w:rsidRDefault="001F7BC7" w:rsidP="00D25872">
      <w:pPr>
        <w:pStyle w:val="ListParagraph"/>
        <w:numPr>
          <w:ilvl w:val="0"/>
          <w:numId w:val="25"/>
        </w:numPr>
        <w:spacing w:after="0" w:line="240" w:lineRule="auto"/>
        <w:rPr>
          <w:sz w:val="22"/>
          <w:szCs w:val="22"/>
        </w:rPr>
      </w:pPr>
      <w:r>
        <w:rPr>
          <w:sz w:val="22"/>
          <w:szCs w:val="22"/>
        </w:rPr>
        <w:t xml:space="preserve">For 19 of the 21 </w:t>
      </w:r>
      <w:r w:rsidR="00860A78">
        <w:rPr>
          <w:sz w:val="22"/>
          <w:szCs w:val="22"/>
        </w:rPr>
        <w:t xml:space="preserve">proposed </w:t>
      </w:r>
      <w:r w:rsidR="009E6E29">
        <w:rPr>
          <w:sz w:val="22"/>
          <w:szCs w:val="22"/>
        </w:rPr>
        <w:t>issue categories</w:t>
      </w:r>
      <w:r w:rsidR="00860A78">
        <w:rPr>
          <w:sz w:val="22"/>
          <w:szCs w:val="22"/>
        </w:rPr>
        <w:t>, a majority of respondents</w:t>
      </w:r>
      <w:r>
        <w:rPr>
          <w:sz w:val="22"/>
          <w:szCs w:val="22"/>
        </w:rPr>
        <w:t xml:space="preserve"> said </w:t>
      </w:r>
      <w:r w:rsidR="00C94E6B">
        <w:rPr>
          <w:sz w:val="22"/>
          <w:szCs w:val="22"/>
        </w:rPr>
        <w:t>t</w:t>
      </w:r>
      <w:r w:rsidR="00287CDF">
        <w:rPr>
          <w:sz w:val="22"/>
          <w:szCs w:val="22"/>
        </w:rPr>
        <w:t>h</w:t>
      </w:r>
      <w:r w:rsidR="00DA0EF2">
        <w:rPr>
          <w:sz w:val="22"/>
          <w:szCs w:val="22"/>
        </w:rPr>
        <w:t>at</w:t>
      </w:r>
      <w:r w:rsidR="00FB07FB">
        <w:rPr>
          <w:sz w:val="22"/>
          <w:szCs w:val="22"/>
        </w:rPr>
        <w:t xml:space="preserve"> the</w:t>
      </w:r>
      <w:r w:rsidR="00287CDF">
        <w:rPr>
          <w:sz w:val="22"/>
          <w:szCs w:val="22"/>
        </w:rPr>
        <w:t xml:space="preserve"> issue category</w:t>
      </w:r>
      <w:r>
        <w:rPr>
          <w:sz w:val="22"/>
          <w:szCs w:val="22"/>
        </w:rPr>
        <w:t xml:space="preserve"> </w:t>
      </w:r>
      <w:r w:rsidR="00745BBD">
        <w:rPr>
          <w:sz w:val="22"/>
          <w:szCs w:val="22"/>
        </w:rPr>
        <w:t>should be considered</w:t>
      </w:r>
      <w:r w:rsidR="009E6E29">
        <w:rPr>
          <w:sz w:val="22"/>
          <w:szCs w:val="22"/>
        </w:rPr>
        <w:t xml:space="preserve"> </w:t>
      </w:r>
      <w:r w:rsidR="00B32ACE">
        <w:rPr>
          <w:sz w:val="22"/>
          <w:szCs w:val="22"/>
        </w:rPr>
        <w:t>during the revision process</w:t>
      </w:r>
      <w:r w:rsidR="00695440">
        <w:rPr>
          <w:sz w:val="22"/>
          <w:szCs w:val="22"/>
        </w:rPr>
        <w:t>.</w:t>
      </w:r>
      <w:r w:rsidR="00005A98">
        <w:rPr>
          <w:sz w:val="22"/>
          <w:szCs w:val="22"/>
        </w:rPr>
        <w:t xml:space="preserve"> </w:t>
      </w:r>
      <w:r w:rsidR="004C663C" w:rsidRPr="004C663C">
        <w:rPr>
          <w:sz w:val="22"/>
          <w:szCs w:val="22"/>
        </w:rPr>
        <w:t xml:space="preserve">Most likely to be selected were Environmental Protection, Economic Affairs, General Public Services and Health  </w:t>
      </w:r>
    </w:p>
    <w:p w14:paraId="26D28D2F" w14:textId="77777777" w:rsidR="003A0ADB" w:rsidRPr="003A0ADB" w:rsidRDefault="003A0ADB" w:rsidP="003A0ADB">
      <w:pPr>
        <w:spacing w:after="0" w:line="240" w:lineRule="auto"/>
        <w:rPr>
          <w:sz w:val="22"/>
          <w:szCs w:val="22"/>
        </w:rPr>
      </w:pPr>
    </w:p>
    <w:p w14:paraId="4B420875" w14:textId="64B40785" w:rsidR="00537B40" w:rsidRDefault="00226409" w:rsidP="00D25872">
      <w:pPr>
        <w:pStyle w:val="ListParagraph"/>
        <w:numPr>
          <w:ilvl w:val="0"/>
          <w:numId w:val="25"/>
        </w:numPr>
        <w:spacing w:after="0" w:line="240" w:lineRule="auto"/>
        <w:rPr>
          <w:sz w:val="22"/>
          <w:szCs w:val="22"/>
        </w:rPr>
      </w:pPr>
      <w:r w:rsidRPr="00226409">
        <w:rPr>
          <w:sz w:val="22"/>
          <w:szCs w:val="22"/>
        </w:rPr>
        <w:t>All 21 issue categories were deemed to be either high or medium priority among a majority of respondents</w:t>
      </w:r>
      <w:r w:rsidR="00695440">
        <w:rPr>
          <w:sz w:val="22"/>
          <w:szCs w:val="22"/>
        </w:rPr>
        <w:t xml:space="preserve">. </w:t>
      </w:r>
      <w:r w:rsidR="00695440" w:rsidRPr="00695440">
        <w:rPr>
          <w:sz w:val="22"/>
          <w:szCs w:val="22"/>
        </w:rPr>
        <w:t>The issue categories most likely to be considered high or medium priority were:  Environmental protection</w:t>
      </w:r>
      <w:r w:rsidR="00695440">
        <w:rPr>
          <w:sz w:val="22"/>
          <w:szCs w:val="22"/>
        </w:rPr>
        <w:t xml:space="preserve">, </w:t>
      </w:r>
      <w:r w:rsidR="00695440" w:rsidRPr="00695440">
        <w:rPr>
          <w:sz w:val="22"/>
          <w:szCs w:val="22"/>
        </w:rPr>
        <w:t>COFOG structure/classification principles</w:t>
      </w:r>
      <w:r w:rsidR="00695440">
        <w:rPr>
          <w:sz w:val="22"/>
          <w:szCs w:val="22"/>
        </w:rPr>
        <w:t>,</w:t>
      </w:r>
      <w:r w:rsidR="00695440" w:rsidRPr="00695440">
        <w:rPr>
          <w:sz w:val="22"/>
          <w:szCs w:val="22"/>
        </w:rPr>
        <w:t xml:space="preserve"> Health, Compilation issues and</w:t>
      </w:r>
      <w:r w:rsidR="00695440">
        <w:rPr>
          <w:sz w:val="22"/>
          <w:szCs w:val="22"/>
        </w:rPr>
        <w:t xml:space="preserve"> </w:t>
      </w:r>
      <w:r w:rsidR="00695440" w:rsidRPr="00695440">
        <w:rPr>
          <w:sz w:val="22"/>
          <w:szCs w:val="22"/>
        </w:rPr>
        <w:t>Internal consistency w/other classifications of expenditure according to purpose</w:t>
      </w:r>
    </w:p>
    <w:p w14:paraId="460325DE" w14:textId="77777777" w:rsidR="003A0ADB" w:rsidRPr="003A0ADB" w:rsidRDefault="003A0ADB" w:rsidP="003A0ADB">
      <w:pPr>
        <w:spacing w:after="0" w:line="240" w:lineRule="auto"/>
        <w:rPr>
          <w:sz w:val="22"/>
          <w:szCs w:val="22"/>
        </w:rPr>
      </w:pPr>
    </w:p>
    <w:p w14:paraId="1B9BD473" w14:textId="34D546A6" w:rsidR="00D551BD" w:rsidRPr="00D551BD" w:rsidRDefault="00D551BD" w:rsidP="00D25872">
      <w:pPr>
        <w:pStyle w:val="ListParagraph"/>
        <w:numPr>
          <w:ilvl w:val="0"/>
          <w:numId w:val="25"/>
        </w:numPr>
        <w:spacing w:after="0" w:line="240" w:lineRule="auto"/>
        <w:rPr>
          <w:sz w:val="22"/>
          <w:szCs w:val="22"/>
        </w:rPr>
      </w:pPr>
      <w:r>
        <w:rPr>
          <w:sz w:val="22"/>
          <w:szCs w:val="22"/>
        </w:rPr>
        <w:t xml:space="preserve">There is wide-ranging interest in participating in the Working Groups, with between </w:t>
      </w:r>
      <w:r w:rsidR="00DB748F">
        <w:rPr>
          <w:sz w:val="22"/>
          <w:szCs w:val="22"/>
        </w:rPr>
        <w:t>19</w:t>
      </w:r>
      <w:r>
        <w:rPr>
          <w:sz w:val="22"/>
          <w:szCs w:val="22"/>
        </w:rPr>
        <w:t>-33 individuals</w:t>
      </w:r>
      <w:r w:rsidR="00DB748F">
        <w:rPr>
          <w:sz w:val="22"/>
          <w:szCs w:val="22"/>
        </w:rPr>
        <w:t xml:space="preserve"> or organizations</w:t>
      </w:r>
      <w:r>
        <w:rPr>
          <w:sz w:val="22"/>
          <w:szCs w:val="22"/>
        </w:rPr>
        <w:t xml:space="preserve"> volunteering thus far for each group</w:t>
      </w:r>
    </w:p>
    <w:p w14:paraId="37901A80" w14:textId="77777777" w:rsidR="00143C82" w:rsidRDefault="00143C82" w:rsidP="008F1041">
      <w:pPr>
        <w:pStyle w:val="ListParagraph"/>
        <w:spacing w:after="0" w:line="240" w:lineRule="auto"/>
        <w:ind w:left="0"/>
        <w:rPr>
          <w:b/>
          <w:bCs/>
          <w:sz w:val="22"/>
          <w:szCs w:val="22"/>
        </w:rPr>
      </w:pPr>
    </w:p>
    <w:p w14:paraId="12EF3BCE" w14:textId="77777777" w:rsidR="003A0ADB" w:rsidRDefault="003A0ADB" w:rsidP="008F1041">
      <w:pPr>
        <w:pStyle w:val="ListParagraph"/>
        <w:spacing w:after="0" w:line="240" w:lineRule="auto"/>
        <w:ind w:left="0"/>
        <w:rPr>
          <w:b/>
          <w:bCs/>
          <w:sz w:val="22"/>
          <w:szCs w:val="22"/>
        </w:rPr>
      </w:pPr>
    </w:p>
    <w:p w14:paraId="2AFF8F35" w14:textId="1A688A58" w:rsidR="008F1041" w:rsidRDefault="008F1041" w:rsidP="008F1041">
      <w:pPr>
        <w:pStyle w:val="ListParagraph"/>
        <w:spacing w:after="0" w:line="240" w:lineRule="auto"/>
        <w:ind w:left="0"/>
        <w:rPr>
          <w:b/>
          <w:bCs/>
          <w:sz w:val="22"/>
          <w:szCs w:val="22"/>
        </w:rPr>
      </w:pPr>
      <w:r w:rsidRPr="008F1041">
        <w:rPr>
          <w:b/>
          <w:bCs/>
          <w:sz w:val="22"/>
          <w:szCs w:val="22"/>
        </w:rPr>
        <w:t>Methodology and Additional Information</w:t>
      </w:r>
    </w:p>
    <w:p w14:paraId="476063DC" w14:textId="77777777" w:rsidR="008F1041" w:rsidRPr="008F1041" w:rsidRDefault="008F1041" w:rsidP="008F1041">
      <w:pPr>
        <w:pStyle w:val="ListParagraph"/>
        <w:spacing w:after="0" w:line="240" w:lineRule="auto"/>
        <w:ind w:left="0"/>
        <w:rPr>
          <w:b/>
          <w:bCs/>
          <w:sz w:val="22"/>
          <w:szCs w:val="22"/>
        </w:rPr>
      </w:pPr>
    </w:p>
    <w:p w14:paraId="36DAE520" w14:textId="6A98ED12" w:rsidR="00AB3909" w:rsidRDefault="00AB3909" w:rsidP="00AB3909">
      <w:pPr>
        <w:spacing w:after="0" w:line="240" w:lineRule="auto"/>
        <w:jc w:val="both"/>
        <w:rPr>
          <w:sz w:val="22"/>
          <w:szCs w:val="22"/>
        </w:rPr>
      </w:pPr>
      <w:r>
        <w:rPr>
          <w:sz w:val="22"/>
          <w:szCs w:val="22"/>
        </w:rPr>
        <w:t xml:space="preserve">Percentages </w:t>
      </w:r>
      <w:r w:rsidR="008F1041">
        <w:rPr>
          <w:sz w:val="22"/>
          <w:szCs w:val="22"/>
        </w:rPr>
        <w:t xml:space="preserve">reported in this paper </w:t>
      </w:r>
      <w:r>
        <w:rPr>
          <w:sz w:val="22"/>
          <w:szCs w:val="22"/>
        </w:rPr>
        <w:t xml:space="preserve">are generally calculated from among the respondents to the particular question. </w:t>
      </w:r>
    </w:p>
    <w:p w14:paraId="0694CEE6" w14:textId="77777777" w:rsidR="00AB3909" w:rsidRDefault="00AB3909" w:rsidP="00AB3909">
      <w:pPr>
        <w:spacing w:after="0" w:line="240" w:lineRule="auto"/>
        <w:jc w:val="both"/>
        <w:rPr>
          <w:sz w:val="22"/>
          <w:szCs w:val="22"/>
        </w:rPr>
      </w:pPr>
    </w:p>
    <w:p w14:paraId="15D211F8" w14:textId="77777777" w:rsidR="00AB3909" w:rsidRDefault="00AB3909" w:rsidP="00AB3909">
      <w:pPr>
        <w:spacing w:after="0" w:line="240" w:lineRule="auto"/>
        <w:jc w:val="both"/>
        <w:rPr>
          <w:sz w:val="22"/>
          <w:szCs w:val="22"/>
        </w:rPr>
      </w:pPr>
      <w:r>
        <w:rPr>
          <w:sz w:val="22"/>
          <w:szCs w:val="22"/>
        </w:rPr>
        <w:t>Some repeat and/or incomplete submissions were removed from the final analysis, particularly when another response was submitted from the same individual/institution.</w:t>
      </w:r>
    </w:p>
    <w:p w14:paraId="770C4E94" w14:textId="31587DF1" w:rsidR="00AB3909" w:rsidRPr="002B6424" w:rsidRDefault="00AB3909" w:rsidP="002B6424">
      <w:pPr>
        <w:spacing w:after="0" w:line="240" w:lineRule="auto"/>
        <w:jc w:val="both"/>
        <w:rPr>
          <w:sz w:val="22"/>
          <w:szCs w:val="22"/>
        </w:rPr>
      </w:pPr>
    </w:p>
    <w:p w14:paraId="6F3FDA57" w14:textId="607728D1" w:rsidR="00AB3909" w:rsidRPr="00EC22A0" w:rsidRDefault="00AB3909" w:rsidP="00EC22A0">
      <w:pPr>
        <w:spacing w:after="0" w:line="240" w:lineRule="auto"/>
        <w:jc w:val="both"/>
        <w:rPr>
          <w:sz w:val="22"/>
          <w:szCs w:val="22"/>
        </w:rPr>
      </w:pPr>
      <w:r w:rsidRPr="00EC22A0">
        <w:rPr>
          <w:sz w:val="22"/>
          <w:szCs w:val="22"/>
        </w:rPr>
        <w:t>Annex I includes a copy of the questionnaire and issue summaries</w:t>
      </w:r>
      <w:r w:rsidR="0011116E">
        <w:rPr>
          <w:sz w:val="22"/>
          <w:szCs w:val="22"/>
        </w:rPr>
        <w:t>.</w:t>
      </w:r>
    </w:p>
    <w:p w14:paraId="79A78A67" w14:textId="77777777" w:rsidR="002B6424" w:rsidRDefault="002B6424" w:rsidP="002B6424">
      <w:pPr>
        <w:spacing w:after="0" w:line="240" w:lineRule="auto"/>
        <w:jc w:val="both"/>
        <w:rPr>
          <w:sz w:val="22"/>
          <w:szCs w:val="22"/>
        </w:rPr>
      </w:pPr>
    </w:p>
    <w:p w14:paraId="5A323229" w14:textId="63F9D38F" w:rsidR="002B6424" w:rsidRDefault="00873987" w:rsidP="002B6424">
      <w:pPr>
        <w:spacing w:after="0" w:line="240" w:lineRule="auto"/>
        <w:jc w:val="both"/>
        <w:rPr>
          <w:sz w:val="22"/>
          <w:szCs w:val="22"/>
        </w:rPr>
      </w:pPr>
      <w:r>
        <w:rPr>
          <w:sz w:val="22"/>
          <w:szCs w:val="22"/>
        </w:rPr>
        <w:t xml:space="preserve">Additionally, </w:t>
      </w:r>
      <w:r w:rsidR="00633494">
        <w:rPr>
          <w:sz w:val="22"/>
          <w:szCs w:val="22"/>
        </w:rPr>
        <w:t>full</w:t>
      </w:r>
      <w:r w:rsidR="002B6424">
        <w:rPr>
          <w:sz w:val="22"/>
          <w:szCs w:val="22"/>
        </w:rPr>
        <w:t xml:space="preserve"> responses to all open-ended</w:t>
      </w:r>
      <w:r w:rsidR="00633494">
        <w:rPr>
          <w:sz w:val="22"/>
          <w:szCs w:val="22"/>
        </w:rPr>
        <w:t>/follow-up</w:t>
      </w:r>
      <w:r w:rsidR="002B6424">
        <w:rPr>
          <w:sz w:val="22"/>
          <w:szCs w:val="22"/>
        </w:rPr>
        <w:t xml:space="preserve"> questions </w:t>
      </w:r>
      <w:r w:rsidR="00633494">
        <w:rPr>
          <w:sz w:val="22"/>
          <w:szCs w:val="22"/>
        </w:rPr>
        <w:t>from the global consultation are</w:t>
      </w:r>
      <w:r>
        <w:rPr>
          <w:sz w:val="22"/>
          <w:szCs w:val="22"/>
        </w:rPr>
        <w:t xml:space="preserve"> available in the related Excel file “</w:t>
      </w:r>
      <w:r w:rsidRPr="00633494">
        <w:rPr>
          <w:sz w:val="22"/>
          <w:szCs w:val="22"/>
          <w:u w:val="single"/>
        </w:rPr>
        <w:t>COFOG Global consultation</w:t>
      </w:r>
      <w:r w:rsidR="00597761">
        <w:rPr>
          <w:sz w:val="22"/>
          <w:szCs w:val="22"/>
          <w:u w:val="single"/>
        </w:rPr>
        <w:t xml:space="preserve"> </w:t>
      </w:r>
      <w:r w:rsidRPr="00633494">
        <w:rPr>
          <w:sz w:val="22"/>
          <w:szCs w:val="22"/>
          <w:u w:val="single"/>
        </w:rPr>
        <w:t>-</w:t>
      </w:r>
      <w:r w:rsidR="00597761">
        <w:rPr>
          <w:sz w:val="22"/>
          <w:szCs w:val="22"/>
          <w:u w:val="single"/>
        </w:rPr>
        <w:t xml:space="preserve"> </w:t>
      </w:r>
      <w:r w:rsidRPr="00633494">
        <w:rPr>
          <w:sz w:val="22"/>
          <w:szCs w:val="22"/>
          <w:u w:val="single"/>
        </w:rPr>
        <w:t>Complete open-ended responses.xlsx</w:t>
      </w:r>
      <w:r>
        <w:rPr>
          <w:sz w:val="22"/>
          <w:szCs w:val="22"/>
        </w:rPr>
        <w:t>”</w:t>
      </w:r>
    </w:p>
    <w:p w14:paraId="6B708984" w14:textId="77777777" w:rsidR="005A4B39" w:rsidRDefault="005A4B39" w:rsidP="002B6424">
      <w:pPr>
        <w:spacing w:after="0" w:line="240" w:lineRule="auto"/>
        <w:jc w:val="both"/>
        <w:rPr>
          <w:sz w:val="22"/>
          <w:szCs w:val="22"/>
        </w:rPr>
      </w:pPr>
    </w:p>
    <w:p w14:paraId="2A822467" w14:textId="0503AA75" w:rsidR="005A4B39" w:rsidRPr="002B6424" w:rsidRDefault="005A4B39" w:rsidP="002B6424">
      <w:pPr>
        <w:spacing w:after="0" w:line="240" w:lineRule="auto"/>
        <w:jc w:val="both"/>
        <w:rPr>
          <w:sz w:val="22"/>
          <w:szCs w:val="22"/>
        </w:rPr>
      </w:pPr>
      <w:r>
        <w:rPr>
          <w:sz w:val="22"/>
          <w:szCs w:val="22"/>
        </w:rPr>
        <w:t xml:space="preserve">The lists of current Working Group members </w:t>
      </w:r>
      <w:r w:rsidR="00CF6EAD">
        <w:rPr>
          <w:sz w:val="22"/>
          <w:szCs w:val="22"/>
        </w:rPr>
        <w:t>are also available in the related Excel file “</w:t>
      </w:r>
      <w:r w:rsidR="00CF6EAD" w:rsidRPr="00CF6EAD">
        <w:rPr>
          <w:sz w:val="22"/>
          <w:szCs w:val="22"/>
          <w:u w:val="single"/>
        </w:rPr>
        <w:t xml:space="preserve">TT-COFOG Working Group members - </w:t>
      </w:r>
      <w:r w:rsidR="00A54898">
        <w:rPr>
          <w:sz w:val="22"/>
          <w:szCs w:val="22"/>
          <w:u w:val="single"/>
        </w:rPr>
        <w:t>April</w:t>
      </w:r>
      <w:r w:rsidR="00CF6EAD" w:rsidRPr="00CF6EAD">
        <w:rPr>
          <w:sz w:val="22"/>
          <w:szCs w:val="22"/>
          <w:u w:val="single"/>
        </w:rPr>
        <w:t xml:space="preserve"> 2025</w:t>
      </w:r>
      <w:r w:rsidR="00CF6EAD">
        <w:rPr>
          <w:sz w:val="22"/>
          <w:szCs w:val="22"/>
          <w:u w:val="single"/>
        </w:rPr>
        <w:t>.xlsx</w:t>
      </w:r>
      <w:r w:rsidR="00CF6EAD">
        <w:rPr>
          <w:sz w:val="22"/>
          <w:szCs w:val="22"/>
        </w:rPr>
        <w:t>”</w:t>
      </w:r>
    </w:p>
    <w:p w14:paraId="25505D52" w14:textId="77777777" w:rsidR="00AB3909" w:rsidRDefault="00AB3909" w:rsidP="008046CF">
      <w:pPr>
        <w:pStyle w:val="ListParagraph"/>
        <w:spacing w:after="0" w:line="240" w:lineRule="auto"/>
        <w:ind w:left="360"/>
        <w:rPr>
          <w:sz w:val="22"/>
          <w:szCs w:val="22"/>
        </w:rPr>
      </w:pPr>
    </w:p>
    <w:p w14:paraId="31DEB24D" w14:textId="77777777" w:rsidR="00AB3909" w:rsidRPr="00DC1428" w:rsidRDefault="00AB3909" w:rsidP="008046CF">
      <w:pPr>
        <w:pStyle w:val="ListParagraph"/>
        <w:spacing w:after="0" w:line="240" w:lineRule="auto"/>
        <w:ind w:left="360"/>
        <w:rPr>
          <w:sz w:val="22"/>
          <w:szCs w:val="22"/>
        </w:rPr>
      </w:pPr>
    </w:p>
    <w:p w14:paraId="067B851B" w14:textId="77777777" w:rsidR="003772CE" w:rsidRDefault="003772CE">
      <w:pPr>
        <w:rPr>
          <w:rFonts w:asciiTheme="majorHAnsi" w:eastAsiaTheme="majorEastAsia" w:hAnsiTheme="majorHAnsi" w:cstheme="majorBidi"/>
          <w:color w:val="0F4761" w:themeColor="accent1" w:themeShade="BF"/>
          <w:sz w:val="28"/>
          <w:szCs w:val="28"/>
        </w:rPr>
      </w:pPr>
      <w:r>
        <w:br w:type="page"/>
      </w:r>
    </w:p>
    <w:p w14:paraId="15F2E405" w14:textId="0E12E8D9" w:rsidR="007D132F" w:rsidRPr="001A4726" w:rsidRDefault="007D132F" w:rsidP="0095432C">
      <w:pPr>
        <w:pStyle w:val="Heading1"/>
      </w:pPr>
      <w:bookmarkStart w:id="3" w:name="_Toc195776380"/>
      <w:r w:rsidRPr="001A4726">
        <w:lastRenderedPageBreak/>
        <w:t>Responses to Global Consultation</w:t>
      </w:r>
      <w:bookmarkEnd w:id="3"/>
    </w:p>
    <w:p w14:paraId="5EE5BEE4" w14:textId="226ED04D" w:rsidR="007E1AB3" w:rsidRPr="00254BD7" w:rsidRDefault="00164229" w:rsidP="0024028C">
      <w:pPr>
        <w:pStyle w:val="Heading2"/>
        <w:spacing w:before="120" w:after="0"/>
      </w:pPr>
      <w:bookmarkStart w:id="4" w:name="_Toc195776381"/>
      <w:r w:rsidRPr="00254BD7">
        <w:t>Respondent</w:t>
      </w:r>
      <w:r w:rsidR="009E1F1C">
        <w:t xml:space="preserve"> Information</w:t>
      </w:r>
      <w:bookmarkEnd w:id="4"/>
    </w:p>
    <w:p w14:paraId="43515F96" w14:textId="77777777" w:rsidR="00302B73" w:rsidRPr="00641425" w:rsidRDefault="00302B73" w:rsidP="0024028C">
      <w:pPr>
        <w:spacing w:after="0" w:line="240" w:lineRule="auto"/>
        <w:jc w:val="both"/>
        <w:rPr>
          <w:b/>
          <w:bCs/>
          <w:sz w:val="22"/>
          <w:szCs w:val="22"/>
        </w:rPr>
      </w:pPr>
    </w:p>
    <w:p w14:paraId="110A8C9C" w14:textId="1B097C59" w:rsidR="00234B02" w:rsidRDefault="00542D67" w:rsidP="00AB2F1F">
      <w:pPr>
        <w:spacing w:after="0" w:line="240" w:lineRule="auto"/>
        <w:jc w:val="both"/>
        <w:rPr>
          <w:sz w:val="22"/>
          <w:szCs w:val="22"/>
        </w:rPr>
      </w:pPr>
      <w:r w:rsidRPr="00E0031E">
        <w:rPr>
          <w:sz w:val="22"/>
          <w:szCs w:val="22"/>
        </w:rPr>
        <w:t xml:space="preserve">A total of </w:t>
      </w:r>
      <w:r w:rsidR="007559F6" w:rsidRPr="00E0031E">
        <w:rPr>
          <w:sz w:val="22"/>
          <w:szCs w:val="22"/>
        </w:rPr>
        <w:t>1</w:t>
      </w:r>
      <w:r w:rsidR="00D54468" w:rsidRPr="00E0031E">
        <w:rPr>
          <w:sz w:val="22"/>
          <w:szCs w:val="22"/>
        </w:rPr>
        <w:t>0</w:t>
      </w:r>
      <w:r w:rsidR="00A61F7F" w:rsidRPr="00E0031E">
        <w:rPr>
          <w:sz w:val="22"/>
          <w:szCs w:val="22"/>
        </w:rPr>
        <w:t>5</w:t>
      </w:r>
      <w:r w:rsidR="00CC3B74" w:rsidRPr="00E0031E">
        <w:rPr>
          <w:sz w:val="22"/>
          <w:szCs w:val="22"/>
        </w:rPr>
        <w:t xml:space="preserve"> re</w:t>
      </w:r>
      <w:r w:rsidRPr="00E0031E">
        <w:rPr>
          <w:sz w:val="22"/>
          <w:szCs w:val="22"/>
        </w:rPr>
        <w:t xml:space="preserve">sponses </w:t>
      </w:r>
      <w:r w:rsidR="005C5710" w:rsidRPr="00E0031E">
        <w:rPr>
          <w:sz w:val="22"/>
          <w:szCs w:val="22"/>
        </w:rPr>
        <w:t>were received</w:t>
      </w:r>
      <w:r w:rsidR="00B27049" w:rsidRPr="00E0031E">
        <w:rPr>
          <w:sz w:val="22"/>
          <w:szCs w:val="22"/>
        </w:rPr>
        <w:t xml:space="preserve"> from 7</w:t>
      </w:r>
      <w:r w:rsidR="00AB074E" w:rsidRPr="00E0031E">
        <w:rPr>
          <w:sz w:val="22"/>
          <w:szCs w:val="22"/>
        </w:rPr>
        <w:t>4</w:t>
      </w:r>
      <w:r w:rsidR="00B27049" w:rsidRPr="00E0031E">
        <w:rPr>
          <w:sz w:val="22"/>
          <w:szCs w:val="22"/>
        </w:rPr>
        <w:t xml:space="preserve"> different countries</w:t>
      </w:r>
      <w:r w:rsidR="008A20C0" w:rsidRPr="00E0031E">
        <w:rPr>
          <w:sz w:val="22"/>
          <w:szCs w:val="22"/>
        </w:rPr>
        <w:t xml:space="preserve"> and </w:t>
      </w:r>
      <w:r w:rsidR="00932374" w:rsidRPr="00E0031E">
        <w:rPr>
          <w:sz w:val="22"/>
          <w:szCs w:val="22"/>
        </w:rPr>
        <w:t>7</w:t>
      </w:r>
      <w:r w:rsidR="008A20C0" w:rsidRPr="00E0031E">
        <w:rPr>
          <w:sz w:val="22"/>
          <w:szCs w:val="22"/>
        </w:rPr>
        <w:t xml:space="preserve"> different </w:t>
      </w:r>
      <w:r w:rsidR="0021007C" w:rsidRPr="00E0031E">
        <w:rPr>
          <w:sz w:val="22"/>
          <w:szCs w:val="22"/>
        </w:rPr>
        <w:t xml:space="preserve">international/regional </w:t>
      </w:r>
      <w:r w:rsidR="008A20C0" w:rsidRPr="00E0031E">
        <w:rPr>
          <w:sz w:val="22"/>
          <w:szCs w:val="22"/>
        </w:rPr>
        <w:t>organizations</w:t>
      </w:r>
      <w:r w:rsidR="0021007C" w:rsidRPr="00E0031E">
        <w:rPr>
          <w:sz w:val="22"/>
          <w:szCs w:val="22"/>
        </w:rPr>
        <w:t xml:space="preserve"> a</w:t>
      </w:r>
      <w:r w:rsidR="00932374" w:rsidRPr="00E0031E">
        <w:rPr>
          <w:sz w:val="22"/>
          <w:szCs w:val="22"/>
        </w:rPr>
        <w:t>s well as</w:t>
      </w:r>
      <w:r w:rsidR="0021007C" w:rsidRPr="00E0031E">
        <w:rPr>
          <w:sz w:val="22"/>
          <w:szCs w:val="22"/>
        </w:rPr>
        <w:t xml:space="preserve"> </w:t>
      </w:r>
      <w:r w:rsidR="00932374" w:rsidRPr="00E0031E">
        <w:rPr>
          <w:sz w:val="22"/>
          <w:szCs w:val="22"/>
        </w:rPr>
        <w:t>1</w:t>
      </w:r>
      <w:r w:rsidR="0021007C" w:rsidRPr="00E0031E">
        <w:rPr>
          <w:sz w:val="22"/>
          <w:szCs w:val="22"/>
        </w:rPr>
        <w:t xml:space="preserve"> university</w:t>
      </w:r>
      <w:r w:rsidRPr="00E0031E">
        <w:rPr>
          <w:sz w:val="22"/>
          <w:szCs w:val="22"/>
        </w:rPr>
        <w:t xml:space="preserve">.  </w:t>
      </w:r>
    </w:p>
    <w:p w14:paraId="53A2201A" w14:textId="77777777" w:rsidR="00F664CF" w:rsidRDefault="00F664CF" w:rsidP="00AB2F1F">
      <w:pPr>
        <w:spacing w:after="0" w:line="240" w:lineRule="auto"/>
        <w:jc w:val="both"/>
        <w:rPr>
          <w:sz w:val="22"/>
          <w:szCs w:val="22"/>
        </w:rPr>
      </w:pPr>
    </w:p>
    <w:p w14:paraId="6801FA08" w14:textId="64E94DC5" w:rsidR="00DC618B" w:rsidRDefault="00F664CF" w:rsidP="00372193">
      <w:pPr>
        <w:spacing w:after="0" w:line="240" w:lineRule="auto"/>
        <w:jc w:val="both"/>
        <w:rPr>
          <w:sz w:val="22"/>
          <w:szCs w:val="22"/>
        </w:rPr>
      </w:pPr>
      <w:r>
        <w:rPr>
          <w:sz w:val="22"/>
          <w:szCs w:val="22"/>
        </w:rPr>
        <w:t>Most</w:t>
      </w:r>
      <w:r w:rsidRPr="00E0031E">
        <w:rPr>
          <w:sz w:val="22"/>
          <w:szCs w:val="22"/>
        </w:rPr>
        <w:t xml:space="preserve"> responses came from national statistical offices (NSOs, 58%</w:t>
      </w:r>
      <w:r w:rsidR="00E866E7">
        <w:rPr>
          <w:sz w:val="22"/>
          <w:szCs w:val="22"/>
        </w:rPr>
        <w:t>, n=61</w:t>
      </w:r>
      <w:r w:rsidRPr="00E0031E">
        <w:rPr>
          <w:sz w:val="22"/>
          <w:szCs w:val="22"/>
        </w:rPr>
        <w:t>) or from Ministries of Finance, Treasury Departments, Central Banks or similar national institutions (31%</w:t>
      </w:r>
      <w:r w:rsidR="00E866E7">
        <w:rPr>
          <w:sz w:val="22"/>
          <w:szCs w:val="22"/>
        </w:rPr>
        <w:t>, n=33</w:t>
      </w:r>
      <w:r w:rsidRPr="00E0031E">
        <w:rPr>
          <w:sz w:val="22"/>
          <w:szCs w:val="22"/>
        </w:rPr>
        <w:t>). The remaining responses came either from international/regional organizations (8%</w:t>
      </w:r>
      <w:r w:rsidR="00475E6F">
        <w:rPr>
          <w:sz w:val="22"/>
          <w:szCs w:val="22"/>
        </w:rPr>
        <w:t>, n=8</w:t>
      </w:r>
      <w:r w:rsidRPr="00E0031E">
        <w:rPr>
          <w:sz w:val="22"/>
          <w:szCs w:val="22"/>
        </w:rPr>
        <w:t>) or individual experts/consultants/academics (3%</w:t>
      </w:r>
      <w:r w:rsidR="00475E6F">
        <w:rPr>
          <w:sz w:val="22"/>
          <w:szCs w:val="22"/>
        </w:rPr>
        <w:t>, n=3</w:t>
      </w:r>
      <w:r w:rsidRPr="00E0031E">
        <w:rPr>
          <w:sz w:val="22"/>
          <w:szCs w:val="22"/>
        </w:rPr>
        <w:t xml:space="preserve">).  </w:t>
      </w:r>
    </w:p>
    <w:p w14:paraId="76A2765A" w14:textId="77777777" w:rsidR="006400E0" w:rsidRDefault="006400E0" w:rsidP="00372193">
      <w:pPr>
        <w:spacing w:after="0" w:line="240" w:lineRule="auto"/>
        <w:jc w:val="both"/>
        <w:rPr>
          <w:sz w:val="22"/>
          <w:szCs w:val="22"/>
        </w:rPr>
      </w:pPr>
    </w:p>
    <w:p w14:paraId="7A686230" w14:textId="77777777" w:rsidR="00372193" w:rsidRDefault="00A10C41" w:rsidP="00372193">
      <w:pPr>
        <w:spacing w:after="0" w:line="240" w:lineRule="auto"/>
        <w:rPr>
          <w:sz w:val="22"/>
          <w:szCs w:val="22"/>
        </w:rPr>
      </w:pPr>
      <w:r>
        <w:rPr>
          <w:noProof/>
          <w:sz w:val="22"/>
          <w:szCs w:val="22"/>
        </w:rPr>
        <w:drawing>
          <wp:inline distT="0" distB="0" distL="0" distR="0" wp14:anchorId="27D36C6B" wp14:editId="171D08E4">
            <wp:extent cx="5905500" cy="1955800"/>
            <wp:effectExtent l="0" t="0" r="0" b="6350"/>
            <wp:docPr id="206935947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DFFEAC" w14:textId="0E460F7B" w:rsidR="001E0F3E" w:rsidRPr="00E0031E" w:rsidRDefault="00DC1428" w:rsidP="00885800">
      <w:pPr>
        <w:spacing w:after="0" w:line="240" w:lineRule="auto"/>
        <w:rPr>
          <w:sz w:val="22"/>
          <w:szCs w:val="22"/>
        </w:rPr>
      </w:pPr>
      <w:r w:rsidRPr="00E0031E">
        <w:rPr>
          <w:sz w:val="22"/>
          <w:szCs w:val="22"/>
        </w:rPr>
        <w:t xml:space="preserve">The geographic distribution of respondents was fairly even, with all regions being represented.  </w:t>
      </w:r>
    </w:p>
    <w:p w14:paraId="4D60128E" w14:textId="77777777" w:rsidR="00DC1428" w:rsidRDefault="00DC1428" w:rsidP="00DC1428">
      <w:pPr>
        <w:spacing w:after="0" w:line="240" w:lineRule="auto"/>
        <w:jc w:val="both"/>
        <w:rPr>
          <w:sz w:val="22"/>
          <w:szCs w:val="22"/>
        </w:rPr>
      </w:pPr>
    </w:p>
    <w:p w14:paraId="7322A56A" w14:textId="1253A1B5" w:rsidR="00234B02" w:rsidRDefault="00DC1428" w:rsidP="00DC618B">
      <w:pPr>
        <w:spacing w:after="0" w:line="240" w:lineRule="auto"/>
        <w:jc w:val="both"/>
        <w:rPr>
          <w:sz w:val="22"/>
          <w:szCs w:val="22"/>
        </w:rPr>
      </w:pPr>
      <w:r w:rsidRPr="00E0031E">
        <w:rPr>
          <w:sz w:val="22"/>
          <w:szCs w:val="22"/>
        </w:rPr>
        <w:t>3</w:t>
      </w:r>
      <w:r w:rsidR="002B4B70">
        <w:rPr>
          <w:sz w:val="22"/>
          <w:szCs w:val="22"/>
        </w:rPr>
        <w:t>1</w:t>
      </w:r>
      <w:r w:rsidRPr="00E0031E">
        <w:rPr>
          <w:sz w:val="22"/>
          <w:szCs w:val="22"/>
        </w:rPr>
        <w:t xml:space="preserve">% of responses received </w:t>
      </w:r>
      <w:r w:rsidR="00372193">
        <w:rPr>
          <w:sz w:val="22"/>
          <w:szCs w:val="22"/>
        </w:rPr>
        <w:t xml:space="preserve">(n=32) </w:t>
      </w:r>
      <w:r w:rsidRPr="00E0031E">
        <w:rPr>
          <w:sz w:val="22"/>
          <w:szCs w:val="22"/>
        </w:rPr>
        <w:t>were from the Asia-Pacific region. 19%</w:t>
      </w:r>
      <w:r w:rsidR="00372193">
        <w:rPr>
          <w:sz w:val="22"/>
          <w:szCs w:val="22"/>
        </w:rPr>
        <w:t xml:space="preserve"> (n=20) </w:t>
      </w:r>
      <w:r w:rsidRPr="00E0031E">
        <w:rPr>
          <w:sz w:val="22"/>
          <w:szCs w:val="22"/>
        </w:rPr>
        <w:t xml:space="preserve">were from Western European and Other States and another 17% </w:t>
      </w:r>
      <w:r w:rsidR="00A9729A">
        <w:rPr>
          <w:sz w:val="22"/>
          <w:szCs w:val="22"/>
        </w:rPr>
        <w:t xml:space="preserve">(n=18) </w:t>
      </w:r>
      <w:r w:rsidRPr="00E0031E">
        <w:rPr>
          <w:sz w:val="22"/>
          <w:szCs w:val="22"/>
        </w:rPr>
        <w:t>from Eastern Europe. Africa represented 13% of respondents</w:t>
      </w:r>
      <w:r w:rsidR="00A9729A">
        <w:rPr>
          <w:sz w:val="22"/>
          <w:szCs w:val="22"/>
        </w:rPr>
        <w:t xml:space="preserve"> (</w:t>
      </w:r>
      <w:r w:rsidR="004524E2">
        <w:rPr>
          <w:sz w:val="22"/>
          <w:szCs w:val="22"/>
        </w:rPr>
        <w:t>n=14)</w:t>
      </w:r>
      <w:r w:rsidRPr="00E0031E">
        <w:rPr>
          <w:sz w:val="22"/>
          <w:szCs w:val="22"/>
        </w:rPr>
        <w:t>, and Latin America and Caribbean 10%</w:t>
      </w:r>
      <w:r w:rsidR="004524E2">
        <w:rPr>
          <w:sz w:val="22"/>
          <w:szCs w:val="22"/>
        </w:rPr>
        <w:t xml:space="preserve"> (n=10)</w:t>
      </w:r>
      <w:r w:rsidRPr="00E0031E">
        <w:rPr>
          <w:sz w:val="22"/>
          <w:szCs w:val="22"/>
        </w:rPr>
        <w:t>. The remaining 1</w:t>
      </w:r>
      <w:r w:rsidR="004524E2">
        <w:rPr>
          <w:sz w:val="22"/>
          <w:szCs w:val="22"/>
        </w:rPr>
        <w:t>1</w:t>
      </w:r>
      <w:r w:rsidRPr="00E0031E">
        <w:rPr>
          <w:sz w:val="22"/>
          <w:szCs w:val="22"/>
        </w:rPr>
        <w:t xml:space="preserve">% came from international/regional organizations or experts/consultants/academia.   </w:t>
      </w:r>
    </w:p>
    <w:p w14:paraId="0316B8FA" w14:textId="77777777" w:rsidR="006400E0" w:rsidRDefault="006400E0" w:rsidP="00DC618B">
      <w:pPr>
        <w:spacing w:after="0" w:line="240" w:lineRule="auto"/>
        <w:jc w:val="both"/>
        <w:rPr>
          <w:sz w:val="22"/>
          <w:szCs w:val="22"/>
        </w:rPr>
      </w:pPr>
    </w:p>
    <w:p w14:paraId="4B4B2C6C" w14:textId="3BB9EE93" w:rsidR="00100F20" w:rsidRDefault="00920629" w:rsidP="00DC1428">
      <w:pPr>
        <w:spacing w:after="0" w:line="240" w:lineRule="auto"/>
        <w:jc w:val="both"/>
        <w:rPr>
          <w:sz w:val="22"/>
          <w:szCs w:val="22"/>
        </w:rPr>
      </w:pPr>
      <w:r>
        <w:rPr>
          <w:noProof/>
          <w:sz w:val="22"/>
          <w:szCs w:val="22"/>
        </w:rPr>
        <w:drawing>
          <wp:inline distT="0" distB="0" distL="0" distR="0" wp14:anchorId="45FE5CE3" wp14:editId="404B2082">
            <wp:extent cx="6008370" cy="1981200"/>
            <wp:effectExtent l="0" t="0" r="0" b="0"/>
            <wp:docPr id="119491824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58EB4D" w14:textId="77777777" w:rsidR="00885800" w:rsidRDefault="00885800" w:rsidP="00DC1428">
      <w:pPr>
        <w:spacing w:after="0" w:line="240" w:lineRule="auto"/>
        <w:jc w:val="both"/>
        <w:rPr>
          <w:sz w:val="22"/>
          <w:szCs w:val="22"/>
        </w:rPr>
      </w:pPr>
    </w:p>
    <w:p w14:paraId="1334C0CF" w14:textId="77777777" w:rsidR="00885800" w:rsidRDefault="00885800" w:rsidP="00DC1428">
      <w:pPr>
        <w:spacing w:after="0" w:line="240" w:lineRule="auto"/>
        <w:jc w:val="both"/>
        <w:rPr>
          <w:sz w:val="22"/>
          <w:szCs w:val="22"/>
        </w:rPr>
      </w:pPr>
    </w:p>
    <w:p w14:paraId="5B8AC24D" w14:textId="77777777" w:rsidR="00512629" w:rsidRDefault="00512629" w:rsidP="00DC1428">
      <w:pPr>
        <w:spacing w:after="0" w:line="240" w:lineRule="auto"/>
        <w:jc w:val="both"/>
        <w:rPr>
          <w:sz w:val="22"/>
          <w:szCs w:val="22"/>
        </w:rPr>
      </w:pPr>
    </w:p>
    <w:p w14:paraId="086C49F7" w14:textId="77777777" w:rsidR="00512629" w:rsidRDefault="00512629" w:rsidP="00DC1428">
      <w:pPr>
        <w:spacing w:after="0" w:line="240" w:lineRule="auto"/>
        <w:jc w:val="both"/>
        <w:rPr>
          <w:sz w:val="22"/>
          <w:szCs w:val="22"/>
        </w:rPr>
      </w:pPr>
    </w:p>
    <w:p w14:paraId="48083257" w14:textId="77777777" w:rsidR="00512629" w:rsidRPr="00100F20" w:rsidRDefault="00512629" w:rsidP="00DC1428">
      <w:pPr>
        <w:spacing w:after="0" w:line="240" w:lineRule="auto"/>
        <w:jc w:val="both"/>
        <w:rPr>
          <w:sz w:val="22"/>
          <w:szCs w:val="22"/>
        </w:rPr>
      </w:pPr>
    </w:p>
    <w:p w14:paraId="47986674" w14:textId="3ABD0F96" w:rsidR="00100F20" w:rsidRPr="00254BD7" w:rsidRDefault="00164229" w:rsidP="00DC2F0A">
      <w:pPr>
        <w:pStyle w:val="Heading2"/>
        <w:spacing w:after="0"/>
      </w:pPr>
      <w:bookmarkStart w:id="5" w:name="_Toc195776382"/>
      <w:r w:rsidRPr="00254BD7">
        <w:lastRenderedPageBreak/>
        <w:t>Use of COFOG</w:t>
      </w:r>
      <w:bookmarkEnd w:id="5"/>
    </w:p>
    <w:p w14:paraId="46824457" w14:textId="77777777" w:rsidR="0054423A" w:rsidRDefault="0054423A" w:rsidP="00485B5A">
      <w:pPr>
        <w:spacing w:after="0" w:line="240" w:lineRule="auto"/>
        <w:jc w:val="both"/>
        <w:rPr>
          <w:b/>
          <w:bCs/>
          <w:sz w:val="22"/>
          <w:szCs w:val="22"/>
        </w:rPr>
      </w:pPr>
    </w:p>
    <w:p w14:paraId="596AD834" w14:textId="29A48BF0" w:rsidR="003A6DD6" w:rsidRDefault="00F646D3" w:rsidP="00485B5A">
      <w:pPr>
        <w:spacing w:after="0" w:line="240" w:lineRule="auto"/>
        <w:jc w:val="both"/>
        <w:rPr>
          <w:sz w:val="22"/>
          <w:szCs w:val="22"/>
        </w:rPr>
      </w:pPr>
      <w:r w:rsidRPr="00F646D3">
        <w:rPr>
          <w:sz w:val="22"/>
          <w:szCs w:val="22"/>
        </w:rPr>
        <w:t>The consultation included a number of questions regarding the use of COFOG</w:t>
      </w:r>
      <w:r w:rsidR="00FC1257">
        <w:rPr>
          <w:sz w:val="22"/>
          <w:szCs w:val="22"/>
        </w:rPr>
        <w:t>, including the level at which it is used, which sectors are covered</w:t>
      </w:r>
      <w:r w:rsidR="005046AE">
        <w:rPr>
          <w:sz w:val="22"/>
          <w:szCs w:val="22"/>
        </w:rPr>
        <w:t>, and the identification of primary and secondary expenditure</w:t>
      </w:r>
      <w:r w:rsidRPr="00F646D3">
        <w:rPr>
          <w:sz w:val="22"/>
          <w:szCs w:val="22"/>
        </w:rPr>
        <w:t>.</w:t>
      </w:r>
    </w:p>
    <w:p w14:paraId="43ABFD74" w14:textId="77777777" w:rsidR="003A6DD6" w:rsidRDefault="003A6DD6" w:rsidP="00485B5A">
      <w:pPr>
        <w:spacing w:after="0" w:line="240" w:lineRule="auto"/>
        <w:jc w:val="both"/>
        <w:rPr>
          <w:sz w:val="22"/>
          <w:szCs w:val="22"/>
        </w:rPr>
      </w:pPr>
    </w:p>
    <w:p w14:paraId="1B4E8EE3" w14:textId="1F9E3E0B" w:rsidR="00F646D3" w:rsidRDefault="00FC1257" w:rsidP="00485B5A">
      <w:pPr>
        <w:spacing w:after="0" w:line="240" w:lineRule="auto"/>
        <w:jc w:val="both"/>
        <w:rPr>
          <w:sz w:val="22"/>
          <w:szCs w:val="22"/>
        </w:rPr>
      </w:pPr>
      <w:r>
        <w:rPr>
          <w:sz w:val="22"/>
          <w:szCs w:val="22"/>
        </w:rPr>
        <w:t xml:space="preserve">Some of the questions are </w:t>
      </w:r>
      <w:r w:rsidR="00022DF9">
        <w:rPr>
          <w:sz w:val="22"/>
          <w:szCs w:val="22"/>
        </w:rPr>
        <w:t xml:space="preserve">specifically presented to either compilers or providers of COFOG data, and others to users of COFOG data, as </w:t>
      </w:r>
      <w:r w:rsidR="002A2CE0">
        <w:rPr>
          <w:sz w:val="22"/>
          <w:szCs w:val="22"/>
        </w:rPr>
        <w:t>self-</w:t>
      </w:r>
      <w:r w:rsidR="00022DF9">
        <w:rPr>
          <w:sz w:val="22"/>
          <w:szCs w:val="22"/>
        </w:rPr>
        <w:t>identified in Question 9 below.</w:t>
      </w:r>
    </w:p>
    <w:p w14:paraId="370E988D" w14:textId="77777777" w:rsidR="00022DF9" w:rsidRPr="00F646D3" w:rsidRDefault="00022DF9" w:rsidP="00485B5A">
      <w:pPr>
        <w:spacing w:after="0" w:line="240" w:lineRule="auto"/>
        <w:jc w:val="both"/>
        <w:rPr>
          <w:sz w:val="22"/>
          <w:szCs w:val="22"/>
        </w:rPr>
      </w:pPr>
    </w:p>
    <w:p w14:paraId="4ED665B1" w14:textId="77777777" w:rsidR="00F646D3" w:rsidRPr="00641425" w:rsidRDefault="00F646D3" w:rsidP="00485B5A">
      <w:pPr>
        <w:spacing w:after="0" w:line="240" w:lineRule="auto"/>
        <w:jc w:val="both"/>
        <w:rPr>
          <w:b/>
          <w:bCs/>
          <w:sz w:val="22"/>
          <w:szCs w:val="22"/>
        </w:rPr>
      </w:pPr>
    </w:p>
    <w:p w14:paraId="5B8D164A" w14:textId="61C2ED54" w:rsidR="00060EC2" w:rsidRDefault="0092030F" w:rsidP="00485B5A">
      <w:pPr>
        <w:spacing w:after="0" w:line="240" w:lineRule="auto"/>
        <w:jc w:val="both"/>
        <w:rPr>
          <w:b/>
          <w:bCs/>
          <w:sz w:val="22"/>
          <w:szCs w:val="22"/>
        </w:rPr>
      </w:pPr>
      <w:r>
        <w:rPr>
          <w:b/>
          <w:bCs/>
          <w:sz w:val="22"/>
          <w:szCs w:val="22"/>
        </w:rPr>
        <w:t xml:space="preserve">Q9. </w:t>
      </w:r>
      <w:r w:rsidR="00060EC2" w:rsidRPr="00060EC2">
        <w:rPr>
          <w:b/>
          <w:bCs/>
          <w:sz w:val="22"/>
          <w:szCs w:val="22"/>
        </w:rPr>
        <w:t>Does your institution compile or use government expenditure statistics or accounts utilizing COFOG?</w:t>
      </w:r>
    </w:p>
    <w:p w14:paraId="79D48EF5" w14:textId="77777777" w:rsidR="00060EC2" w:rsidRDefault="00060EC2" w:rsidP="00485B5A">
      <w:pPr>
        <w:spacing w:after="0" w:line="240" w:lineRule="auto"/>
        <w:jc w:val="both"/>
        <w:rPr>
          <w:b/>
          <w:bCs/>
          <w:sz w:val="22"/>
          <w:szCs w:val="22"/>
        </w:rPr>
      </w:pPr>
    </w:p>
    <w:p w14:paraId="1D8E4659" w14:textId="77777777" w:rsidR="00AF6B2B" w:rsidRDefault="00AF6B2B" w:rsidP="00AF6B2B">
      <w:pPr>
        <w:spacing w:after="0" w:line="240" w:lineRule="auto"/>
        <w:jc w:val="both"/>
        <w:rPr>
          <w:sz w:val="22"/>
          <w:szCs w:val="22"/>
        </w:rPr>
      </w:pPr>
      <w:r>
        <w:rPr>
          <w:sz w:val="22"/>
          <w:szCs w:val="22"/>
        </w:rPr>
        <w:t>R</w:t>
      </w:r>
      <w:r w:rsidRPr="00E0031E">
        <w:rPr>
          <w:sz w:val="22"/>
          <w:szCs w:val="22"/>
        </w:rPr>
        <w:t xml:space="preserve">espondents reported utilizing COFOG in a variety of ways.  </w:t>
      </w:r>
    </w:p>
    <w:p w14:paraId="4A9EE342" w14:textId="77777777" w:rsidR="00AF6B2B" w:rsidRDefault="00AF6B2B" w:rsidP="00AF6B2B">
      <w:pPr>
        <w:spacing w:after="0" w:line="240" w:lineRule="auto"/>
        <w:jc w:val="both"/>
        <w:rPr>
          <w:sz w:val="22"/>
          <w:szCs w:val="22"/>
        </w:rPr>
      </w:pPr>
    </w:p>
    <w:p w14:paraId="18746F41" w14:textId="762D8046" w:rsidR="00AF6B2B" w:rsidRPr="00264BD1" w:rsidRDefault="00AF6B2B" w:rsidP="00AF6B2B">
      <w:pPr>
        <w:spacing w:after="0" w:line="240" w:lineRule="auto"/>
        <w:jc w:val="both"/>
        <w:rPr>
          <w:b/>
          <w:bCs/>
          <w:sz w:val="22"/>
          <w:szCs w:val="22"/>
        </w:rPr>
      </w:pPr>
      <w:r w:rsidRPr="00E0031E">
        <w:rPr>
          <w:sz w:val="22"/>
          <w:szCs w:val="22"/>
        </w:rPr>
        <w:t xml:space="preserve">63% </w:t>
      </w:r>
      <w:r>
        <w:rPr>
          <w:sz w:val="22"/>
          <w:szCs w:val="22"/>
        </w:rPr>
        <w:t xml:space="preserve">(n=66) </w:t>
      </w:r>
      <w:r w:rsidRPr="00E0031E">
        <w:rPr>
          <w:sz w:val="22"/>
          <w:szCs w:val="22"/>
        </w:rPr>
        <w:t xml:space="preserve">compile government expenditure accounts based on COFOG, while 27% </w:t>
      </w:r>
      <w:r>
        <w:rPr>
          <w:sz w:val="22"/>
          <w:szCs w:val="22"/>
        </w:rPr>
        <w:t xml:space="preserve">(n=28) </w:t>
      </w:r>
      <w:r w:rsidRPr="00E0031E">
        <w:rPr>
          <w:sz w:val="22"/>
          <w:szCs w:val="22"/>
        </w:rPr>
        <w:t xml:space="preserve">provide data for the compilation of government expenditure accounts.  </w:t>
      </w:r>
    </w:p>
    <w:p w14:paraId="45DCE20F" w14:textId="77777777" w:rsidR="00AF6B2B" w:rsidRDefault="00AF6B2B" w:rsidP="00AF6B2B">
      <w:pPr>
        <w:spacing w:after="0" w:line="240" w:lineRule="auto"/>
        <w:jc w:val="both"/>
        <w:rPr>
          <w:sz w:val="22"/>
          <w:szCs w:val="22"/>
        </w:rPr>
      </w:pPr>
    </w:p>
    <w:p w14:paraId="45D9444C" w14:textId="77777777" w:rsidR="00AF6B2B" w:rsidRPr="00E0031E" w:rsidRDefault="00AF6B2B" w:rsidP="00AF6B2B">
      <w:pPr>
        <w:spacing w:after="0" w:line="240" w:lineRule="auto"/>
        <w:jc w:val="both"/>
        <w:rPr>
          <w:sz w:val="22"/>
          <w:szCs w:val="22"/>
        </w:rPr>
      </w:pPr>
      <w:r w:rsidRPr="00E0031E">
        <w:rPr>
          <w:sz w:val="22"/>
          <w:szCs w:val="22"/>
        </w:rPr>
        <w:t xml:space="preserve">Nearly half, 48% </w:t>
      </w:r>
      <w:r>
        <w:rPr>
          <w:sz w:val="22"/>
          <w:szCs w:val="22"/>
        </w:rPr>
        <w:t xml:space="preserve">(n=50) </w:t>
      </w:r>
      <w:r w:rsidRPr="00E0031E">
        <w:rPr>
          <w:sz w:val="22"/>
          <w:szCs w:val="22"/>
        </w:rPr>
        <w:t xml:space="preserve">report using government expenditure accounts based on COFOG, while 13% </w:t>
      </w:r>
      <w:r>
        <w:rPr>
          <w:sz w:val="22"/>
          <w:szCs w:val="22"/>
        </w:rPr>
        <w:t xml:space="preserve">(n=14) </w:t>
      </w:r>
      <w:r w:rsidRPr="00E0031E">
        <w:rPr>
          <w:sz w:val="22"/>
          <w:szCs w:val="22"/>
        </w:rPr>
        <w:t xml:space="preserve">said they do not utilize COFOG, but the framework is relevant to their work.  </w:t>
      </w:r>
    </w:p>
    <w:p w14:paraId="63961490" w14:textId="77777777" w:rsidR="00973338" w:rsidRPr="00641425" w:rsidRDefault="00973338" w:rsidP="00485B5A">
      <w:pPr>
        <w:spacing w:after="0" w:line="240" w:lineRule="auto"/>
        <w:jc w:val="both"/>
        <w:rPr>
          <w:b/>
          <w:bCs/>
          <w:sz w:val="22"/>
          <w:szCs w:val="22"/>
        </w:rPr>
      </w:pPr>
    </w:p>
    <w:p w14:paraId="03033F29" w14:textId="266E8266" w:rsidR="00264BD1" w:rsidRDefault="008A1D1A" w:rsidP="00E0031E">
      <w:pPr>
        <w:spacing w:after="0" w:line="240" w:lineRule="auto"/>
        <w:jc w:val="both"/>
        <w:rPr>
          <w:sz w:val="22"/>
          <w:szCs w:val="22"/>
        </w:rPr>
      </w:pPr>
      <w:r>
        <w:rPr>
          <w:noProof/>
          <w:sz w:val="22"/>
          <w:szCs w:val="22"/>
        </w:rPr>
        <w:drawing>
          <wp:inline distT="0" distB="0" distL="0" distR="0" wp14:anchorId="78D518E3" wp14:editId="493A96D2">
            <wp:extent cx="5943600" cy="1955423"/>
            <wp:effectExtent l="0" t="0" r="0" b="6985"/>
            <wp:docPr id="123519522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4B9935" w14:textId="77777777" w:rsidR="008D3E49" w:rsidRDefault="008D3E49" w:rsidP="00C94201">
      <w:pPr>
        <w:spacing w:after="0" w:line="240" w:lineRule="auto"/>
        <w:jc w:val="both"/>
        <w:rPr>
          <w:sz w:val="22"/>
          <w:szCs w:val="22"/>
        </w:rPr>
      </w:pPr>
    </w:p>
    <w:p w14:paraId="1E562173" w14:textId="0C3C4F94" w:rsidR="00C0226B" w:rsidRDefault="00A26FF6" w:rsidP="00C94201">
      <w:pPr>
        <w:spacing w:after="0" w:line="240" w:lineRule="auto"/>
        <w:jc w:val="both"/>
        <w:rPr>
          <w:sz w:val="22"/>
          <w:szCs w:val="22"/>
        </w:rPr>
      </w:pPr>
      <w:r>
        <w:rPr>
          <w:sz w:val="22"/>
          <w:szCs w:val="22"/>
        </w:rPr>
        <w:t>More than</w:t>
      </w:r>
      <w:r w:rsidRPr="00E0031E">
        <w:rPr>
          <w:sz w:val="22"/>
          <w:szCs w:val="22"/>
        </w:rPr>
        <w:t xml:space="preserve"> </w:t>
      </w:r>
      <w:r w:rsidR="00C0226B" w:rsidRPr="00E0031E">
        <w:rPr>
          <w:sz w:val="22"/>
          <w:szCs w:val="22"/>
        </w:rPr>
        <w:t xml:space="preserve">2 in 3 respondents </w:t>
      </w:r>
      <w:r w:rsidR="00B85DF4" w:rsidRPr="00E0031E">
        <w:rPr>
          <w:sz w:val="22"/>
          <w:szCs w:val="22"/>
        </w:rPr>
        <w:t>(</w:t>
      </w:r>
      <w:r w:rsidR="007F7785" w:rsidRPr="00E0031E">
        <w:rPr>
          <w:sz w:val="22"/>
          <w:szCs w:val="22"/>
        </w:rPr>
        <w:t>70</w:t>
      </w:r>
      <w:r w:rsidR="00B85DF4" w:rsidRPr="00E0031E">
        <w:rPr>
          <w:sz w:val="22"/>
          <w:szCs w:val="22"/>
        </w:rPr>
        <w:t>%</w:t>
      </w:r>
      <w:r w:rsidR="001A1058">
        <w:rPr>
          <w:sz w:val="22"/>
          <w:szCs w:val="22"/>
        </w:rPr>
        <w:t>, n=73</w:t>
      </w:r>
      <w:r w:rsidR="00B85DF4" w:rsidRPr="00E0031E">
        <w:rPr>
          <w:sz w:val="22"/>
          <w:szCs w:val="22"/>
        </w:rPr>
        <w:t xml:space="preserve">) </w:t>
      </w:r>
      <w:r w:rsidR="006B69B9" w:rsidRPr="00E0031E">
        <w:rPr>
          <w:sz w:val="22"/>
          <w:szCs w:val="22"/>
        </w:rPr>
        <w:t>utilize COFOG</w:t>
      </w:r>
      <w:r w:rsidR="004A6F06" w:rsidRPr="00E0031E">
        <w:rPr>
          <w:sz w:val="22"/>
          <w:szCs w:val="22"/>
        </w:rPr>
        <w:t xml:space="preserve"> either </w:t>
      </w:r>
      <w:r w:rsidR="006B69B9" w:rsidRPr="00E0031E">
        <w:rPr>
          <w:sz w:val="22"/>
          <w:szCs w:val="22"/>
        </w:rPr>
        <w:t xml:space="preserve">as </w:t>
      </w:r>
      <w:r w:rsidR="004A6F06" w:rsidRPr="00E0031E">
        <w:rPr>
          <w:sz w:val="22"/>
          <w:szCs w:val="22"/>
        </w:rPr>
        <w:t xml:space="preserve">compilers, data providers, or both.  </w:t>
      </w:r>
      <w:r w:rsidR="006B69B9" w:rsidRPr="00E0031E">
        <w:rPr>
          <w:sz w:val="22"/>
          <w:szCs w:val="22"/>
        </w:rPr>
        <w:t xml:space="preserve">About 1 in 4 </w:t>
      </w:r>
      <w:r w:rsidR="00B85DF4" w:rsidRPr="00E0031E">
        <w:rPr>
          <w:sz w:val="22"/>
          <w:szCs w:val="22"/>
        </w:rPr>
        <w:t>(2</w:t>
      </w:r>
      <w:r w:rsidR="00A01B17" w:rsidRPr="00E0031E">
        <w:rPr>
          <w:sz w:val="22"/>
          <w:szCs w:val="22"/>
        </w:rPr>
        <w:t>8</w:t>
      </w:r>
      <w:r w:rsidR="00B85DF4" w:rsidRPr="00E0031E">
        <w:rPr>
          <w:sz w:val="22"/>
          <w:szCs w:val="22"/>
        </w:rPr>
        <w:t>%</w:t>
      </w:r>
      <w:r w:rsidR="001A1058">
        <w:rPr>
          <w:sz w:val="22"/>
          <w:szCs w:val="22"/>
        </w:rPr>
        <w:t>, n=29</w:t>
      </w:r>
      <w:r w:rsidR="00B85DF4" w:rsidRPr="00E0031E">
        <w:rPr>
          <w:sz w:val="22"/>
          <w:szCs w:val="22"/>
        </w:rPr>
        <w:t xml:space="preserve">) </w:t>
      </w:r>
      <w:r w:rsidR="006B69B9" w:rsidRPr="00E0031E">
        <w:rPr>
          <w:sz w:val="22"/>
          <w:szCs w:val="22"/>
        </w:rPr>
        <w:t>are</w:t>
      </w:r>
      <w:r w:rsidR="00B85DF4" w:rsidRPr="00E0031E">
        <w:rPr>
          <w:sz w:val="22"/>
          <w:szCs w:val="22"/>
        </w:rPr>
        <w:t xml:space="preserve"> both</w:t>
      </w:r>
      <w:r w:rsidR="006B69B9" w:rsidRPr="00E0031E">
        <w:rPr>
          <w:sz w:val="22"/>
          <w:szCs w:val="22"/>
        </w:rPr>
        <w:t xml:space="preserve"> compilers</w:t>
      </w:r>
      <w:r w:rsidR="00800397" w:rsidRPr="00E0031E">
        <w:rPr>
          <w:sz w:val="22"/>
          <w:szCs w:val="22"/>
        </w:rPr>
        <w:t xml:space="preserve"> and/or </w:t>
      </w:r>
      <w:r w:rsidR="006B69B9" w:rsidRPr="00E0031E">
        <w:rPr>
          <w:sz w:val="22"/>
          <w:szCs w:val="22"/>
        </w:rPr>
        <w:t xml:space="preserve">providers </w:t>
      </w:r>
      <w:r w:rsidR="00800397" w:rsidRPr="00E0031E">
        <w:rPr>
          <w:sz w:val="22"/>
          <w:szCs w:val="22"/>
        </w:rPr>
        <w:t>as well as</w:t>
      </w:r>
      <w:r w:rsidR="006B69B9" w:rsidRPr="00E0031E">
        <w:rPr>
          <w:sz w:val="22"/>
          <w:szCs w:val="22"/>
        </w:rPr>
        <w:t xml:space="preserve"> users</w:t>
      </w:r>
      <w:r w:rsidR="000E7EA0" w:rsidRPr="00E0031E">
        <w:rPr>
          <w:sz w:val="22"/>
          <w:szCs w:val="22"/>
        </w:rPr>
        <w:t xml:space="preserve">. </w:t>
      </w:r>
    </w:p>
    <w:p w14:paraId="12F9916E" w14:textId="77777777" w:rsidR="00AF6B2B" w:rsidRDefault="00AF6B2B" w:rsidP="00C94201">
      <w:pPr>
        <w:spacing w:after="0" w:line="240" w:lineRule="auto"/>
        <w:jc w:val="both"/>
        <w:rPr>
          <w:sz w:val="22"/>
          <w:szCs w:val="22"/>
        </w:rPr>
      </w:pPr>
    </w:p>
    <w:p w14:paraId="1F91BC46" w14:textId="3927055C" w:rsidR="00AF6B2B" w:rsidRPr="00C94201" w:rsidRDefault="00AF6B2B" w:rsidP="00C94201">
      <w:pPr>
        <w:spacing w:after="0" w:line="240" w:lineRule="auto"/>
        <w:jc w:val="both"/>
        <w:rPr>
          <w:sz w:val="22"/>
          <w:szCs w:val="22"/>
        </w:rPr>
      </w:pPr>
      <w:r>
        <w:rPr>
          <w:noProof/>
          <w:sz w:val="22"/>
          <w:szCs w:val="22"/>
        </w:rPr>
        <w:drawing>
          <wp:inline distT="0" distB="0" distL="0" distR="0" wp14:anchorId="29055D69" wp14:editId="49E42116">
            <wp:extent cx="3798570" cy="1676400"/>
            <wp:effectExtent l="0" t="0" r="0" b="0"/>
            <wp:docPr id="150062924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942C8B" w14:textId="4B975C2B" w:rsidR="003A6DD6" w:rsidRDefault="003A6DD6">
      <w:pPr>
        <w:rPr>
          <w:rFonts w:eastAsiaTheme="majorEastAsia" w:cstheme="majorBidi"/>
          <w:color w:val="0F4761" w:themeColor="accent1" w:themeShade="BF"/>
          <w:sz w:val="22"/>
          <w:szCs w:val="22"/>
        </w:rPr>
      </w:pPr>
    </w:p>
    <w:p w14:paraId="7633E629" w14:textId="2EF78B4E" w:rsidR="00ED2945" w:rsidRPr="000E7F93" w:rsidRDefault="00ED2945" w:rsidP="00D25872">
      <w:pPr>
        <w:pStyle w:val="Heading3"/>
        <w:numPr>
          <w:ilvl w:val="0"/>
          <w:numId w:val="30"/>
        </w:numPr>
        <w:spacing w:after="0"/>
      </w:pPr>
      <w:bookmarkStart w:id="6" w:name="_Toc195776383"/>
      <w:r w:rsidRPr="000E7F93">
        <w:lastRenderedPageBreak/>
        <w:t xml:space="preserve">Level </w:t>
      </w:r>
      <w:r w:rsidR="00B35454" w:rsidRPr="000E7F93">
        <w:t>of Use</w:t>
      </w:r>
      <w:bookmarkEnd w:id="6"/>
    </w:p>
    <w:p w14:paraId="2B830A56" w14:textId="77777777" w:rsidR="00F37749" w:rsidRDefault="00F37749" w:rsidP="00EC1650">
      <w:pPr>
        <w:spacing w:after="0" w:line="240" w:lineRule="auto"/>
        <w:rPr>
          <w:b/>
          <w:bCs/>
          <w:sz w:val="22"/>
          <w:szCs w:val="22"/>
        </w:rPr>
      </w:pPr>
    </w:p>
    <w:p w14:paraId="2B7D74BE" w14:textId="0EFCAC13" w:rsidR="00A25CA4" w:rsidRPr="00C01E20" w:rsidRDefault="006F0038" w:rsidP="00A545AA">
      <w:pPr>
        <w:spacing w:after="0" w:line="240" w:lineRule="auto"/>
        <w:jc w:val="both"/>
        <w:rPr>
          <w:sz w:val="22"/>
          <w:szCs w:val="22"/>
        </w:rPr>
      </w:pPr>
      <w:r w:rsidRPr="00C01E20">
        <w:rPr>
          <w:sz w:val="22"/>
          <w:szCs w:val="22"/>
        </w:rPr>
        <w:t xml:space="preserve">This cohort of questions </w:t>
      </w:r>
      <w:r w:rsidR="0022712C" w:rsidRPr="00C01E20">
        <w:rPr>
          <w:sz w:val="22"/>
          <w:szCs w:val="22"/>
        </w:rPr>
        <w:t>assess</w:t>
      </w:r>
      <w:r w:rsidR="00A25CA4" w:rsidRPr="00C01E20">
        <w:rPr>
          <w:sz w:val="22"/>
          <w:szCs w:val="22"/>
        </w:rPr>
        <w:t>es</w:t>
      </w:r>
      <w:r w:rsidR="0022712C" w:rsidRPr="00C01E20">
        <w:rPr>
          <w:sz w:val="22"/>
          <w:szCs w:val="22"/>
        </w:rPr>
        <w:t xml:space="preserve"> the status of</w:t>
      </w:r>
      <w:r w:rsidRPr="00C01E20">
        <w:rPr>
          <w:sz w:val="22"/>
          <w:szCs w:val="22"/>
        </w:rPr>
        <w:t xml:space="preserve"> the </w:t>
      </w:r>
      <w:r w:rsidR="009B294D" w:rsidRPr="00C01E20">
        <w:rPr>
          <w:sz w:val="22"/>
          <w:szCs w:val="22"/>
        </w:rPr>
        <w:t>gra</w:t>
      </w:r>
      <w:r w:rsidR="0044728C" w:rsidRPr="00C01E20">
        <w:rPr>
          <w:sz w:val="22"/>
          <w:szCs w:val="22"/>
        </w:rPr>
        <w:t>n</w:t>
      </w:r>
      <w:r w:rsidR="00146E43" w:rsidRPr="00C01E20">
        <w:rPr>
          <w:sz w:val="22"/>
          <w:szCs w:val="22"/>
        </w:rPr>
        <w:t>u</w:t>
      </w:r>
      <w:r w:rsidR="0044728C" w:rsidRPr="00C01E20">
        <w:rPr>
          <w:sz w:val="22"/>
          <w:szCs w:val="22"/>
        </w:rPr>
        <w:t>l</w:t>
      </w:r>
      <w:r w:rsidR="00146E43" w:rsidRPr="00C01E20">
        <w:rPr>
          <w:sz w:val="22"/>
          <w:szCs w:val="22"/>
        </w:rPr>
        <w:t>a</w:t>
      </w:r>
      <w:r w:rsidR="0044728C" w:rsidRPr="00C01E20">
        <w:rPr>
          <w:sz w:val="22"/>
          <w:szCs w:val="22"/>
        </w:rPr>
        <w:t>r</w:t>
      </w:r>
      <w:r w:rsidRPr="00C01E20">
        <w:rPr>
          <w:sz w:val="22"/>
          <w:szCs w:val="22"/>
        </w:rPr>
        <w:t xml:space="preserve"> level of </w:t>
      </w:r>
      <w:r w:rsidR="001978EB" w:rsidRPr="00C01E20">
        <w:rPr>
          <w:sz w:val="22"/>
          <w:szCs w:val="22"/>
        </w:rPr>
        <w:t>COFOG</w:t>
      </w:r>
      <w:r w:rsidR="0022712C" w:rsidRPr="00C01E20">
        <w:rPr>
          <w:sz w:val="22"/>
          <w:szCs w:val="22"/>
        </w:rPr>
        <w:t xml:space="preserve"> data </w:t>
      </w:r>
      <w:r w:rsidR="00CC0CE9" w:rsidRPr="00C01E20">
        <w:rPr>
          <w:sz w:val="22"/>
          <w:szCs w:val="22"/>
        </w:rPr>
        <w:t xml:space="preserve">based on </w:t>
      </w:r>
      <w:r w:rsidR="00A25CA4" w:rsidRPr="00C01E20">
        <w:rPr>
          <w:sz w:val="22"/>
          <w:szCs w:val="22"/>
        </w:rPr>
        <w:t>compilers, data providers</w:t>
      </w:r>
      <w:r w:rsidR="0001509B" w:rsidRPr="00C01E20">
        <w:rPr>
          <w:sz w:val="22"/>
          <w:szCs w:val="22"/>
        </w:rPr>
        <w:t xml:space="preserve"> </w:t>
      </w:r>
      <w:r w:rsidR="006B33D0" w:rsidRPr="00C01E20">
        <w:rPr>
          <w:sz w:val="22"/>
          <w:szCs w:val="22"/>
        </w:rPr>
        <w:t xml:space="preserve">and </w:t>
      </w:r>
      <w:r w:rsidR="00A25CA4" w:rsidRPr="00C01E20">
        <w:rPr>
          <w:sz w:val="22"/>
          <w:szCs w:val="22"/>
        </w:rPr>
        <w:t>use</w:t>
      </w:r>
      <w:r w:rsidR="00A44C43" w:rsidRPr="00C01E20">
        <w:rPr>
          <w:sz w:val="22"/>
          <w:szCs w:val="22"/>
        </w:rPr>
        <w:t>r</w:t>
      </w:r>
      <w:r w:rsidR="00A25CA4" w:rsidRPr="00C01E20">
        <w:rPr>
          <w:sz w:val="22"/>
          <w:szCs w:val="22"/>
        </w:rPr>
        <w:t xml:space="preserve"> responses. </w:t>
      </w:r>
      <w:r w:rsidR="00A50683" w:rsidRPr="00C01E20">
        <w:rPr>
          <w:sz w:val="22"/>
          <w:szCs w:val="22"/>
        </w:rPr>
        <w:t xml:space="preserve"> The results indicate that</w:t>
      </w:r>
      <w:r w:rsidR="00A62005" w:rsidRPr="00C01E20">
        <w:rPr>
          <w:sz w:val="22"/>
          <w:szCs w:val="22"/>
        </w:rPr>
        <w:t xml:space="preserve"> while</w:t>
      </w:r>
      <w:r w:rsidR="00A45083" w:rsidRPr="00C01E20">
        <w:rPr>
          <w:sz w:val="22"/>
          <w:szCs w:val="22"/>
        </w:rPr>
        <w:t xml:space="preserve"> </w:t>
      </w:r>
      <w:r w:rsidR="008C38C8" w:rsidRPr="00C01E20">
        <w:rPr>
          <w:sz w:val="22"/>
          <w:szCs w:val="22"/>
        </w:rPr>
        <w:t>the majority</w:t>
      </w:r>
      <w:r w:rsidR="00A45083" w:rsidRPr="00C01E20">
        <w:rPr>
          <w:sz w:val="22"/>
          <w:szCs w:val="22"/>
        </w:rPr>
        <w:t xml:space="preserve"> of responding </w:t>
      </w:r>
      <w:r w:rsidR="00EA7E8F" w:rsidRPr="00C01E20">
        <w:rPr>
          <w:sz w:val="22"/>
          <w:szCs w:val="22"/>
        </w:rPr>
        <w:t>compilers</w:t>
      </w:r>
      <w:r w:rsidR="00FD093B" w:rsidRPr="00C01E20">
        <w:rPr>
          <w:sz w:val="22"/>
          <w:szCs w:val="22"/>
        </w:rPr>
        <w:t xml:space="preserve"> release data at </w:t>
      </w:r>
      <w:r w:rsidR="00F265AE" w:rsidRPr="00C01E20">
        <w:rPr>
          <w:sz w:val="22"/>
          <w:szCs w:val="22"/>
        </w:rPr>
        <w:t xml:space="preserve">a more aggregated level </w:t>
      </w:r>
      <w:r w:rsidR="00434C95" w:rsidRPr="00C01E20">
        <w:rPr>
          <w:sz w:val="22"/>
          <w:szCs w:val="22"/>
        </w:rPr>
        <w:t>(2 or 3 digit</w:t>
      </w:r>
      <w:r w:rsidR="009D3339">
        <w:rPr>
          <w:sz w:val="22"/>
          <w:szCs w:val="22"/>
        </w:rPr>
        <w:t>s</w:t>
      </w:r>
      <w:r w:rsidR="00434C95" w:rsidRPr="00C01E20">
        <w:rPr>
          <w:sz w:val="22"/>
          <w:szCs w:val="22"/>
        </w:rPr>
        <w:t xml:space="preserve">), COFOG data was compiled at </w:t>
      </w:r>
      <w:r w:rsidR="00E0176C" w:rsidRPr="00C01E20">
        <w:rPr>
          <w:sz w:val="22"/>
          <w:szCs w:val="22"/>
        </w:rPr>
        <w:t>a</w:t>
      </w:r>
      <w:r w:rsidR="00D71BEB" w:rsidRPr="00C01E20">
        <w:rPr>
          <w:sz w:val="22"/>
          <w:szCs w:val="22"/>
        </w:rPr>
        <w:t xml:space="preserve"> more granular level (</w:t>
      </w:r>
      <w:r w:rsidR="00E35F66" w:rsidRPr="00C01E20">
        <w:rPr>
          <w:sz w:val="22"/>
          <w:szCs w:val="22"/>
        </w:rPr>
        <w:t>4 or 5</w:t>
      </w:r>
      <w:r w:rsidR="009D3339">
        <w:rPr>
          <w:sz w:val="22"/>
          <w:szCs w:val="22"/>
        </w:rPr>
        <w:t xml:space="preserve"> </w:t>
      </w:r>
      <w:r w:rsidR="00E35F66" w:rsidRPr="00C01E20">
        <w:rPr>
          <w:sz w:val="22"/>
          <w:szCs w:val="22"/>
        </w:rPr>
        <w:t>digit</w:t>
      </w:r>
      <w:r w:rsidR="009D3339">
        <w:rPr>
          <w:sz w:val="22"/>
          <w:szCs w:val="22"/>
        </w:rPr>
        <w:t>s</w:t>
      </w:r>
      <w:r w:rsidR="00E35F66" w:rsidRPr="00C01E20">
        <w:rPr>
          <w:sz w:val="22"/>
          <w:szCs w:val="22"/>
        </w:rPr>
        <w:t>)</w:t>
      </w:r>
      <w:r w:rsidR="00434C95" w:rsidRPr="00C01E20">
        <w:rPr>
          <w:sz w:val="22"/>
          <w:szCs w:val="22"/>
        </w:rPr>
        <w:t xml:space="preserve"> by over half of the responde</w:t>
      </w:r>
      <w:r w:rsidR="009D3339">
        <w:rPr>
          <w:sz w:val="22"/>
          <w:szCs w:val="22"/>
        </w:rPr>
        <w:t>nts</w:t>
      </w:r>
      <w:r w:rsidR="00434C95" w:rsidRPr="00C01E20">
        <w:rPr>
          <w:sz w:val="22"/>
          <w:szCs w:val="22"/>
        </w:rPr>
        <w:t>. In addition,</w:t>
      </w:r>
      <w:r w:rsidR="00572DA1" w:rsidRPr="00C01E20">
        <w:rPr>
          <w:sz w:val="22"/>
          <w:szCs w:val="22"/>
        </w:rPr>
        <w:t xml:space="preserve"> users of COFOG wish to utilize it at a more detailed level than is generally published by providers and compilers.  </w:t>
      </w:r>
    </w:p>
    <w:p w14:paraId="1E580245" w14:textId="77777777" w:rsidR="00A25CA4" w:rsidRPr="00C01E20" w:rsidRDefault="00A25CA4" w:rsidP="00A545AA">
      <w:pPr>
        <w:spacing w:after="0" w:line="240" w:lineRule="auto"/>
        <w:jc w:val="both"/>
        <w:rPr>
          <w:sz w:val="22"/>
          <w:szCs w:val="22"/>
        </w:rPr>
      </w:pPr>
    </w:p>
    <w:p w14:paraId="15B58088" w14:textId="0E85A587" w:rsidR="000F532D" w:rsidRDefault="00A25CA4" w:rsidP="00A545AA">
      <w:pPr>
        <w:spacing w:after="0" w:line="240" w:lineRule="auto"/>
        <w:jc w:val="both"/>
        <w:rPr>
          <w:sz w:val="22"/>
          <w:szCs w:val="22"/>
        </w:rPr>
      </w:pPr>
      <w:r w:rsidRPr="00C01E20">
        <w:rPr>
          <w:sz w:val="22"/>
          <w:szCs w:val="22"/>
        </w:rPr>
        <w:t>Th</w:t>
      </w:r>
      <w:r w:rsidR="00E36514" w:rsidRPr="00C01E20">
        <w:rPr>
          <w:sz w:val="22"/>
          <w:szCs w:val="22"/>
        </w:rPr>
        <w:t>ese</w:t>
      </w:r>
      <w:r w:rsidRPr="00C01E20">
        <w:rPr>
          <w:sz w:val="22"/>
          <w:szCs w:val="22"/>
        </w:rPr>
        <w:t xml:space="preserve"> results </w:t>
      </w:r>
      <w:r w:rsidR="00DA0610" w:rsidRPr="00C01E20">
        <w:rPr>
          <w:sz w:val="22"/>
          <w:szCs w:val="22"/>
        </w:rPr>
        <w:t xml:space="preserve">would </w:t>
      </w:r>
      <w:r w:rsidRPr="00C01E20">
        <w:rPr>
          <w:sz w:val="22"/>
          <w:szCs w:val="22"/>
        </w:rPr>
        <w:t xml:space="preserve">serve as the input for </w:t>
      </w:r>
      <w:r w:rsidR="00232379" w:rsidRPr="00C01E20">
        <w:rPr>
          <w:sz w:val="22"/>
          <w:szCs w:val="22"/>
        </w:rPr>
        <w:t>discussion</w:t>
      </w:r>
      <w:r w:rsidRPr="00C01E20">
        <w:rPr>
          <w:sz w:val="22"/>
          <w:szCs w:val="22"/>
        </w:rPr>
        <w:t xml:space="preserve"> on</w:t>
      </w:r>
      <w:r w:rsidR="006B33D0" w:rsidRPr="00C01E20">
        <w:rPr>
          <w:sz w:val="22"/>
          <w:szCs w:val="22"/>
        </w:rPr>
        <w:t xml:space="preserve"> revision issue B1 on </w:t>
      </w:r>
      <w:r w:rsidR="0039059C" w:rsidRPr="00C01E20">
        <w:rPr>
          <w:sz w:val="22"/>
          <w:szCs w:val="22"/>
        </w:rPr>
        <w:t>whether</w:t>
      </w:r>
      <w:r w:rsidR="00402BE1" w:rsidRPr="00C01E20">
        <w:rPr>
          <w:sz w:val="22"/>
          <w:szCs w:val="22"/>
        </w:rPr>
        <w:t xml:space="preserve"> the </w:t>
      </w:r>
      <w:r w:rsidR="0039059C" w:rsidRPr="00C01E20">
        <w:rPr>
          <w:sz w:val="22"/>
          <w:szCs w:val="22"/>
        </w:rPr>
        <w:t>current three-</w:t>
      </w:r>
      <w:r w:rsidR="006B33D0" w:rsidRPr="00C01E20">
        <w:rPr>
          <w:sz w:val="22"/>
          <w:szCs w:val="22"/>
        </w:rPr>
        <w:t>level structure</w:t>
      </w:r>
      <w:r w:rsidR="0039059C" w:rsidRPr="00C01E20">
        <w:rPr>
          <w:sz w:val="22"/>
          <w:szCs w:val="22"/>
        </w:rPr>
        <w:t xml:space="preserve"> is adequate, and on whether </w:t>
      </w:r>
      <w:r w:rsidR="00A02209">
        <w:rPr>
          <w:sz w:val="22"/>
          <w:szCs w:val="22"/>
        </w:rPr>
        <w:t xml:space="preserve">an </w:t>
      </w:r>
      <w:r w:rsidR="0039059C" w:rsidRPr="00C01E20">
        <w:rPr>
          <w:sz w:val="22"/>
          <w:szCs w:val="22"/>
        </w:rPr>
        <w:t>addition</w:t>
      </w:r>
      <w:r w:rsidR="00EF7E21">
        <w:rPr>
          <w:sz w:val="22"/>
          <w:szCs w:val="22"/>
        </w:rPr>
        <w:t>al</w:t>
      </w:r>
      <w:r w:rsidR="0039059C" w:rsidRPr="00C01E20">
        <w:rPr>
          <w:sz w:val="22"/>
          <w:szCs w:val="22"/>
        </w:rPr>
        <w:t xml:space="preserve"> level or extension is required to improve the granularity of the classification.</w:t>
      </w:r>
    </w:p>
    <w:p w14:paraId="3B7103E1" w14:textId="77777777" w:rsidR="002354B3" w:rsidRPr="00C01E20" w:rsidRDefault="002354B3" w:rsidP="00A545AA">
      <w:pPr>
        <w:spacing w:after="0" w:line="240" w:lineRule="auto"/>
        <w:jc w:val="both"/>
        <w:rPr>
          <w:sz w:val="22"/>
          <w:szCs w:val="22"/>
        </w:rPr>
      </w:pPr>
    </w:p>
    <w:p w14:paraId="2B40E087" w14:textId="77777777" w:rsidR="000F532D" w:rsidRDefault="000F532D" w:rsidP="00EC1650">
      <w:pPr>
        <w:spacing w:after="0" w:line="240" w:lineRule="auto"/>
        <w:rPr>
          <w:b/>
          <w:bCs/>
          <w:sz w:val="22"/>
          <w:szCs w:val="22"/>
        </w:rPr>
      </w:pPr>
    </w:p>
    <w:p w14:paraId="6E28A4EA" w14:textId="08DDB0B1" w:rsidR="007E51E6" w:rsidRDefault="00F37749" w:rsidP="007C5333">
      <w:pPr>
        <w:spacing w:after="0" w:line="240" w:lineRule="auto"/>
        <w:rPr>
          <w:b/>
          <w:bCs/>
          <w:sz w:val="22"/>
          <w:szCs w:val="22"/>
        </w:rPr>
      </w:pPr>
      <w:r>
        <w:rPr>
          <w:b/>
          <w:bCs/>
          <w:sz w:val="22"/>
          <w:szCs w:val="22"/>
        </w:rPr>
        <w:t xml:space="preserve">Q10. For </w:t>
      </w:r>
      <w:r w:rsidRPr="004A0A9F">
        <w:rPr>
          <w:b/>
          <w:bCs/>
          <w:sz w:val="22"/>
          <w:szCs w:val="22"/>
          <w:u w:val="single"/>
        </w:rPr>
        <w:t>compilers/providers</w:t>
      </w:r>
      <w:r>
        <w:rPr>
          <w:b/>
          <w:bCs/>
          <w:sz w:val="22"/>
          <w:szCs w:val="22"/>
        </w:rPr>
        <w:t xml:space="preserve">:  </w:t>
      </w:r>
      <w:r w:rsidRPr="007A3BD8">
        <w:rPr>
          <w:b/>
          <w:bCs/>
          <w:sz w:val="22"/>
          <w:szCs w:val="22"/>
        </w:rPr>
        <w:t xml:space="preserve">At what level of detail does your institution </w:t>
      </w:r>
      <w:r w:rsidR="00355C67" w:rsidRPr="00355C67">
        <w:rPr>
          <w:rFonts w:ascii="Aptos" w:eastAsia="Arial" w:hAnsi="Aptos" w:cs="Aptos"/>
          <w:b/>
          <w:bCs/>
          <w:kern w:val="0"/>
          <w:sz w:val="22"/>
          <w:szCs w:val="22"/>
          <w:lang w:eastAsia="en-US"/>
          <w14:ligatures w14:val="none"/>
        </w:rPr>
        <w:t>provide COFOG source data or compile COFOG</w:t>
      </w:r>
      <w:r w:rsidRPr="007A3BD8">
        <w:rPr>
          <w:b/>
          <w:bCs/>
          <w:sz w:val="22"/>
          <w:szCs w:val="22"/>
        </w:rPr>
        <w:t>?</w:t>
      </w:r>
      <w:r w:rsidRPr="002E378D">
        <w:rPr>
          <w:sz w:val="22"/>
          <w:szCs w:val="22"/>
        </w:rPr>
        <w:t xml:space="preserve"> </w:t>
      </w:r>
      <w:r w:rsidRPr="0014189B">
        <w:rPr>
          <w:sz w:val="22"/>
          <w:szCs w:val="22"/>
        </w:rPr>
        <w:t>(Mark all that are applicable)</w:t>
      </w:r>
      <w:r>
        <w:rPr>
          <w:sz w:val="22"/>
          <w:szCs w:val="22"/>
        </w:rPr>
        <w:br/>
      </w:r>
    </w:p>
    <w:p w14:paraId="0590A6C0" w14:textId="25C3CC2C" w:rsidR="00BD56D4" w:rsidRPr="00E0031E" w:rsidRDefault="0099772C" w:rsidP="00E0031E">
      <w:pPr>
        <w:spacing w:after="0" w:line="240" w:lineRule="auto"/>
        <w:jc w:val="both"/>
        <w:rPr>
          <w:sz w:val="22"/>
          <w:szCs w:val="22"/>
        </w:rPr>
      </w:pPr>
      <w:r>
        <w:rPr>
          <w:sz w:val="22"/>
          <w:szCs w:val="22"/>
        </w:rPr>
        <w:t>Over</w:t>
      </w:r>
      <w:r w:rsidR="005C6A05" w:rsidRPr="00E0031E">
        <w:rPr>
          <w:sz w:val="22"/>
          <w:szCs w:val="22"/>
        </w:rPr>
        <w:t xml:space="preserve"> </w:t>
      </w:r>
      <w:r w:rsidR="00776784" w:rsidRPr="00E0031E">
        <w:rPr>
          <w:sz w:val="22"/>
          <w:szCs w:val="22"/>
        </w:rPr>
        <w:t xml:space="preserve">half of responding data compilers/providers </w:t>
      </w:r>
      <w:r w:rsidR="006052EA" w:rsidRPr="00E0031E">
        <w:rPr>
          <w:sz w:val="22"/>
          <w:szCs w:val="22"/>
        </w:rPr>
        <w:t xml:space="preserve">report providing or compiling COFOG data at the </w:t>
      </w:r>
      <w:r w:rsidR="005C6A05">
        <w:rPr>
          <w:sz w:val="22"/>
          <w:szCs w:val="22"/>
        </w:rPr>
        <w:t>4</w:t>
      </w:r>
      <w:r w:rsidR="006052EA" w:rsidRPr="00E0031E">
        <w:rPr>
          <w:sz w:val="22"/>
          <w:szCs w:val="22"/>
        </w:rPr>
        <w:t>-digit level</w:t>
      </w:r>
      <w:r w:rsidR="00994B75" w:rsidRPr="00E0031E">
        <w:rPr>
          <w:sz w:val="22"/>
          <w:szCs w:val="22"/>
        </w:rPr>
        <w:t xml:space="preserve"> (</w:t>
      </w:r>
      <w:r w:rsidR="005C6A05">
        <w:rPr>
          <w:sz w:val="22"/>
          <w:szCs w:val="22"/>
        </w:rPr>
        <w:t>45</w:t>
      </w:r>
      <w:r w:rsidR="00994B75" w:rsidRPr="00E0031E">
        <w:rPr>
          <w:sz w:val="22"/>
          <w:szCs w:val="22"/>
        </w:rPr>
        <w:t>%</w:t>
      </w:r>
      <w:r w:rsidR="001D4EA0">
        <w:rPr>
          <w:sz w:val="22"/>
          <w:szCs w:val="22"/>
        </w:rPr>
        <w:t>, n=</w:t>
      </w:r>
      <w:r w:rsidR="00F85F1E">
        <w:rPr>
          <w:sz w:val="22"/>
          <w:szCs w:val="22"/>
        </w:rPr>
        <w:t>31</w:t>
      </w:r>
      <w:r w:rsidR="00994B75" w:rsidRPr="00E0031E">
        <w:rPr>
          <w:sz w:val="22"/>
          <w:szCs w:val="22"/>
        </w:rPr>
        <w:t xml:space="preserve">) </w:t>
      </w:r>
      <w:r>
        <w:rPr>
          <w:sz w:val="22"/>
          <w:szCs w:val="22"/>
        </w:rPr>
        <w:t>or</w:t>
      </w:r>
      <w:r w:rsidRPr="00E0031E">
        <w:rPr>
          <w:sz w:val="22"/>
          <w:szCs w:val="22"/>
        </w:rPr>
        <w:t xml:space="preserve"> </w:t>
      </w:r>
      <w:r w:rsidR="00BD7889">
        <w:rPr>
          <w:sz w:val="22"/>
          <w:szCs w:val="22"/>
        </w:rPr>
        <w:t xml:space="preserve">an additional </w:t>
      </w:r>
      <w:r>
        <w:rPr>
          <w:sz w:val="22"/>
          <w:szCs w:val="22"/>
        </w:rPr>
        <w:t>5</w:t>
      </w:r>
      <w:r w:rsidR="00994B75" w:rsidRPr="00E0031E">
        <w:rPr>
          <w:sz w:val="22"/>
          <w:szCs w:val="22"/>
        </w:rPr>
        <w:t>-digit level (</w:t>
      </w:r>
      <w:r>
        <w:rPr>
          <w:sz w:val="22"/>
          <w:szCs w:val="22"/>
        </w:rPr>
        <w:t>9</w:t>
      </w:r>
      <w:r w:rsidR="00994B75" w:rsidRPr="00E0031E">
        <w:rPr>
          <w:sz w:val="22"/>
          <w:szCs w:val="22"/>
        </w:rPr>
        <w:t>%</w:t>
      </w:r>
      <w:r w:rsidR="00C070E9">
        <w:rPr>
          <w:sz w:val="22"/>
          <w:szCs w:val="22"/>
        </w:rPr>
        <w:t>, n=</w:t>
      </w:r>
      <w:r w:rsidR="00BD7889">
        <w:rPr>
          <w:sz w:val="22"/>
          <w:szCs w:val="22"/>
        </w:rPr>
        <w:t>6</w:t>
      </w:r>
      <w:r w:rsidR="00994B75" w:rsidRPr="00E0031E">
        <w:rPr>
          <w:sz w:val="22"/>
          <w:szCs w:val="22"/>
        </w:rPr>
        <w:t xml:space="preserve">).  </w:t>
      </w:r>
    </w:p>
    <w:p w14:paraId="26C0B0C6" w14:textId="77777777" w:rsidR="00BD56D4" w:rsidRDefault="00BD56D4" w:rsidP="00E0031E">
      <w:pPr>
        <w:spacing w:after="0" w:line="240" w:lineRule="auto"/>
        <w:jc w:val="both"/>
        <w:rPr>
          <w:sz w:val="22"/>
          <w:szCs w:val="22"/>
        </w:rPr>
      </w:pPr>
    </w:p>
    <w:p w14:paraId="38ADFBA5" w14:textId="66FAB332" w:rsidR="007C5333" w:rsidRDefault="00E6732F" w:rsidP="002354B3">
      <w:pPr>
        <w:spacing w:after="0" w:line="240" w:lineRule="auto"/>
        <w:jc w:val="both"/>
        <w:rPr>
          <w:sz w:val="22"/>
          <w:szCs w:val="22"/>
        </w:rPr>
      </w:pPr>
      <w:r>
        <w:rPr>
          <w:sz w:val="22"/>
          <w:szCs w:val="22"/>
        </w:rPr>
        <w:t xml:space="preserve">29% </w:t>
      </w:r>
      <w:r w:rsidR="00CD3F79">
        <w:rPr>
          <w:sz w:val="22"/>
          <w:szCs w:val="22"/>
        </w:rPr>
        <w:t>provide or compile COFOG data at the 3-digit level</w:t>
      </w:r>
      <w:r w:rsidR="00545033">
        <w:rPr>
          <w:sz w:val="22"/>
          <w:szCs w:val="22"/>
        </w:rPr>
        <w:t xml:space="preserve">, with the remaining 17% </w:t>
      </w:r>
      <w:r w:rsidR="008A78AA">
        <w:rPr>
          <w:sz w:val="22"/>
          <w:szCs w:val="22"/>
        </w:rPr>
        <w:t xml:space="preserve">providing or compiling data </w:t>
      </w:r>
      <w:r w:rsidR="00623F66">
        <w:rPr>
          <w:sz w:val="22"/>
          <w:szCs w:val="22"/>
        </w:rPr>
        <w:t xml:space="preserve">at the 2-digit level.  </w:t>
      </w:r>
    </w:p>
    <w:p w14:paraId="60EE8916" w14:textId="21D78E80" w:rsidR="00763C99" w:rsidRDefault="007E51E6" w:rsidP="00A8208C">
      <w:pPr>
        <w:spacing w:after="0" w:line="240" w:lineRule="auto"/>
        <w:rPr>
          <w:b/>
          <w:bCs/>
          <w:sz w:val="22"/>
          <w:szCs w:val="22"/>
        </w:rPr>
      </w:pPr>
      <w:r>
        <w:rPr>
          <w:noProof/>
          <w:sz w:val="22"/>
          <w:szCs w:val="22"/>
        </w:rPr>
        <w:drawing>
          <wp:inline distT="0" distB="0" distL="0" distR="0" wp14:anchorId="526CB188" wp14:editId="13D65B55">
            <wp:extent cx="5954486" cy="1958975"/>
            <wp:effectExtent l="0" t="0" r="8255" b="3175"/>
            <wp:docPr id="52081912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6F4221" w14:textId="77777777" w:rsidR="002354B3" w:rsidRDefault="002354B3" w:rsidP="00E27348">
      <w:pPr>
        <w:spacing w:after="0" w:line="240" w:lineRule="auto"/>
        <w:rPr>
          <w:b/>
          <w:bCs/>
          <w:sz w:val="22"/>
          <w:szCs w:val="22"/>
        </w:rPr>
      </w:pPr>
    </w:p>
    <w:p w14:paraId="0ACB41BC" w14:textId="3AB97FF9" w:rsidR="005163A0" w:rsidRDefault="00CF405C" w:rsidP="00E27348">
      <w:pPr>
        <w:spacing w:after="0" w:line="240" w:lineRule="auto"/>
        <w:rPr>
          <w:sz w:val="22"/>
          <w:szCs w:val="22"/>
        </w:rPr>
      </w:pPr>
      <w:r>
        <w:rPr>
          <w:b/>
          <w:bCs/>
          <w:sz w:val="22"/>
          <w:szCs w:val="22"/>
        </w:rPr>
        <w:t xml:space="preserve">Q11. </w:t>
      </w:r>
      <w:r w:rsidR="00C164B2">
        <w:rPr>
          <w:b/>
          <w:bCs/>
          <w:sz w:val="22"/>
          <w:szCs w:val="22"/>
        </w:rPr>
        <w:t xml:space="preserve">For </w:t>
      </w:r>
      <w:r w:rsidR="00C164B2" w:rsidRPr="004A0A9F">
        <w:rPr>
          <w:b/>
          <w:bCs/>
          <w:sz w:val="22"/>
          <w:szCs w:val="22"/>
          <w:u w:val="single"/>
        </w:rPr>
        <w:t>compilers/providers</w:t>
      </w:r>
      <w:r w:rsidR="004A0A9F">
        <w:rPr>
          <w:b/>
          <w:bCs/>
          <w:sz w:val="22"/>
          <w:szCs w:val="22"/>
        </w:rPr>
        <w:t>:</w:t>
      </w:r>
      <w:r w:rsidR="00C164B2">
        <w:rPr>
          <w:b/>
          <w:bCs/>
          <w:sz w:val="22"/>
          <w:szCs w:val="22"/>
        </w:rPr>
        <w:t xml:space="preserve"> </w:t>
      </w:r>
      <w:r w:rsidR="004A0A9F">
        <w:rPr>
          <w:b/>
          <w:bCs/>
          <w:sz w:val="22"/>
          <w:szCs w:val="22"/>
        </w:rPr>
        <w:t xml:space="preserve"> </w:t>
      </w:r>
      <w:r w:rsidR="002E378D" w:rsidRPr="007A3BD8">
        <w:rPr>
          <w:b/>
          <w:bCs/>
          <w:sz w:val="22"/>
          <w:szCs w:val="22"/>
        </w:rPr>
        <w:t>At what level of detail does your institution publish COFOG data?</w:t>
      </w:r>
      <w:r w:rsidR="002E378D" w:rsidRPr="002E378D">
        <w:rPr>
          <w:sz w:val="22"/>
          <w:szCs w:val="22"/>
        </w:rPr>
        <w:t xml:space="preserve"> </w:t>
      </w:r>
      <w:r w:rsidR="00EC1650" w:rsidRPr="00B878CA">
        <w:rPr>
          <w:sz w:val="22"/>
          <w:szCs w:val="22"/>
        </w:rPr>
        <w:t>(Mark all that are applicable)</w:t>
      </w:r>
      <w:r w:rsidR="006A4ADF" w:rsidRPr="00B878CA">
        <w:rPr>
          <w:sz w:val="22"/>
          <w:szCs w:val="22"/>
        </w:rPr>
        <w:br/>
      </w:r>
    </w:p>
    <w:p w14:paraId="148B5E00" w14:textId="719A5E02" w:rsidR="00CF405C" w:rsidRPr="00E0031E" w:rsidRDefault="003D7DA2" w:rsidP="00E0031E">
      <w:pPr>
        <w:spacing w:after="0" w:line="240" w:lineRule="auto"/>
        <w:jc w:val="both"/>
        <w:rPr>
          <w:sz w:val="22"/>
          <w:szCs w:val="22"/>
        </w:rPr>
      </w:pPr>
      <w:r>
        <w:rPr>
          <w:sz w:val="22"/>
          <w:szCs w:val="22"/>
        </w:rPr>
        <w:t xml:space="preserve">With respect to how they publish COFOG data, </w:t>
      </w:r>
      <w:r w:rsidR="001A6A00">
        <w:rPr>
          <w:sz w:val="22"/>
          <w:szCs w:val="22"/>
        </w:rPr>
        <w:t xml:space="preserve">7% of </w:t>
      </w:r>
      <w:r w:rsidR="00053652" w:rsidRPr="00E0031E">
        <w:rPr>
          <w:sz w:val="22"/>
          <w:szCs w:val="22"/>
        </w:rPr>
        <w:t>c</w:t>
      </w:r>
      <w:r w:rsidR="00391B80" w:rsidRPr="00E0031E">
        <w:rPr>
          <w:sz w:val="22"/>
          <w:szCs w:val="22"/>
        </w:rPr>
        <w:t xml:space="preserve">ompilers/providers </w:t>
      </w:r>
      <w:r w:rsidR="00053652" w:rsidRPr="00E0031E">
        <w:rPr>
          <w:sz w:val="22"/>
          <w:szCs w:val="22"/>
        </w:rPr>
        <w:t>(</w:t>
      </w:r>
      <w:r w:rsidR="00EE130D">
        <w:rPr>
          <w:sz w:val="22"/>
          <w:szCs w:val="22"/>
        </w:rPr>
        <w:t>n=</w:t>
      </w:r>
      <w:r w:rsidR="004709C2">
        <w:rPr>
          <w:sz w:val="22"/>
          <w:szCs w:val="22"/>
        </w:rPr>
        <w:t>5</w:t>
      </w:r>
      <w:r w:rsidR="00053652" w:rsidRPr="00E0031E">
        <w:rPr>
          <w:sz w:val="22"/>
          <w:szCs w:val="22"/>
        </w:rPr>
        <w:t xml:space="preserve">) </w:t>
      </w:r>
      <w:r w:rsidR="00391B80" w:rsidRPr="00E0031E">
        <w:rPr>
          <w:sz w:val="22"/>
          <w:szCs w:val="22"/>
        </w:rPr>
        <w:t>report publishing</w:t>
      </w:r>
      <w:r w:rsidR="00053652" w:rsidRPr="00E0031E">
        <w:rPr>
          <w:sz w:val="22"/>
          <w:szCs w:val="22"/>
        </w:rPr>
        <w:t xml:space="preserve"> at </w:t>
      </w:r>
      <w:r w:rsidR="001A6A00">
        <w:rPr>
          <w:sz w:val="22"/>
          <w:szCs w:val="22"/>
        </w:rPr>
        <w:t>an additional</w:t>
      </w:r>
      <w:r w:rsidR="00053652" w:rsidRPr="00E0031E">
        <w:rPr>
          <w:sz w:val="22"/>
          <w:szCs w:val="22"/>
        </w:rPr>
        <w:t xml:space="preserve"> </w:t>
      </w:r>
      <w:r w:rsidR="001A6A00">
        <w:rPr>
          <w:sz w:val="22"/>
          <w:szCs w:val="22"/>
        </w:rPr>
        <w:t>5</w:t>
      </w:r>
      <w:r w:rsidR="00053652" w:rsidRPr="00E0031E">
        <w:rPr>
          <w:sz w:val="22"/>
          <w:szCs w:val="22"/>
        </w:rPr>
        <w:t xml:space="preserve">-digit level, and </w:t>
      </w:r>
      <w:r w:rsidR="00A8208C">
        <w:rPr>
          <w:sz w:val="22"/>
          <w:szCs w:val="22"/>
        </w:rPr>
        <w:t>22</w:t>
      </w:r>
      <w:r w:rsidR="00053652" w:rsidRPr="00E0031E">
        <w:rPr>
          <w:sz w:val="22"/>
          <w:szCs w:val="22"/>
        </w:rPr>
        <w:t>%</w:t>
      </w:r>
      <w:r w:rsidR="002B2618">
        <w:rPr>
          <w:sz w:val="22"/>
          <w:szCs w:val="22"/>
        </w:rPr>
        <w:t xml:space="preserve"> </w:t>
      </w:r>
      <w:r w:rsidR="001C11DF">
        <w:rPr>
          <w:sz w:val="22"/>
          <w:szCs w:val="22"/>
        </w:rPr>
        <w:t>(</w:t>
      </w:r>
      <w:r w:rsidR="002B2618">
        <w:rPr>
          <w:sz w:val="22"/>
          <w:szCs w:val="22"/>
        </w:rPr>
        <w:t>n=</w:t>
      </w:r>
      <w:r w:rsidR="004A6BDE">
        <w:rPr>
          <w:sz w:val="22"/>
          <w:szCs w:val="22"/>
        </w:rPr>
        <w:t>15</w:t>
      </w:r>
      <w:r w:rsidR="00452C9C" w:rsidRPr="00E0031E">
        <w:rPr>
          <w:sz w:val="22"/>
          <w:szCs w:val="22"/>
        </w:rPr>
        <w:t>)</w:t>
      </w:r>
      <w:r w:rsidR="00053652" w:rsidRPr="00E0031E">
        <w:rPr>
          <w:sz w:val="22"/>
          <w:szCs w:val="22"/>
        </w:rPr>
        <w:t xml:space="preserve"> publish at the </w:t>
      </w:r>
      <w:r w:rsidR="004A6BDE">
        <w:rPr>
          <w:sz w:val="22"/>
          <w:szCs w:val="22"/>
        </w:rPr>
        <w:t>4</w:t>
      </w:r>
      <w:r w:rsidR="00FE144C" w:rsidRPr="00E0031E">
        <w:rPr>
          <w:sz w:val="22"/>
          <w:szCs w:val="22"/>
        </w:rPr>
        <w:t>-digit</w:t>
      </w:r>
      <w:r w:rsidR="000513BE" w:rsidRPr="00E0031E">
        <w:rPr>
          <w:sz w:val="22"/>
          <w:szCs w:val="22"/>
        </w:rPr>
        <w:t xml:space="preserve"> level.  </w:t>
      </w:r>
    </w:p>
    <w:p w14:paraId="18AAF658" w14:textId="77777777" w:rsidR="000513BE" w:rsidRDefault="000513BE" w:rsidP="00E0031E">
      <w:pPr>
        <w:spacing w:after="0" w:line="240" w:lineRule="auto"/>
        <w:jc w:val="both"/>
        <w:rPr>
          <w:sz w:val="22"/>
          <w:szCs w:val="22"/>
        </w:rPr>
      </w:pPr>
    </w:p>
    <w:p w14:paraId="73C1B356" w14:textId="4FAB8528" w:rsidR="00173ECD" w:rsidRDefault="00554DEA" w:rsidP="00A8208C">
      <w:pPr>
        <w:spacing w:after="0" w:line="240" w:lineRule="auto"/>
        <w:jc w:val="both"/>
        <w:rPr>
          <w:sz w:val="22"/>
          <w:szCs w:val="22"/>
        </w:rPr>
      </w:pPr>
      <w:r>
        <w:rPr>
          <w:sz w:val="22"/>
          <w:szCs w:val="22"/>
        </w:rPr>
        <w:t>A plurality</w:t>
      </w:r>
      <w:r w:rsidR="000513BE" w:rsidRPr="00E0031E">
        <w:rPr>
          <w:sz w:val="22"/>
          <w:szCs w:val="22"/>
        </w:rPr>
        <w:t xml:space="preserve"> </w:t>
      </w:r>
      <w:r w:rsidR="00FE144C" w:rsidRPr="00E0031E">
        <w:rPr>
          <w:sz w:val="22"/>
          <w:szCs w:val="22"/>
        </w:rPr>
        <w:t>(</w:t>
      </w:r>
      <w:r>
        <w:rPr>
          <w:sz w:val="22"/>
          <w:szCs w:val="22"/>
        </w:rPr>
        <w:t>38</w:t>
      </w:r>
      <w:r w:rsidR="00FE144C" w:rsidRPr="00E0031E">
        <w:rPr>
          <w:sz w:val="22"/>
          <w:szCs w:val="22"/>
        </w:rPr>
        <w:t>%</w:t>
      </w:r>
      <w:r w:rsidR="002B2618">
        <w:rPr>
          <w:sz w:val="22"/>
          <w:szCs w:val="22"/>
        </w:rPr>
        <w:t>, n=</w:t>
      </w:r>
      <w:r w:rsidR="0008030D">
        <w:rPr>
          <w:sz w:val="22"/>
          <w:szCs w:val="22"/>
        </w:rPr>
        <w:t>26</w:t>
      </w:r>
      <w:r w:rsidR="00FE144C" w:rsidRPr="00E0031E">
        <w:rPr>
          <w:sz w:val="22"/>
          <w:szCs w:val="22"/>
        </w:rPr>
        <w:t xml:space="preserve">) publish at the </w:t>
      </w:r>
      <w:r w:rsidR="0008030D">
        <w:rPr>
          <w:sz w:val="22"/>
          <w:szCs w:val="22"/>
        </w:rPr>
        <w:t>3</w:t>
      </w:r>
      <w:r w:rsidR="00FE144C" w:rsidRPr="00E0031E">
        <w:rPr>
          <w:sz w:val="22"/>
          <w:szCs w:val="22"/>
        </w:rPr>
        <w:t xml:space="preserve">-digit level, with </w:t>
      </w:r>
      <w:r w:rsidR="007E31FD" w:rsidRPr="00E0031E">
        <w:rPr>
          <w:sz w:val="22"/>
          <w:szCs w:val="22"/>
        </w:rPr>
        <w:t>a</w:t>
      </w:r>
      <w:r w:rsidR="0008030D">
        <w:rPr>
          <w:sz w:val="22"/>
          <w:szCs w:val="22"/>
        </w:rPr>
        <w:t>n additional 32%</w:t>
      </w:r>
      <w:r w:rsidR="007E31FD" w:rsidRPr="00E0031E">
        <w:rPr>
          <w:sz w:val="22"/>
          <w:szCs w:val="22"/>
        </w:rPr>
        <w:t xml:space="preserve"> (</w:t>
      </w:r>
      <w:r w:rsidR="002B2618">
        <w:rPr>
          <w:sz w:val="22"/>
          <w:szCs w:val="22"/>
        </w:rPr>
        <w:t>n=</w:t>
      </w:r>
      <w:r w:rsidR="0008030D">
        <w:rPr>
          <w:sz w:val="22"/>
          <w:szCs w:val="22"/>
        </w:rPr>
        <w:t>22</w:t>
      </w:r>
      <w:r w:rsidR="007E31FD" w:rsidRPr="00E0031E">
        <w:rPr>
          <w:sz w:val="22"/>
          <w:szCs w:val="22"/>
        </w:rPr>
        <w:t xml:space="preserve">) </w:t>
      </w:r>
      <w:r w:rsidR="0008030D">
        <w:rPr>
          <w:sz w:val="22"/>
          <w:szCs w:val="22"/>
        </w:rPr>
        <w:t xml:space="preserve">publishing </w:t>
      </w:r>
      <w:r w:rsidR="006355BE" w:rsidRPr="00E0031E">
        <w:rPr>
          <w:sz w:val="22"/>
          <w:szCs w:val="22"/>
        </w:rPr>
        <w:t xml:space="preserve">at </w:t>
      </w:r>
      <w:r w:rsidR="0008030D">
        <w:rPr>
          <w:sz w:val="22"/>
          <w:szCs w:val="22"/>
        </w:rPr>
        <w:t>the lowest 2-digit level</w:t>
      </w:r>
      <w:r w:rsidR="006355BE" w:rsidRPr="00E0031E">
        <w:rPr>
          <w:sz w:val="22"/>
          <w:szCs w:val="22"/>
        </w:rPr>
        <w:t>.</w:t>
      </w:r>
    </w:p>
    <w:p w14:paraId="25F6E715" w14:textId="67E79409" w:rsidR="004A237E" w:rsidRDefault="004A237E" w:rsidP="00AE36A7">
      <w:pPr>
        <w:spacing w:after="0" w:line="240" w:lineRule="auto"/>
        <w:jc w:val="both"/>
        <w:rPr>
          <w:sz w:val="22"/>
          <w:szCs w:val="22"/>
        </w:rPr>
      </w:pPr>
      <w:r>
        <w:rPr>
          <w:noProof/>
          <w:sz w:val="22"/>
          <w:szCs w:val="22"/>
        </w:rPr>
        <w:lastRenderedPageBreak/>
        <w:drawing>
          <wp:inline distT="0" distB="0" distL="0" distR="0" wp14:anchorId="38412B07" wp14:editId="4B658935">
            <wp:extent cx="5854700" cy="1676400"/>
            <wp:effectExtent l="0" t="0" r="0" b="0"/>
            <wp:docPr id="200503045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9210F71" w14:textId="0B94D733" w:rsidR="00173ECD" w:rsidRPr="00E0031E" w:rsidRDefault="00173ECD" w:rsidP="00E0031E">
      <w:pPr>
        <w:spacing w:after="0" w:line="240" w:lineRule="auto"/>
        <w:jc w:val="both"/>
        <w:rPr>
          <w:sz w:val="22"/>
          <w:szCs w:val="22"/>
        </w:rPr>
      </w:pPr>
      <w:r w:rsidRPr="00E0031E">
        <w:rPr>
          <w:sz w:val="22"/>
          <w:szCs w:val="22"/>
        </w:rPr>
        <w:t>Thus, compilers/providers</w:t>
      </w:r>
      <w:r w:rsidR="00720919" w:rsidRPr="00E0031E">
        <w:rPr>
          <w:sz w:val="22"/>
          <w:szCs w:val="22"/>
        </w:rPr>
        <w:t xml:space="preserve">, not surprisingly, tend to publish data at a slightly </w:t>
      </w:r>
      <w:r w:rsidR="00381C39">
        <w:rPr>
          <w:sz w:val="22"/>
          <w:szCs w:val="22"/>
        </w:rPr>
        <w:t xml:space="preserve">more </w:t>
      </w:r>
      <w:r w:rsidR="70F82523" w:rsidRPr="351ECB96">
        <w:rPr>
          <w:sz w:val="22"/>
          <w:szCs w:val="22"/>
        </w:rPr>
        <w:t>aggregated</w:t>
      </w:r>
      <w:r w:rsidR="3D744879" w:rsidRPr="23F2667B">
        <w:rPr>
          <w:sz w:val="22"/>
          <w:szCs w:val="22"/>
        </w:rPr>
        <w:t xml:space="preserve"> </w:t>
      </w:r>
      <w:r w:rsidR="00720919" w:rsidRPr="00E0031E">
        <w:rPr>
          <w:sz w:val="22"/>
          <w:szCs w:val="22"/>
        </w:rPr>
        <w:t xml:space="preserve">level of detail </w:t>
      </w:r>
      <w:r w:rsidR="000557FA" w:rsidRPr="00E0031E">
        <w:rPr>
          <w:sz w:val="22"/>
          <w:szCs w:val="22"/>
        </w:rPr>
        <w:t>than they compile/provide data.</w:t>
      </w:r>
      <w:r w:rsidRPr="00E0031E">
        <w:rPr>
          <w:sz w:val="22"/>
          <w:szCs w:val="22"/>
        </w:rPr>
        <w:t xml:space="preserve"> </w:t>
      </w:r>
    </w:p>
    <w:p w14:paraId="6EF03777" w14:textId="2673917E" w:rsidR="000513BE" w:rsidRDefault="000513BE" w:rsidP="00173ECD">
      <w:pPr>
        <w:spacing w:after="0" w:line="240" w:lineRule="auto"/>
        <w:jc w:val="both"/>
        <w:rPr>
          <w:sz w:val="22"/>
          <w:szCs w:val="22"/>
        </w:rPr>
      </w:pPr>
    </w:p>
    <w:p w14:paraId="14AEA0FD" w14:textId="77777777" w:rsidR="00391B80" w:rsidRDefault="00391B80" w:rsidP="00173ECD">
      <w:pPr>
        <w:spacing w:after="0" w:line="240" w:lineRule="auto"/>
        <w:jc w:val="both"/>
        <w:rPr>
          <w:sz w:val="22"/>
          <w:szCs w:val="22"/>
        </w:rPr>
      </w:pPr>
    </w:p>
    <w:p w14:paraId="518ED645" w14:textId="0134978A" w:rsidR="00CF405C" w:rsidRDefault="00C164B2" w:rsidP="00CF405C">
      <w:pPr>
        <w:spacing w:after="0" w:line="240" w:lineRule="auto"/>
        <w:rPr>
          <w:sz w:val="22"/>
          <w:szCs w:val="22"/>
        </w:rPr>
      </w:pPr>
      <w:r>
        <w:rPr>
          <w:b/>
          <w:bCs/>
          <w:sz w:val="22"/>
          <w:szCs w:val="22"/>
        </w:rPr>
        <w:t xml:space="preserve">Q17. For </w:t>
      </w:r>
      <w:r w:rsidRPr="004A0A9F">
        <w:rPr>
          <w:b/>
          <w:bCs/>
          <w:sz w:val="22"/>
          <w:szCs w:val="22"/>
          <w:u w:val="single"/>
        </w:rPr>
        <w:t>users</w:t>
      </w:r>
      <w:r w:rsidR="004A0A9F">
        <w:rPr>
          <w:b/>
          <w:bCs/>
          <w:sz w:val="22"/>
          <w:szCs w:val="22"/>
        </w:rPr>
        <w:t>:</w:t>
      </w:r>
      <w:r>
        <w:rPr>
          <w:b/>
          <w:bCs/>
          <w:sz w:val="22"/>
          <w:szCs w:val="22"/>
        </w:rPr>
        <w:t xml:space="preserve"> </w:t>
      </w:r>
      <w:r w:rsidR="004A0A9F">
        <w:rPr>
          <w:b/>
          <w:bCs/>
          <w:sz w:val="22"/>
          <w:szCs w:val="22"/>
        </w:rPr>
        <w:t xml:space="preserve"> </w:t>
      </w:r>
      <w:r w:rsidR="00CF405C" w:rsidRPr="007A3BD8">
        <w:rPr>
          <w:b/>
          <w:bCs/>
          <w:sz w:val="22"/>
          <w:szCs w:val="22"/>
        </w:rPr>
        <w:t xml:space="preserve">At what level of detail does your institution </w:t>
      </w:r>
      <w:r w:rsidR="005665B3">
        <w:rPr>
          <w:b/>
          <w:bCs/>
          <w:sz w:val="22"/>
          <w:szCs w:val="22"/>
        </w:rPr>
        <w:t>utilize</w:t>
      </w:r>
      <w:r w:rsidR="00CF405C" w:rsidRPr="007A3BD8">
        <w:rPr>
          <w:b/>
          <w:bCs/>
          <w:sz w:val="22"/>
          <w:szCs w:val="22"/>
        </w:rPr>
        <w:t xml:space="preserve"> COFOG data?</w:t>
      </w:r>
      <w:r w:rsidR="00CF405C" w:rsidRPr="002E378D">
        <w:rPr>
          <w:sz w:val="22"/>
          <w:szCs w:val="22"/>
        </w:rPr>
        <w:t xml:space="preserve"> </w:t>
      </w:r>
      <w:r w:rsidR="00CF405C">
        <w:rPr>
          <w:sz w:val="22"/>
          <w:szCs w:val="22"/>
        </w:rPr>
        <w:br/>
      </w:r>
      <w:r w:rsidR="00EC1650" w:rsidRPr="00B878CA">
        <w:rPr>
          <w:sz w:val="22"/>
          <w:szCs w:val="22"/>
        </w:rPr>
        <w:t>(Mark all that are applicable)</w:t>
      </w:r>
    </w:p>
    <w:p w14:paraId="03F25AE6" w14:textId="7227F025" w:rsidR="005665B3" w:rsidRDefault="005665B3" w:rsidP="00485B5A">
      <w:pPr>
        <w:spacing w:after="0" w:line="240" w:lineRule="auto"/>
        <w:jc w:val="both"/>
        <w:rPr>
          <w:b/>
          <w:bCs/>
          <w:sz w:val="22"/>
          <w:szCs w:val="22"/>
          <w:u w:val="single"/>
        </w:rPr>
      </w:pPr>
    </w:p>
    <w:p w14:paraId="5FB2CEE0" w14:textId="781000C5" w:rsidR="0008030D" w:rsidRDefault="0008030D" w:rsidP="000B1390">
      <w:pPr>
        <w:spacing w:after="0" w:line="240" w:lineRule="auto"/>
        <w:jc w:val="both"/>
        <w:rPr>
          <w:sz w:val="22"/>
          <w:szCs w:val="22"/>
        </w:rPr>
      </w:pPr>
      <w:r>
        <w:rPr>
          <w:sz w:val="22"/>
          <w:szCs w:val="22"/>
        </w:rPr>
        <w:t>For users</w:t>
      </w:r>
      <w:r w:rsidR="009A187A">
        <w:rPr>
          <w:sz w:val="22"/>
          <w:szCs w:val="22"/>
        </w:rPr>
        <w:t xml:space="preserve">, </w:t>
      </w:r>
      <w:r w:rsidR="001470F3">
        <w:rPr>
          <w:sz w:val="22"/>
          <w:szCs w:val="22"/>
        </w:rPr>
        <w:t>a significant proportion (16%, n=</w:t>
      </w:r>
      <w:r w:rsidR="00DE0592">
        <w:rPr>
          <w:sz w:val="22"/>
          <w:szCs w:val="22"/>
        </w:rPr>
        <w:t xml:space="preserve">7) utilize COFOG data at additional levels of detail.  </w:t>
      </w:r>
    </w:p>
    <w:p w14:paraId="241BDBB7" w14:textId="77777777" w:rsidR="0008030D" w:rsidRDefault="0008030D" w:rsidP="00E0031E">
      <w:pPr>
        <w:spacing w:after="0" w:line="240" w:lineRule="auto"/>
        <w:jc w:val="both"/>
        <w:rPr>
          <w:sz w:val="22"/>
          <w:szCs w:val="22"/>
        </w:rPr>
      </w:pPr>
    </w:p>
    <w:p w14:paraId="6859D43E" w14:textId="1BA7F209" w:rsidR="00FF7429" w:rsidRPr="00E0031E" w:rsidRDefault="00EB6D38" w:rsidP="00E0031E">
      <w:pPr>
        <w:spacing w:after="0" w:line="240" w:lineRule="auto"/>
        <w:jc w:val="both"/>
        <w:rPr>
          <w:sz w:val="22"/>
          <w:szCs w:val="22"/>
        </w:rPr>
      </w:pPr>
      <w:r w:rsidRPr="00E0031E">
        <w:rPr>
          <w:sz w:val="22"/>
          <w:szCs w:val="22"/>
        </w:rPr>
        <w:t xml:space="preserve">A  </w:t>
      </w:r>
      <w:r w:rsidR="000B1390">
        <w:rPr>
          <w:sz w:val="22"/>
          <w:szCs w:val="22"/>
        </w:rPr>
        <w:t>plurality</w:t>
      </w:r>
      <w:r w:rsidR="000B1390" w:rsidRPr="00E0031E">
        <w:rPr>
          <w:sz w:val="22"/>
          <w:szCs w:val="22"/>
        </w:rPr>
        <w:t xml:space="preserve"> </w:t>
      </w:r>
      <w:r w:rsidRPr="00E0031E">
        <w:rPr>
          <w:sz w:val="22"/>
          <w:szCs w:val="22"/>
        </w:rPr>
        <w:t xml:space="preserve">of COFOG data users </w:t>
      </w:r>
      <w:r w:rsidR="00AF74D4" w:rsidRPr="00E0031E">
        <w:rPr>
          <w:sz w:val="22"/>
          <w:szCs w:val="22"/>
        </w:rPr>
        <w:t>(</w:t>
      </w:r>
      <w:r w:rsidR="000B1390">
        <w:rPr>
          <w:sz w:val="22"/>
          <w:szCs w:val="22"/>
        </w:rPr>
        <w:t>43</w:t>
      </w:r>
      <w:r w:rsidR="00AF74D4" w:rsidRPr="00E0031E">
        <w:rPr>
          <w:sz w:val="22"/>
          <w:szCs w:val="22"/>
        </w:rPr>
        <w:t>%</w:t>
      </w:r>
      <w:r w:rsidR="00064B9B">
        <w:rPr>
          <w:sz w:val="22"/>
          <w:szCs w:val="22"/>
        </w:rPr>
        <w:t>, n=</w:t>
      </w:r>
      <w:r w:rsidR="006811D0">
        <w:rPr>
          <w:sz w:val="22"/>
          <w:szCs w:val="22"/>
        </w:rPr>
        <w:t>19</w:t>
      </w:r>
      <w:r w:rsidR="00AF74D4" w:rsidRPr="00E0031E">
        <w:rPr>
          <w:sz w:val="22"/>
          <w:szCs w:val="22"/>
        </w:rPr>
        <w:t xml:space="preserve">) report utilizing COFOG at the </w:t>
      </w:r>
      <w:r w:rsidR="00A36991">
        <w:rPr>
          <w:sz w:val="22"/>
          <w:szCs w:val="22"/>
        </w:rPr>
        <w:t>most detailed official 4</w:t>
      </w:r>
      <w:r w:rsidR="00AF74D4" w:rsidRPr="00E0031E">
        <w:rPr>
          <w:sz w:val="22"/>
          <w:szCs w:val="22"/>
        </w:rPr>
        <w:t xml:space="preserve">-digit level. </w:t>
      </w:r>
    </w:p>
    <w:p w14:paraId="293B55EE" w14:textId="77777777" w:rsidR="00FF7429" w:rsidRDefault="00FF7429" w:rsidP="00E0031E">
      <w:pPr>
        <w:spacing w:after="0" w:line="240" w:lineRule="auto"/>
        <w:jc w:val="both"/>
        <w:rPr>
          <w:sz w:val="22"/>
          <w:szCs w:val="22"/>
        </w:rPr>
      </w:pPr>
    </w:p>
    <w:p w14:paraId="1AC4CE89" w14:textId="5DA2AA8E" w:rsidR="00EB6D38" w:rsidRDefault="00A36991" w:rsidP="00E0031E">
      <w:pPr>
        <w:spacing w:after="0" w:line="240" w:lineRule="auto"/>
        <w:jc w:val="both"/>
        <w:rPr>
          <w:sz w:val="22"/>
          <w:szCs w:val="22"/>
        </w:rPr>
      </w:pPr>
      <w:r>
        <w:rPr>
          <w:sz w:val="22"/>
          <w:szCs w:val="22"/>
        </w:rPr>
        <w:t>An additional 20%</w:t>
      </w:r>
      <w:r w:rsidR="003A7FC4" w:rsidRPr="00E0031E">
        <w:rPr>
          <w:sz w:val="22"/>
          <w:szCs w:val="22"/>
        </w:rPr>
        <w:t xml:space="preserve"> report </w:t>
      </w:r>
      <w:r w:rsidR="003C297B" w:rsidRPr="00E0031E">
        <w:rPr>
          <w:sz w:val="22"/>
          <w:szCs w:val="22"/>
        </w:rPr>
        <w:t xml:space="preserve">utilizing COFOG at the 3-digit level, with the same proportion reporting utilizing COFOG at the </w:t>
      </w:r>
      <w:r>
        <w:rPr>
          <w:sz w:val="22"/>
          <w:szCs w:val="22"/>
        </w:rPr>
        <w:t>2</w:t>
      </w:r>
      <w:r w:rsidR="00FF7429" w:rsidRPr="00E0031E">
        <w:rPr>
          <w:sz w:val="22"/>
          <w:szCs w:val="22"/>
        </w:rPr>
        <w:t>-</w:t>
      </w:r>
      <w:r w:rsidR="003C297B" w:rsidRPr="00E0031E">
        <w:rPr>
          <w:sz w:val="22"/>
          <w:szCs w:val="22"/>
        </w:rPr>
        <w:t xml:space="preserve">digit level.  </w:t>
      </w:r>
      <w:r w:rsidR="00AF74D4" w:rsidRPr="00E0031E">
        <w:rPr>
          <w:sz w:val="22"/>
          <w:szCs w:val="22"/>
        </w:rPr>
        <w:t xml:space="preserve"> </w:t>
      </w:r>
    </w:p>
    <w:p w14:paraId="7E89C939" w14:textId="77777777" w:rsidR="00FC62F7" w:rsidRDefault="00FC62F7" w:rsidP="00E0031E">
      <w:pPr>
        <w:spacing w:after="0" w:line="240" w:lineRule="auto"/>
        <w:jc w:val="both"/>
        <w:rPr>
          <w:sz w:val="22"/>
          <w:szCs w:val="22"/>
        </w:rPr>
      </w:pPr>
    </w:p>
    <w:p w14:paraId="554BFA9A" w14:textId="68541E66" w:rsidR="00FC62F7" w:rsidRPr="00E0031E" w:rsidRDefault="00FC62F7" w:rsidP="00E0031E">
      <w:pPr>
        <w:spacing w:after="0" w:line="240" w:lineRule="auto"/>
        <w:jc w:val="both"/>
        <w:rPr>
          <w:sz w:val="22"/>
          <w:szCs w:val="22"/>
        </w:rPr>
      </w:pPr>
      <w:r>
        <w:rPr>
          <w:sz w:val="22"/>
          <w:szCs w:val="22"/>
        </w:rPr>
        <w:t>Thus</w:t>
      </w:r>
      <w:r w:rsidR="007C53E0">
        <w:rPr>
          <w:sz w:val="22"/>
          <w:szCs w:val="22"/>
        </w:rPr>
        <w:t>,</w:t>
      </w:r>
      <w:r>
        <w:rPr>
          <w:sz w:val="22"/>
          <w:szCs w:val="22"/>
        </w:rPr>
        <w:t xml:space="preserve"> it seems that users of COFOG </w:t>
      </w:r>
      <w:r w:rsidR="00DC3B1A">
        <w:rPr>
          <w:sz w:val="22"/>
          <w:szCs w:val="22"/>
        </w:rPr>
        <w:t xml:space="preserve">wish to utilize </w:t>
      </w:r>
      <w:r w:rsidR="006B7E38">
        <w:rPr>
          <w:sz w:val="22"/>
          <w:szCs w:val="22"/>
        </w:rPr>
        <w:t xml:space="preserve">it at a more detailed level than is generally </w:t>
      </w:r>
      <w:r w:rsidR="00CF22A3">
        <w:rPr>
          <w:sz w:val="22"/>
          <w:szCs w:val="22"/>
        </w:rPr>
        <w:t>published</w:t>
      </w:r>
      <w:r w:rsidR="006B7E38">
        <w:rPr>
          <w:sz w:val="22"/>
          <w:szCs w:val="22"/>
        </w:rPr>
        <w:t xml:space="preserve"> by providers and compilers</w:t>
      </w:r>
      <w:r w:rsidR="00CF22A3">
        <w:rPr>
          <w:sz w:val="22"/>
          <w:szCs w:val="22"/>
        </w:rPr>
        <w:t xml:space="preserve">.  Most compilers/providers </w:t>
      </w:r>
      <w:r w:rsidR="00B50124">
        <w:rPr>
          <w:sz w:val="22"/>
          <w:szCs w:val="22"/>
        </w:rPr>
        <w:t xml:space="preserve">do have data available at the 4-digit level, and those who do not publish at such a detailed level may consider doing so in the future.  </w:t>
      </w:r>
    </w:p>
    <w:p w14:paraId="1B964F24" w14:textId="77777777" w:rsidR="002B37A4" w:rsidRDefault="002B37A4" w:rsidP="00E0031E">
      <w:pPr>
        <w:spacing w:after="0" w:line="240" w:lineRule="auto"/>
        <w:jc w:val="both"/>
        <w:rPr>
          <w:b/>
          <w:bCs/>
          <w:sz w:val="22"/>
          <w:szCs w:val="22"/>
          <w:u w:val="single"/>
        </w:rPr>
      </w:pPr>
    </w:p>
    <w:p w14:paraId="3F7A0E05" w14:textId="77777777" w:rsidR="00CD1757" w:rsidRDefault="00CD1757" w:rsidP="00E0031E">
      <w:pPr>
        <w:spacing w:after="0" w:line="240" w:lineRule="auto"/>
        <w:jc w:val="both"/>
        <w:rPr>
          <w:sz w:val="22"/>
          <w:szCs w:val="22"/>
        </w:rPr>
      </w:pPr>
    </w:p>
    <w:p w14:paraId="25DC4DD4" w14:textId="37157FD6" w:rsidR="00CD1757" w:rsidRPr="00E0031E" w:rsidRDefault="00CD1757" w:rsidP="00E0031E">
      <w:pPr>
        <w:spacing w:after="0" w:line="240" w:lineRule="auto"/>
        <w:jc w:val="both"/>
        <w:rPr>
          <w:sz w:val="22"/>
          <w:szCs w:val="22"/>
        </w:rPr>
      </w:pPr>
      <w:r>
        <w:rPr>
          <w:noProof/>
          <w:sz w:val="22"/>
          <w:szCs w:val="22"/>
        </w:rPr>
        <w:drawing>
          <wp:inline distT="0" distB="0" distL="0" distR="0" wp14:anchorId="4ED5FFD2" wp14:editId="0BBD48B0">
            <wp:extent cx="5943600" cy="1955165"/>
            <wp:effectExtent l="0" t="0" r="0" b="6985"/>
            <wp:docPr id="41963646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F1F838" w14:textId="77777777" w:rsidR="00E8222F" w:rsidRDefault="00E8222F" w:rsidP="006355BE">
      <w:pPr>
        <w:spacing w:after="0"/>
        <w:rPr>
          <w:b/>
          <w:bCs/>
          <w:sz w:val="22"/>
          <w:szCs w:val="22"/>
          <w:u w:val="single"/>
        </w:rPr>
      </w:pPr>
    </w:p>
    <w:p w14:paraId="44872C89" w14:textId="77777777" w:rsidR="000A2237" w:rsidRDefault="000A2237">
      <w:pPr>
        <w:rPr>
          <w:rFonts w:eastAsiaTheme="majorEastAsia" w:cstheme="majorBidi"/>
          <w:color w:val="0F4761" w:themeColor="accent1" w:themeShade="BF"/>
          <w:sz w:val="22"/>
          <w:szCs w:val="22"/>
        </w:rPr>
      </w:pPr>
      <w:r>
        <w:br w:type="page"/>
      </w:r>
    </w:p>
    <w:p w14:paraId="78CAC0B4" w14:textId="15FB7734" w:rsidR="00AE1622" w:rsidRPr="000E7F93" w:rsidRDefault="00DB6C9F" w:rsidP="00D25872">
      <w:pPr>
        <w:pStyle w:val="Heading3"/>
        <w:numPr>
          <w:ilvl w:val="0"/>
          <w:numId w:val="30"/>
        </w:numPr>
      </w:pPr>
      <w:bookmarkStart w:id="7" w:name="_Toc195776384"/>
      <w:r w:rsidRPr="000E7F93">
        <w:lastRenderedPageBreak/>
        <w:t xml:space="preserve">Sectoral </w:t>
      </w:r>
      <w:r w:rsidR="00AE1622" w:rsidRPr="000E7F93">
        <w:t>Coverage</w:t>
      </w:r>
      <w:bookmarkEnd w:id="7"/>
    </w:p>
    <w:p w14:paraId="78B62F8A" w14:textId="77777777" w:rsidR="005A6387" w:rsidRDefault="005A6387" w:rsidP="00485B5A">
      <w:pPr>
        <w:spacing w:after="0" w:line="240" w:lineRule="auto"/>
        <w:jc w:val="both"/>
        <w:rPr>
          <w:b/>
          <w:bCs/>
          <w:sz w:val="22"/>
          <w:szCs w:val="22"/>
          <w:u w:val="single"/>
        </w:rPr>
      </w:pPr>
    </w:p>
    <w:p w14:paraId="63BC6A33" w14:textId="409B5390" w:rsidR="00EC59C4" w:rsidRPr="00E72356" w:rsidRDefault="00EC59C4" w:rsidP="00005DC6">
      <w:pPr>
        <w:spacing w:after="0" w:line="240" w:lineRule="auto"/>
        <w:jc w:val="both"/>
        <w:rPr>
          <w:sz w:val="22"/>
          <w:szCs w:val="22"/>
        </w:rPr>
      </w:pPr>
      <w:r w:rsidRPr="00E72356">
        <w:rPr>
          <w:sz w:val="22"/>
          <w:szCs w:val="22"/>
        </w:rPr>
        <w:t xml:space="preserve">This cohort of questions assesses the </w:t>
      </w:r>
      <w:r w:rsidR="009128AA" w:rsidRPr="00E72356">
        <w:rPr>
          <w:sz w:val="22"/>
          <w:szCs w:val="22"/>
        </w:rPr>
        <w:t xml:space="preserve">sectoral coverage </w:t>
      </w:r>
      <w:r w:rsidRPr="00E72356">
        <w:rPr>
          <w:sz w:val="22"/>
          <w:szCs w:val="22"/>
        </w:rPr>
        <w:t xml:space="preserve">of COFOG data based on compiler, data provider and user responses.  The results </w:t>
      </w:r>
      <w:r w:rsidR="003F2F20" w:rsidRPr="00E72356">
        <w:rPr>
          <w:sz w:val="22"/>
          <w:szCs w:val="22"/>
        </w:rPr>
        <w:t xml:space="preserve">noted </w:t>
      </w:r>
      <w:r w:rsidR="00557846" w:rsidRPr="00E72356">
        <w:rPr>
          <w:sz w:val="22"/>
          <w:szCs w:val="22"/>
        </w:rPr>
        <w:t xml:space="preserve">cases where </w:t>
      </w:r>
      <w:r w:rsidR="00A51EC4" w:rsidRPr="00E72356">
        <w:rPr>
          <w:sz w:val="22"/>
          <w:szCs w:val="22"/>
        </w:rPr>
        <w:t>COFOG is utilized</w:t>
      </w:r>
      <w:r w:rsidR="003F2F20" w:rsidRPr="00E72356">
        <w:rPr>
          <w:sz w:val="22"/>
          <w:szCs w:val="22"/>
        </w:rPr>
        <w:t xml:space="preserve"> beyond the </w:t>
      </w:r>
      <w:r w:rsidR="00FE4EA0" w:rsidRPr="00E72356">
        <w:rPr>
          <w:sz w:val="22"/>
          <w:szCs w:val="22"/>
        </w:rPr>
        <w:t xml:space="preserve">general government </w:t>
      </w:r>
      <w:proofErr w:type="gramStart"/>
      <w:r w:rsidR="00FE4EA0" w:rsidRPr="00E72356">
        <w:rPr>
          <w:sz w:val="22"/>
          <w:szCs w:val="22"/>
        </w:rPr>
        <w:t>sectors</w:t>
      </w:r>
      <w:r w:rsidR="001A61B3" w:rsidRPr="00E72356">
        <w:rPr>
          <w:sz w:val="22"/>
          <w:szCs w:val="22"/>
        </w:rPr>
        <w:t>,</w:t>
      </w:r>
      <w:proofErr w:type="gramEnd"/>
      <w:r w:rsidR="00E36514" w:rsidRPr="00E72356">
        <w:rPr>
          <w:sz w:val="22"/>
          <w:szCs w:val="22"/>
        </w:rPr>
        <w:t xml:space="preserve"> would serve as the input for discussion on revision issue B1 on </w:t>
      </w:r>
      <w:r w:rsidR="00A12516" w:rsidRPr="00E72356">
        <w:rPr>
          <w:sz w:val="22"/>
          <w:szCs w:val="22"/>
        </w:rPr>
        <w:t>the classification u</w:t>
      </w:r>
      <w:r w:rsidR="0078431B" w:rsidRPr="00E72356">
        <w:rPr>
          <w:sz w:val="22"/>
          <w:szCs w:val="22"/>
        </w:rPr>
        <w:t xml:space="preserve">nit and on the applicability </w:t>
      </w:r>
      <w:r w:rsidR="00016553" w:rsidRPr="00E72356">
        <w:rPr>
          <w:sz w:val="22"/>
          <w:szCs w:val="22"/>
        </w:rPr>
        <w:t xml:space="preserve">of </w:t>
      </w:r>
      <w:r w:rsidR="00326938" w:rsidRPr="00E72356">
        <w:rPr>
          <w:sz w:val="22"/>
          <w:szCs w:val="22"/>
        </w:rPr>
        <w:t>state</w:t>
      </w:r>
      <w:r w:rsidR="00E36514" w:rsidRPr="00E72356">
        <w:rPr>
          <w:sz w:val="22"/>
          <w:szCs w:val="22"/>
        </w:rPr>
        <w:t xml:space="preserve"> and </w:t>
      </w:r>
      <w:r w:rsidR="00326938" w:rsidRPr="00E72356">
        <w:rPr>
          <w:sz w:val="22"/>
          <w:szCs w:val="22"/>
        </w:rPr>
        <w:t>local government and social security fund</w:t>
      </w:r>
      <w:r w:rsidR="009E7B0B">
        <w:rPr>
          <w:sz w:val="22"/>
          <w:szCs w:val="22"/>
        </w:rPr>
        <w:t>s</w:t>
      </w:r>
      <w:r w:rsidR="00326938" w:rsidRPr="00E72356">
        <w:rPr>
          <w:sz w:val="22"/>
          <w:szCs w:val="22"/>
        </w:rPr>
        <w:t xml:space="preserve"> and </w:t>
      </w:r>
      <w:r w:rsidR="00CA1F24" w:rsidRPr="00E72356">
        <w:rPr>
          <w:sz w:val="22"/>
          <w:szCs w:val="22"/>
        </w:rPr>
        <w:t>state</w:t>
      </w:r>
      <w:r w:rsidR="009B4408" w:rsidRPr="00E72356">
        <w:rPr>
          <w:sz w:val="22"/>
          <w:szCs w:val="22"/>
        </w:rPr>
        <w:t>-owned enterprises/public corporation</w:t>
      </w:r>
      <w:r w:rsidR="00326938" w:rsidRPr="00E72356">
        <w:rPr>
          <w:sz w:val="22"/>
          <w:szCs w:val="22"/>
        </w:rPr>
        <w:t xml:space="preserve"> sectors in</w:t>
      </w:r>
      <w:r w:rsidR="00E36514" w:rsidRPr="00E72356">
        <w:rPr>
          <w:sz w:val="22"/>
          <w:szCs w:val="22"/>
        </w:rPr>
        <w:t xml:space="preserve"> addition to the </w:t>
      </w:r>
      <w:r w:rsidR="00326938" w:rsidRPr="00E72356">
        <w:rPr>
          <w:sz w:val="22"/>
          <w:szCs w:val="22"/>
        </w:rPr>
        <w:t>central government sector</w:t>
      </w:r>
      <w:r w:rsidR="00EA2E49" w:rsidRPr="00E72356">
        <w:rPr>
          <w:sz w:val="22"/>
          <w:szCs w:val="22"/>
        </w:rPr>
        <w:t xml:space="preserve"> in COFOG</w:t>
      </w:r>
      <w:r w:rsidR="004B6762" w:rsidRPr="00E72356">
        <w:rPr>
          <w:sz w:val="22"/>
          <w:szCs w:val="22"/>
        </w:rPr>
        <w:t>.</w:t>
      </w:r>
    </w:p>
    <w:p w14:paraId="6AA919A8" w14:textId="77777777" w:rsidR="00326938" w:rsidRDefault="00326938" w:rsidP="00326938">
      <w:pPr>
        <w:spacing w:after="0" w:line="240" w:lineRule="auto"/>
        <w:rPr>
          <w:b/>
          <w:bCs/>
          <w:sz w:val="22"/>
          <w:szCs w:val="22"/>
          <w:u w:val="single"/>
        </w:rPr>
      </w:pPr>
    </w:p>
    <w:p w14:paraId="550F347C" w14:textId="77777777" w:rsidR="00360822" w:rsidRDefault="00360822" w:rsidP="00326938">
      <w:pPr>
        <w:spacing w:after="0" w:line="240" w:lineRule="auto"/>
        <w:rPr>
          <w:b/>
          <w:bCs/>
          <w:sz w:val="22"/>
          <w:szCs w:val="22"/>
          <w:u w:val="single"/>
        </w:rPr>
      </w:pPr>
    </w:p>
    <w:p w14:paraId="4B66FA57" w14:textId="01AAD482" w:rsidR="005A6387" w:rsidRPr="00EC1650" w:rsidRDefault="00935E88" w:rsidP="00EC1650">
      <w:pPr>
        <w:spacing w:after="0" w:line="240" w:lineRule="auto"/>
        <w:jc w:val="both"/>
        <w:rPr>
          <w:b/>
          <w:bCs/>
          <w:sz w:val="22"/>
          <w:szCs w:val="22"/>
        </w:rPr>
      </w:pPr>
      <w:r>
        <w:rPr>
          <w:b/>
          <w:bCs/>
          <w:sz w:val="22"/>
          <w:szCs w:val="22"/>
        </w:rPr>
        <w:t xml:space="preserve">Q12. For </w:t>
      </w:r>
      <w:r w:rsidRPr="00BE645E">
        <w:rPr>
          <w:b/>
          <w:bCs/>
          <w:sz w:val="22"/>
          <w:szCs w:val="22"/>
          <w:u w:val="single"/>
        </w:rPr>
        <w:t>compilers/providers</w:t>
      </w:r>
      <w:r w:rsidR="00BE645E">
        <w:rPr>
          <w:b/>
          <w:bCs/>
          <w:sz w:val="22"/>
          <w:szCs w:val="22"/>
        </w:rPr>
        <w:t>:</w:t>
      </w:r>
      <w:r>
        <w:rPr>
          <w:b/>
          <w:bCs/>
          <w:sz w:val="22"/>
          <w:szCs w:val="22"/>
        </w:rPr>
        <w:t xml:space="preserve"> </w:t>
      </w:r>
      <w:r w:rsidR="00BE645E">
        <w:rPr>
          <w:b/>
          <w:bCs/>
          <w:sz w:val="22"/>
          <w:szCs w:val="22"/>
        </w:rPr>
        <w:t xml:space="preserve"> </w:t>
      </w:r>
      <w:r w:rsidR="005A6387" w:rsidRPr="005A6387">
        <w:rPr>
          <w:b/>
          <w:bCs/>
          <w:sz w:val="22"/>
          <w:szCs w:val="22"/>
        </w:rPr>
        <w:t xml:space="preserve">For which institutional sectors does your institution provide COFOG source data or compile COFOG? </w:t>
      </w:r>
      <w:r w:rsidR="005A6387">
        <w:rPr>
          <w:b/>
          <w:bCs/>
          <w:sz w:val="22"/>
          <w:szCs w:val="22"/>
        </w:rPr>
        <w:t xml:space="preserve"> </w:t>
      </w:r>
      <w:r w:rsidR="00EC1650" w:rsidRPr="00A52F36">
        <w:rPr>
          <w:sz w:val="22"/>
          <w:szCs w:val="22"/>
        </w:rPr>
        <w:t>(</w:t>
      </w:r>
      <w:r w:rsidRPr="00A52F36">
        <w:rPr>
          <w:sz w:val="22"/>
          <w:szCs w:val="22"/>
        </w:rPr>
        <w:t>Mark all that are applicable</w:t>
      </w:r>
      <w:r w:rsidR="00EC1650" w:rsidRPr="00A52F36">
        <w:rPr>
          <w:sz w:val="22"/>
          <w:szCs w:val="22"/>
        </w:rPr>
        <w:t>)</w:t>
      </w:r>
    </w:p>
    <w:p w14:paraId="059C47A6" w14:textId="77777777" w:rsidR="009C13DD" w:rsidRDefault="009C13DD" w:rsidP="00485B5A">
      <w:pPr>
        <w:spacing w:after="0" w:line="240" w:lineRule="auto"/>
        <w:jc w:val="both"/>
        <w:rPr>
          <w:sz w:val="22"/>
          <w:szCs w:val="22"/>
        </w:rPr>
      </w:pPr>
    </w:p>
    <w:p w14:paraId="58D434CD" w14:textId="635BF3C5" w:rsidR="00E3326F" w:rsidRPr="00E0031E" w:rsidRDefault="00957B76" w:rsidP="00E0031E">
      <w:pPr>
        <w:spacing w:after="0" w:line="240" w:lineRule="auto"/>
        <w:jc w:val="both"/>
        <w:rPr>
          <w:sz w:val="22"/>
          <w:szCs w:val="22"/>
        </w:rPr>
      </w:pPr>
      <w:r w:rsidRPr="00E0031E">
        <w:rPr>
          <w:sz w:val="22"/>
          <w:szCs w:val="22"/>
        </w:rPr>
        <w:t>C</w:t>
      </w:r>
      <w:r w:rsidR="00E3326F" w:rsidRPr="00E0031E">
        <w:rPr>
          <w:sz w:val="22"/>
          <w:szCs w:val="22"/>
        </w:rPr>
        <w:t xml:space="preserve">ompilers/providers </w:t>
      </w:r>
      <w:r w:rsidRPr="00E0031E">
        <w:rPr>
          <w:sz w:val="22"/>
          <w:szCs w:val="22"/>
        </w:rPr>
        <w:t xml:space="preserve">were most likely </w:t>
      </w:r>
      <w:proofErr w:type="gramStart"/>
      <w:r w:rsidR="00E3326F" w:rsidRPr="00E0031E">
        <w:rPr>
          <w:sz w:val="22"/>
          <w:szCs w:val="22"/>
        </w:rPr>
        <w:t>r</w:t>
      </w:r>
      <w:r w:rsidR="009F1634" w:rsidRPr="00E0031E">
        <w:rPr>
          <w:sz w:val="22"/>
          <w:szCs w:val="22"/>
        </w:rPr>
        <w:t>eport</w:t>
      </w:r>
      <w:proofErr w:type="gramEnd"/>
      <w:r w:rsidR="009F1634" w:rsidRPr="00E0031E">
        <w:rPr>
          <w:sz w:val="22"/>
          <w:szCs w:val="22"/>
        </w:rPr>
        <w:t xml:space="preserve"> that they employ COFOG for the central government sector (8</w:t>
      </w:r>
      <w:r w:rsidR="00753554" w:rsidRPr="00E0031E">
        <w:rPr>
          <w:sz w:val="22"/>
          <w:szCs w:val="22"/>
        </w:rPr>
        <w:t>5</w:t>
      </w:r>
      <w:r w:rsidR="009F1634" w:rsidRPr="00E0031E">
        <w:rPr>
          <w:sz w:val="22"/>
          <w:szCs w:val="22"/>
        </w:rPr>
        <w:t>%</w:t>
      </w:r>
      <w:r w:rsidR="008772F9">
        <w:rPr>
          <w:sz w:val="22"/>
          <w:szCs w:val="22"/>
        </w:rPr>
        <w:t xml:space="preserve">, </w:t>
      </w:r>
      <w:r w:rsidR="00CD1A3A">
        <w:rPr>
          <w:sz w:val="22"/>
          <w:szCs w:val="22"/>
        </w:rPr>
        <w:t>n=62;</w:t>
      </w:r>
      <w:r w:rsidR="009F1634" w:rsidRPr="00E0031E">
        <w:rPr>
          <w:sz w:val="22"/>
          <w:szCs w:val="22"/>
        </w:rPr>
        <w:t xml:space="preserve"> </w:t>
      </w:r>
      <w:r w:rsidR="009E0BC2">
        <w:rPr>
          <w:sz w:val="22"/>
          <w:szCs w:val="22"/>
        </w:rPr>
        <w:t xml:space="preserve">53% </w:t>
      </w:r>
      <w:r w:rsidR="00431E1E">
        <w:rPr>
          <w:sz w:val="22"/>
          <w:szCs w:val="22"/>
        </w:rPr>
        <w:t xml:space="preserve">‘of which’ </w:t>
      </w:r>
      <w:r w:rsidR="00B0119B" w:rsidRPr="00E0031E">
        <w:rPr>
          <w:sz w:val="22"/>
          <w:szCs w:val="22"/>
        </w:rPr>
        <w:t xml:space="preserve">for budgetary </w:t>
      </w:r>
      <w:r w:rsidR="009E0BC2">
        <w:rPr>
          <w:sz w:val="22"/>
          <w:szCs w:val="22"/>
        </w:rPr>
        <w:t xml:space="preserve">central government </w:t>
      </w:r>
      <w:r w:rsidR="00B0119B" w:rsidRPr="00E0031E">
        <w:rPr>
          <w:sz w:val="22"/>
          <w:szCs w:val="22"/>
        </w:rPr>
        <w:t xml:space="preserve">and 32% </w:t>
      </w:r>
      <w:r w:rsidR="00431E1E">
        <w:rPr>
          <w:sz w:val="22"/>
          <w:szCs w:val="22"/>
        </w:rPr>
        <w:t xml:space="preserve">for </w:t>
      </w:r>
      <w:r w:rsidR="00B0119B" w:rsidRPr="00E0031E">
        <w:rPr>
          <w:sz w:val="22"/>
          <w:szCs w:val="22"/>
        </w:rPr>
        <w:t xml:space="preserve">non-budgetary central government).  </w:t>
      </w:r>
    </w:p>
    <w:p w14:paraId="14CBE9E2" w14:textId="77777777" w:rsidR="00E521CE" w:rsidRPr="00774118" w:rsidRDefault="00E521CE" w:rsidP="00E0031E">
      <w:pPr>
        <w:pStyle w:val="ListParagraph"/>
        <w:spacing w:after="0" w:line="240" w:lineRule="auto"/>
        <w:ind w:left="360"/>
        <w:jc w:val="both"/>
        <w:rPr>
          <w:sz w:val="22"/>
          <w:szCs w:val="22"/>
        </w:rPr>
      </w:pPr>
    </w:p>
    <w:p w14:paraId="1E27F59C" w14:textId="5505514E" w:rsidR="00E521CE" w:rsidRPr="00E0031E" w:rsidRDefault="00406424" w:rsidP="00E0031E">
      <w:pPr>
        <w:spacing w:after="0" w:line="240" w:lineRule="auto"/>
        <w:jc w:val="both"/>
        <w:rPr>
          <w:sz w:val="22"/>
          <w:szCs w:val="22"/>
        </w:rPr>
      </w:pPr>
      <w:r w:rsidRPr="00E0031E">
        <w:rPr>
          <w:sz w:val="22"/>
          <w:szCs w:val="22"/>
        </w:rPr>
        <w:t>A majority</w:t>
      </w:r>
      <w:r w:rsidR="00B5135B" w:rsidRPr="00E0031E">
        <w:rPr>
          <w:sz w:val="22"/>
          <w:szCs w:val="22"/>
        </w:rPr>
        <w:t xml:space="preserve"> also </w:t>
      </w:r>
      <w:r w:rsidR="00D82DD4" w:rsidRPr="00E0031E">
        <w:rPr>
          <w:sz w:val="22"/>
          <w:szCs w:val="22"/>
        </w:rPr>
        <w:t>said they provide</w:t>
      </w:r>
      <w:r w:rsidRPr="00E0031E">
        <w:rPr>
          <w:sz w:val="22"/>
          <w:szCs w:val="22"/>
        </w:rPr>
        <w:t xml:space="preserve"> or compile data for </w:t>
      </w:r>
      <w:r w:rsidR="00E521CE" w:rsidRPr="00E0031E">
        <w:rPr>
          <w:sz w:val="22"/>
          <w:szCs w:val="22"/>
        </w:rPr>
        <w:t>general government (7</w:t>
      </w:r>
      <w:r w:rsidR="00777A58" w:rsidRPr="00E0031E">
        <w:rPr>
          <w:sz w:val="22"/>
          <w:szCs w:val="22"/>
        </w:rPr>
        <w:t>5</w:t>
      </w:r>
      <w:r w:rsidR="00E521CE" w:rsidRPr="00E0031E">
        <w:rPr>
          <w:sz w:val="22"/>
          <w:szCs w:val="22"/>
        </w:rPr>
        <w:t>%</w:t>
      </w:r>
      <w:r w:rsidR="00CD1A3A">
        <w:rPr>
          <w:sz w:val="22"/>
          <w:szCs w:val="22"/>
        </w:rPr>
        <w:t>, n=55</w:t>
      </w:r>
      <w:r w:rsidR="00E521CE" w:rsidRPr="00E0031E">
        <w:rPr>
          <w:sz w:val="22"/>
          <w:szCs w:val="22"/>
        </w:rPr>
        <w:t>), local government (6</w:t>
      </w:r>
      <w:r w:rsidR="00777A58" w:rsidRPr="00E0031E">
        <w:rPr>
          <w:sz w:val="22"/>
          <w:szCs w:val="22"/>
        </w:rPr>
        <w:t>4</w:t>
      </w:r>
      <w:r w:rsidR="00E521CE" w:rsidRPr="00E0031E">
        <w:rPr>
          <w:sz w:val="22"/>
          <w:szCs w:val="22"/>
        </w:rPr>
        <w:t>%</w:t>
      </w:r>
      <w:r w:rsidR="0052080A">
        <w:rPr>
          <w:sz w:val="22"/>
          <w:szCs w:val="22"/>
        </w:rPr>
        <w:t>, n=47</w:t>
      </w:r>
      <w:r w:rsidR="00E521CE" w:rsidRPr="00E0031E">
        <w:rPr>
          <w:sz w:val="22"/>
          <w:szCs w:val="22"/>
        </w:rPr>
        <w:t>) and social security funds (</w:t>
      </w:r>
      <w:r w:rsidR="00B5135B" w:rsidRPr="00E0031E">
        <w:rPr>
          <w:sz w:val="22"/>
          <w:szCs w:val="22"/>
        </w:rPr>
        <w:t>6</w:t>
      </w:r>
      <w:r w:rsidR="00777A58" w:rsidRPr="00E0031E">
        <w:rPr>
          <w:sz w:val="22"/>
          <w:szCs w:val="22"/>
        </w:rPr>
        <w:t>3</w:t>
      </w:r>
      <w:r w:rsidR="00B5135B" w:rsidRPr="00E0031E">
        <w:rPr>
          <w:sz w:val="22"/>
          <w:szCs w:val="22"/>
        </w:rPr>
        <w:t>%</w:t>
      </w:r>
      <w:r w:rsidR="0052080A">
        <w:rPr>
          <w:sz w:val="22"/>
          <w:szCs w:val="22"/>
        </w:rPr>
        <w:t>, n=46</w:t>
      </w:r>
      <w:r w:rsidR="00B5135B" w:rsidRPr="00E0031E">
        <w:rPr>
          <w:sz w:val="22"/>
          <w:szCs w:val="22"/>
        </w:rPr>
        <w:t xml:space="preserve">).  </w:t>
      </w:r>
    </w:p>
    <w:p w14:paraId="65BC3F66" w14:textId="77777777" w:rsidR="00B5135B" w:rsidRPr="00774118" w:rsidRDefault="00B5135B" w:rsidP="00E0031E">
      <w:pPr>
        <w:pStyle w:val="ListParagraph"/>
        <w:spacing w:after="0" w:line="240" w:lineRule="auto"/>
        <w:ind w:left="360"/>
        <w:jc w:val="both"/>
        <w:rPr>
          <w:sz w:val="22"/>
          <w:szCs w:val="22"/>
        </w:rPr>
      </w:pPr>
    </w:p>
    <w:p w14:paraId="01338C4B" w14:textId="3A09B655" w:rsidR="00B5135B" w:rsidRPr="00E0031E" w:rsidRDefault="00774118" w:rsidP="00E0031E">
      <w:pPr>
        <w:spacing w:after="0" w:line="240" w:lineRule="auto"/>
        <w:jc w:val="both"/>
        <w:rPr>
          <w:sz w:val="22"/>
          <w:szCs w:val="22"/>
        </w:rPr>
      </w:pPr>
      <w:r w:rsidRPr="00E0031E">
        <w:rPr>
          <w:sz w:val="22"/>
          <w:szCs w:val="22"/>
        </w:rPr>
        <w:t>On the other hand, s</w:t>
      </w:r>
      <w:r w:rsidR="00B5135B" w:rsidRPr="00E0031E">
        <w:rPr>
          <w:sz w:val="22"/>
          <w:szCs w:val="22"/>
        </w:rPr>
        <w:t xml:space="preserve">tate government and </w:t>
      </w:r>
      <w:r w:rsidR="00B61310" w:rsidRPr="00E0031E">
        <w:rPr>
          <w:sz w:val="22"/>
          <w:szCs w:val="22"/>
        </w:rPr>
        <w:t xml:space="preserve">state-owned enterprises/public corporations were </w:t>
      </w:r>
      <w:proofErr w:type="gramStart"/>
      <w:r w:rsidR="00B61310" w:rsidRPr="00E0031E">
        <w:rPr>
          <w:sz w:val="22"/>
          <w:szCs w:val="22"/>
        </w:rPr>
        <w:t>noted</w:t>
      </w:r>
      <w:proofErr w:type="gramEnd"/>
      <w:r w:rsidR="00B61310" w:rsidRPr="00E0031E">
        <w:rPr>
          <w:sz w:val="22"/>
          <w:szCs w:val="22"/>
        </w:rPr>
        <w:t xml:space="preserve"> by </w:t>
      </w:r>
      <w:r w:rsidR="00D103A8" w:rsidRPr="00E0031E">
        <w:rPr>
          <w:sz w:val="22"/>
          <w:szCs w:val="22"/>
        </w:rPr>
        <w:t>2</w:t>
      </w:r>
      <w:r w:rsidR="00F42E7A" w:rsidRPr="00E0031E">
        <w:rPr>
          <w:sz w:val="22"/>
          <w:szCs w:val="22"/>
        </w:rPr>
        <w:t>9</w:t>
      </w:r>
      <w:r w:rsidR="00D103A8" w:rsidRPr="00E0031E">
        <w:rPr>
          <w:sz w:val="22"/>
          <w:szCs w:val="22"/>
        </w:rPr>
        <w:t xml:space="preserve">% </w:t>
      </w:r>
      <w:r w:rsidR="0052080A">
        <w:rPr>
          <w:sz w:val="22"/>
          <w:szCs w:val="22"/>
        </w:rPr>
        <w:t xml:space="preserve">(n=21) </w:t>
      </w:r>
      <w:r w:rsidR="00D103A8" w:rsidRPr="00E0031E">
        <w:rPr>
          <w:sz w:val="22"/>
          <w:szCs w:val="22"/>
        </w:rPr>
        <w:t xml:space="preserve">and </w:t>
      </w:r>
      <w:r w:rsidR="00B61310" w:rsidRPr="00E0031E">
        <w:rPr>
          <w:sz w:val="22"/>
          <w:szCs w:val="22"/>
        </w:rPr>
        <w:t>11%</w:t>
      </w:r>
      <w:r w:rsidR="00D103A8" w:rsidRPr="00E0031E">
        <w:rPr>
          <w:sz w:val="22"/>
          <w:szCs w:val="22"/>
        </w:rPr>
        <w:t xml:space="preserve"> </w:t>
      </w:r>
      <w:r w:rsidR="0052080A">
        <w:rPr>
          <w:sz w:val="22"/>
          <w:szCs w:val="22"/>
        </w:rPr>
        <w:t xml:space="preserve">(n=8) </w:t>
      </w:r>
      <w:r w:rsidR="00D103A8" w:rsidRPr="00E0031E">
        <w:rPr>
          <w:sz w:val="22"/>
          <w:szCs w:val="22"/>
        </w:rPr>
        <w:t xml:space="preserve">respectively.  </w:t>
      </w:r>
    </w:p>
    <w:p w14:paraId="02E5A90B" w14:textId="77777777" w:rsidR="004411C1" w:rsidRDefault="004411C1" w:rsidP="00485B5A">
      <w:pPr>
        <w:spacing w:after="0" w:line="240" w:lineRule="auto"/>
        <w:jc w:val="both"/>
        <w:rPr>
          <w:b/>
          <w:bCs/>
          <w:sz w:val="22"/>
          <w:szCs w:val="22"/>
        </w:rPr>
      </w:pPr>
    </w:p>
    <w:p w14:paraId="062F081B" w14:textId="62CD663A" w:rsidR="004411C1" w:rsidRDefault="004411C1" w:rsidP="00ED65E4">
      <w:pPr>
        <w:spacing w:after="0" w:line="240" w:lineRule="auto"/>
        <w:jc w:val="both"/>
        <w:rPr>
          <w:b/>
          <w:bCs/>
          <w:sz w:val="22"/>
          <w:szCs w:val="22"/>
        </w:rPr>
      </w:pPr>
      <w:r>
        <w:rPr>
          <w:noProof/>
          <w:sz w:val="22"/>
          <w:szCs w:val="22"/>
        </w:rPr>
        <w:drawing>
          <wp:inline distT="0" distB="0" distL="0" distR="0" wp14:anchorId="68E21FC1" wp14:editId="19909496">
            <wp:extent cx="6144986" cy="3493770"/>
            <wp:effectExtent l="0" t="0" r="8255" b="0"/>
            <wp:docPr id="72653294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B443F1" w14:textId="77777777" w:rsidR="00360822" w:rsidRDefault="00360822" w:rsidP="00ED65E4">
      <w:pPr>
        <w:spacing w:after="0" w:line="240" w:lineRule="auto"/>
        <w:jc w:val="both"/>
        <w:rPr>
          <w:b/>
          <w:bCs/>
          <w:sz w:val="22"/>
          <w:szCs w:val="22"/>
        </w:rPr>
      </w:pPr>
    </w:p>
    <w:p w14:paraId="53D67E50" w14:textId="77777777" w:rsidR="00360822" w:rsidRDefault="00360822" w:rsidP="00ED65E4">
      <w:pPr>
        <w:spacing w:after="0" w:line="240" w:lineRule="auto"/>
        <w:jc w:val="both"/>
        <w:rPr>
          <w:b/>
          <w:bCs/>
          <w:sz w:val="22"/>
          <w:szCs w:val="22"/>
        </w:rPr>
      </w:pPr>
    </w:p>
    <w:p w14:paraId="316B11D3" w14:textId="77777777" w:rsidR="00F16A54" w:rsidRDefault="00F16A54" w:rsidP="00ED65E4">
      <w:pPr>
        <w:spacing w:after="0" w:line="240" w:lineRule="auto"/>
        <w:jc w:val="both"/>
        <w:rPr>
          <w:b/>
          <w:bCs/>
          <w:sz w:val="22"/>
          <w:szCs w:val="22"/>
        </w:rPr>
      </w:pPr>
    </w:p>
    <w:p w14:paraId="5245C8A7" w14:textId="77777777" w:rsidR="00360822" w:rsidRDefault="00360822" w:rsidP="00ED65E4">
      <w:pPr>
        <w:spacing w:after="0" w:line="240" w:lineRule="auto"/>
        <w:jc w:val="both"/>
        <w:rPr>
          <w:b/>
          <w:bCs/>
          <w:sz w:val="22"/>
          <w:szCs w:val="22"/>
        </w:rPr>
      </w:pPr>
    </w:p>
    <w:p w14:paraId="6BA61FA1" w14:textId="77777777" w:rsidR="00360822" w:rsidRDefault="00360822" w:rsidP="00ED65E4">
      <w:pPr>
        <w:spacing w:after="0" w:line="240" w:lineRule="auto"/>
        <w:jc w:val="both"/>
        <w:rPr>
          <w:b/>
          <w:bCs/>
          <w:sz w:val="22"/>
          <w:szCs w:val="22"/>
        </w:rPr>
      </w:pPr>
    </w:p>
    <w:p w14:paraId="02F0CCB2" w14:textId="5B2F0EF1" w:rsidR="009A46AC" w:rsidRPr="00774118" w:rsidRDefault="009A46AC" w:rsidP="009A46AC">
      <w:pPr>
        <w:spacing w:after="0" w:line="240" w:lineRule="auto"/>
        <w:rPr>
          <w:b/>
          <w:bCs/>
          <w:sz w:val="22"/>
          <w:szCs w:val="22"/>
        </w:rPr>
      </w:pPr>
      <w:r w:rsidRPr="00774118">
        <w:rPr>
          <w:b/>
          <w:bCs/>
          <w:sz w:val="22"/>
          <w:szCs w:val="22"/>
        </w:rPr>
        <w:lastRenderedPageBreak/>
        <w:t xml:space="preserve">Q18. For </w:t>
      </w:r>
      <w:r w:rsidRPr="00774118">
        <w:rPr>
          <w:b/>
          <w:bCs/>
          <w:sz w:val="22"/>
          <w:szCs w:val="22"/>
          <w:u w:val="single"/>
        </w:rPr>
        <w:t>users</w:t>
      </w:r>
      <w:r w:rsidR="00BE645E" w:rsidRPr="00774118">
        <w:rPr>
          <w:b/>
          <w:bCs/>
          <w:sz w:val="22"/>
          <w:szCs w:val="22"/>
        </w:rPr>
        <w:t>:</w:t>
      </w:r>
      <w:r w:rsidR="00935E88" w:rsidRPr="00774118">
        <w:rPr>
          <w:b/>
          <w:bCs/>
          <w:sz w:val="22"/>
          <w:szCs w:val="22"/>
        </w:rPr>
        <w:t xml:space="preserve"> </w:t>
      </w:r>
      <w:r w:rsidR="00BE645E" w:rsidRPr="00774118">
        <w:rPr>
          <w:b/>
          <w:bCs/>
          <w:sz w:val="22"/>
          <w:szCs w:val="22"/>
        </w:rPr>
        <w:t xml:space="preserve"> </w:t>
      </w:r>
      <w:r w:rsidR="004267E2" w:rsidRPr="00774118">
        <w:rPr>
          <w:b/>
          <w:bCs/>
          <w:sz w:val="22"/>
          <w:szCs w:val="22"/>
        </w:rPr>
        <w:t xml:space="preserve">For which institutional </w:t>
      </w:r>
      <w:proofErr w:type="gramStart"/>
      <w:r w:rsidR="004267E2" w:rsidRPr="00774118">
        <w:rPr>
          <w:b/>
          <w:bCs/>
          <w:sz w:val="22"/>
          <w:szCs w:val="22"/>
        </w:rPr>
        <w:t>sectors</w:t>
      </w:r>
      <w:proofErr w:type="gramEnd"/>
      <w:r w:rsidR="004267E2" w:rsidRPr="00774118">
        <w:rPr>
          <w:b/>
          <w:bCs/>
          <w:sz w:val="22"/>
          <w:szCs w:val="22"/>
        </w:rPr>
        <w:t xml:space="preserve"> does your institution utilize COFOG data?</w:t>
      </w:r>
    </w:p>
    <w:p w14:paraId="7741E54C" w14:textId="48CF80DC" w:rsidR="004267E2" w:rsidRPr="00AD5FFE" w:rsidRDefault="00EC1650" w:rsidP="004267E2">
      <w:pPr>
        <w:spacing w:after="0" w:line="240" w:lineRule="auto"/>
        <w:jc w:val="both"/>
        <w:rPr>
          <w:sz w:val="22"/>
          <w:szCs w:val="22"/>
        </w:rPr>
      </w:pPr>
      <w:r w:rsidRPr="00AD5FFE">
        <w:rPr>
          <w:sz w:val="22"/>
          <w:szCs w:val="22"/>
        </w:rPr>
        <w:t>(</w:t>
      </w:r>
      <w:r w:rsidR="004267E2" w:rsidRPr="00AD5FFE">
        <w:rPr>
          <w:sz w:val="22"/>
          <w:szCs w:val="22"/>
        </w:rPr>
        <w:t>Mark all that are applicable</w:t>
      </w:r>
      <w:r w:rsidRPr="00AD5FFE">
        <w:rPr>
          <w:sz w:val="22"/>
          <w:szCs w:val="22"/>
        </w:rPr>
        <w:t>)</w:t>
      </w:r>
    </w:p>
    <w:p w14:paraId="18FD525D" w14:textId="77777777" w:rsidR="001378ED" w:rsidRDefault="001378ED" w:rsidP="00485B5A">
      <w:pPr>
        <w:spacing w:after="0" w:line="240" w:lineRule="auto"/>
        <w:jc w:val="both"/>
        <w:rPr>
          <w:b/>
          <w:bCs/>
          <w:sz w:val="22"/>
          <w:szCs w:val="22"/>
        </w:rPr>
      </w:pPr>
    </w:p>
    <w:p w14:paraId="0C1B226A" w14:textId="0ADB7816" w:rsidR="00DB6C9F" w:rsidRPr="00F81F0C" w:rsidRDefault="0027184F" w:rsidP="00F81F0C">
      <w:pPr>
        <w:spacing w:after="0" w:line="240" w:lineRule="auto"/>
        <w:jc w:val="both"/>
        <w:rPr>
          <w:sz w:val="22"/>
          <w:szCs w:val="22"/>
        </w:rPr>
      </w:pPr>
      <w:r w:rsidRPr="00F81F0C">
        <w:rPr>
          <w:sz w:val="22"/>
          <w:szCs w:val="22"/>
        </w:rPr>
        <w:t>Most u</w:t>
      </w:r>
      <w:r w:rsidR="00E3326F" w:rsidRPr="00F81F0C">
        <w:rPr>
          <w:sz w:val="22"/>
          <w:szCs w:val="22"/>
        </w:rPr>
        <w:t>sers reported</w:t>
      </w:r>
      <w:r w:rsidRPr="00F81F0C">
        <w:rPr>
          <w:sz w:val="22"/>
          <w:szCs w:val="22"/>
        </w:rPr>
        <w:t xml:space="preserve"> utilizing COFOG for the general</w:t>
      </w:r>
      <w:r w:rsidR="006C2455" w:rsidRPr="00F81F0C">
        <w:rPr>
          <w:sz w:val="22"/>
          <w:szCs w:val="22"/>
        </w:rPr>
        <w:t xml:space="preserve"> (7</w:t>
      </w:r>
      <w:r w:rsidR="00D176D0" w:rsidRPr="00F81F0C">
        <w:rPr>
          <w:sz w:val="22"/>
          <w:szCs w:val="22"/>
        </w:rPr>
        <w:t>4</w:t>
      </w:r>
      <w:r w:rsidR="006C2455" w:rsidRPr="00F81F0C">
        <w:rPr>
          <w:sz w:val="22"/>
          <w:szCs w:val="22"/>
        </w:rPr>
        <w:t>%</w:t>
      </w:r>
      <w:r w:rsidR="00B91942">
        <w:rPr>
          <w:sz w:val="22"/>
          <w:szCs w:val="22"/>
        </w:rPr>
        <w:t>, n=37</w:t>
      </w:r>
      <w:r w:rsidR="006C2455" w:rsidRPr="00F81F0C">
        <w:rPr>
          <w:sz w:val="22"/>
          <w:szCs w:val="22"/>
        </w:rPr>
        <w:t>)</w:t>
      </w:r>
      <w:r w:rsidRPr="00F81F0C">
        <w:rPr>
          <w:sz w:val="22"/>
          <w:szCs w:val="22"/>
        </w:rPr>
        <w:t>, central</w:t>
      </w:r>
      <w:r w:rsidR="006C2455" w:rsidRPr="00F81F0C">
        <w:rPr>
          <w:sz w:val="22"/>
          <w:szCs w:val="22"/>
        </w:rPr>
        <w:t xml:space="preserve"> (7</w:t>
      </w:r>
      <w:r w:rsidR="00D176D0" w:rsidRPr="00F81F0C">
        <w:rPr>
          <w:sz w:val="22"/>
          <w:szCs w:val="22"/>
        </w:rPr>
        <w:t>2</w:t>
      </w:r>
      <w:r w:rsidR="006C2455" w:rsidRPr="00F81F0C">
        <w:rPr>
          <w:sz w:val="22"/>
          <w:szCs w:val="22"/>
        </w:rPr>
        <w:t>%</w:t>
      </w:r>
      <w:r w:rsidR="00B91942">
        <w:rPr>
          <w:sz w:val="22"/>
          <w:szCs w:val="22"/>
        </w:rPr>
        <w:t>, n=36</w:t>
      </w:r>
      <w:r w:rsidR="006C2455" w:rsidRPr="00F81F0C">
        <w:rPr>
          <w:sz w:val="22"/>
          <w:szCs w:val="22"/>
        </w:rPr>
        <w:t>)</w:t>
      </w:r>
      <w:r w:rsidRPr="00F81F0C">
        <w:rPr>
          <w:sz w:val="22"/>
          <w:szCs w:val="22"/>
        </w:rPr>
        <w:t xml:space="preserve"> and local government</w:t>
      </w:r>
      <w:r w:rsidR="006C2455" w:rsidRPr="00F81F0C">
        <w:rPr>
          <w:sz w:val="22"/>
          <w:szCs w:val="22"/>
        </w:rPr>
        <w:t xml:space="preserve"> (5</w:t>
      </w:r>
      <w:r w:rsidR="00D176D0" w:rsidRPr="00F81F0C">
        <w:rPr>
          <w:sz w:val="22"/>
          <w:szCs w:val="22"/>
        </w:rPr>
        <w:t>6</w:t>
      </w:r>
      <w:r w:rsidR="006C2455" w:rsidRPr="00F81F0C">
        <w:rPr>
          <w:sz w:val="22"/>
          <w:szCs w:val="22"/>
        </w:rPr>
        <w:t>%</w:t>
      </w:r>
      <w:r w:rsidR="00B91942">
        <w:rPr>
          <w:sz w:val="22"/>
          <w:szCs w:val="22"/>
        </w:rPr>
        <w:t>, n=28</w:t>
      </w:r>
      <w:r w:rsidR="006C2455" w:rsidRPr="00F81F0C">
        <w:rPr>
          <w:sz w:val="22"/>
          <w:szCs w:val="22"/>
        </w:rPr>
        <w:t>)</w:t>
      </w:r>
      <w:r w:rsidRPr="00F81F0C">
        <w:rPr>
          <w:sz w:val="22"/>
          <w:szCs w:val="22"/>
        </w:rPr>
        <w:t xml:space="preserve"> sectors.  </w:t>
      </w:r>
    </w:p>
    <w:p w14:paraId="1CBDE9D4" w14:textId="77777777" w:rsidR="00DB6C9F" w:rsidRDefault="00DB6C9F" w:rsidP="00F81F0C">
      <w:pPr>
        <w:pStyle w:val="ListParagraph"/>
        <w:spacing w:after="0" w:line="240" w:lineRule="auto"/>
        <w:ind w:left="360"/>
        <w:jc w:val="both"/>
        <w:rPr>
          <w:sz w:val="22"/>
          <w:szCs w:val="22"/>
        </w:rPr>
      </w:pPr>
    </w:p>
    <w:p w14:paraId="07EA4760" w14:textId="7E7EBF45" w:rsidR="00D176D0" w:rsidRPr="00F81F0C" w:rsidRDefault="007B0FFB" w:rsidP="00F81F0C">
      <w:pPr>
        <w:spacing w:after="0" w:line="240" w:lineRule="auto"/>
        <w:jc w:val="both"/>
        <w:rPr>
          <w:sz w:val="22"/>
          <w:szCs w:val="22"/>
        </w:rPr>
      </w:pPr>
      <w:r w:rsidRPr="00F81F0C">
        <w:rPr>
          <w:sz w:val="22"/>
          <w:szCs w:val="22"/>
        </w:rPr>
        <w:t xml:space="preserve">An additional </w:t>
      </w:r>
      <w:r w:rsidR="00A65958">
        <w:rPr>
          <w:sz w:val="22"/>
          <w:szCs w:val="22"/>
        </w:rPr>
        <w:t>40% (n=20)</w:t>
      </w:r>
      <w:r w:rsidRPr="00F81F0C">
        <w:rPr>
          <w:sz w:val="22"/>
          <w:szCs w:val="22"/>
        </w:rPr>
        <w:t xml:space="preserve"> and 3</w:t>
      </w:r>
      <w:r w:rsidR="00A65958">
        <w:rPr>
          <w:sz w:val="22"/>
          <w:szCs w:val="22"/>
        </w:rPr>
        <w:t>8</w:t>
      </w:r>
      <w:r w:rsidRPr="00F81F0C">
        <w:rPr>
          <w:sz w:val="22"/>
          <w:szCs w:val="22"/>
        </w:rPr>
        <w:t>%</w:t>
      </w:r>
      <w:r w:rsidR="00A65958">
        <w:rPr>
          <w:sz w:val="22"/>
          <w:szCs w:val="22"/>
        </w:rPr>
        <w:t xml:space="preserve"> (n=19)</w:t>
      </w:r>
      <w:r w:rsidRPr="00F81F0C">
        <w:rPr>
          <w:sz w:val="22"/>
          <w:szCs w:val="22"/>
        </w:rPr>
        <w:t xml:space="preserve"> reported utilizing COFOG for social security funds and state government, respectively.  </w:t>
      </w:r>
    </w:p>
    <w:p w14:paraId="2091DFDC" w14:textId="77777777" w:rsidR="00D176D0" w:rsidRDefault="00D176D0" w:rsidP="00F81F0C">
      <w:pPr>
        <w:pStyle w:val="ListParagraph"/>
        <w:spacing w:after="0" w:line="240" w:lineRule="auto"/>
        <w:ind w:left="360"/>
        <w:jc w:val="both"/>
        <w:rPr>
          <w:sz w:val="22"/>
          <w:szCs w:val="22"/>
        </w:rPr>
      </w:pPr>
    </w:p>
    <w:p w14:paraId="16785737" w14:textId="577A42C0" w:rsidR="006D4C1D" w:rsidRPr="00F81F0C" w:rsidRDefault="007B0FFB" w:rsidP="00F81F0C">
      <w:pPr>
        <w:spacing w:after="0" w:line="240" w:lineRule="auto"/>
        <w:jc w:val="both"/>
        <w:rPr>
          <w:sz w:val="22"/>
          <w:szCs w:val="22"/>
        </w:rPr>
      </w:pPr>
      <w:r w:rsidRPr="00F81F0C">
        <w:rPr>
          <w:sz w:val="22"/>
          <w:szCs w:val="22"/>
        </w:rPr>
        <w:t>14%</w:t>
      </w:r>
      <w:r w:rsidR="00B045FE">
        <w:rPr>
          <w:sz w:val="22"/>
          <w:szCs w:val="22"/>
        </w:rPr>
        <w:t xml:space="preserve"> (n=7)</w:t>
      </w:r>
      <w:r w:rsidRPr="00F81F0C">
        <w:rPr>
          <w:sz w:val="22"/>
          <w:szCs w:val="22"/>
        </w:rPr>
        <w:t xml:space="preserve"> note that they use COFOG for government enterprises/public corporations.  </w:t>
      </w:r>
    </w:p>
    <w:p w14:paraId="22A66061" w14:textId="77777777" w:rsidR="00984FCF" w:rsidRDefault="00984FCF" w:rsidP="00485B5A">
      <w:pPr>
        <w:spacing w:after="0" w:line="240" w:lineRule="auto"/>
        <w:jc w:val="both"/>
        <w:rPr>
          <w:sz w:val="22"/>
          <w:szCs w:val="22"/>
          <w:u w:val="single"/>
        </w:rPr>
      </w:pPr>
    </w:p>
    <w:p w14:paraId="59867312" w14:textId="77777777" w:rsidR="008470CA" w:rsidRDefault="008470CA" w:rsidP="00485B5A">
      <w:pPr>
        <w:spacing w:after="0" w:line="240" w:lineRule="auto"/>
        <w:jc w:val="both"/>
        <w:rPr>
          <w:sz w:val="22"/>
          <w:szCs w:val="22"/>
          <w:u w:val="single"/>
        </w:rPr>
      </w:pPr>
    </w:p>
    <w:p w14:paraId="5025267F" w14:textId="503864E0" w:rsidR="00B045FE" w:rsidRDefault="008470CA" w:rsidP="00B045FE">
      <w:pPr>
        <w:spacing w:after="0" w:line="240" w:lineRule="auto"/>
        <w:jc w:val="both"/>
        <w:rPr>
          <w:sz w:val="22"/>
          <w:szCs w:val="22"/>
          <w:u w:val="single"/>
        </w:rPr>
      </w:pPr>
      <w:r>
        <w:rPr>
          <w:noProof/>
          <w:sz w:val="22"/>
          <w:szCs w:val="22"/>
        </w:rPr>
        <w:drawing>
          <wp:inline distT="0" distB="0" distL="0" distR="0" wp14:anchorId="2703394E" wp14:editId="5AA0ED2C">
            <wp:extent cx="5782310" cy="2884714"/>
            <wp:effectExtent l="0" t="0" r="8890" b="0"/>
            <wp:docPr id="101486233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287576" w14:textId="77777777" w:rsidR="00360822" w:rsidRDefault="00360822" w:rsidP="00B045FE">
      <w:pPr>
        <w:spacing w:after="0" w:line="240" w:lineRule="auto"/>
        <w:jc w:val="both"/>
        <w:rPr>
          <w:sz w:val="22"/>
          <w:szCs w:val="22"/>
          <w:u w:val="single"/>
        </w:rPr>
      </w:pPr>
    </w:p>
    <w:p w14:paraId="06BDF4F9" w14:textId="550A6B99" w:rsidR="0070367E" w:rsidRPr="0021418C" w:rsidRDefault="00984FCF" w:rsidP="00D25872">
      <w:pPr>
        <w:pStyle w:val="ListParagraph"/>
        <w:numPr>
          <w:ilvl w:val="0"/>
          <w:numId w:val="30"/>
        </w:numPr>
        <w:spacing w:after="0"/>
        <w:rPr>
          <w:b/>
          <w:bCs/>
          <w:sz w:val="22"/>
          <w:szCs w:val="22"/>
        </w:rPr>
      </w:pPr>
      <w:bookmarkStart w:id="8" w:name="_Toc195776385"/>
      <w:r w:rsidRPr="000E7F93">
        <w:rPr>
          <w:rStyle w:val="Heading3Char"/>
        </w:rPr>
        <w:t>Primary/Secondary Expenditure</w:t>
      </w:r>
      <w:bookmarkEnd w:id="8"/>
      <w:r w:rsidR="00366E64">
        <w:br/>
      </w:r>
      <w:r w:rsidR="00B7424E" w:rsidRPr="0021418C">
        <w:rPr>
          <w:sz w:val="22"/>
          <w:szCs w:val="22"/>
        </w:rPr>
        <w:t>Questions 13-16</w:t>
      </w:r>
      <w:r w:rsidR="007A23F1" w:rsidRPr="0021418C">
        <w:rPr>
          <w:sz w:val="22"/>
          <w:szCs w:val="22"/>
        </w:rPr>
        <w:t xml:space="preserve"> f</w:t>
      </w:r>
      <w:r w:rsidR="0070367E" w:rsidRPr="0021418C">
        <w:rPr>
          <w:sz w:val="22"/>
          <w:szCs w:val="22"/>
        </w:rPr>
        <w:t>or compilers and</w:t>
      </w:r>
      <w:r w:rsidR="00D37E3E" w:rsidRPr="0021418C">
        <w:rPr>
          <w:sz w:val="22"/>
          <w:szCs w:val="22"/>
        </w:rPr>
        <w:t>/or</w:t>
      </w:r>
      <w:r w:rsidR="0070367E" w:rsidRPr="0021418C">
        <w:rPr>
          <w:sz w:val="22"/>
          <w:szCs w:val="22"/>
        </w:rPr>
        <w:t xml:space="preserve"> providers only</w:t>
      </w:r>
    </w:p>
    <w:p w14:paraId="7CC8B0FC" w14:textId="77777777" w:rsidR="0070367E" w:rsidRPr="00F67176" w:rsidRDefault="0070367E" w:rsidP="00485B5A">
      <w:pPr>
        <w:spacing w:after="0" w:line="240" w:lineRule="auto"/>
        <w:jc w:val="both"/>
        <w:rPr>
          <w:sz w:val="22"/>
          <w:szCs w:val="22"/>
        </w:rPr>
      </w:pPr>
    </w:p>
    <w:p w14:paraId="6DB42AA5" w14:textId="173EA908" w:rsidR="008C7822" w:rsidRPr="00F67176" w:rsidRDefault="008C7822" w:rsidP="00485B5A">
      <w:pPr>
        <w:spacing w:after="0" w:line="240" w:lineRule="auto"/>
        <w:jc w:val="both"/>
        <w:rPr>
          <w:sz w:val="22"/>
          <w:szCs w:val="22"/>
        </w:rPr>
      </w:pPr>
      <w:r w:rsidRPr="00F67176">
        <w:rPr>
          <w:sz w:val="22"/>
          <w:szCs w:val="22"/>
        </w:rPr>
        <w:t xml:space="preserve">This cohort of questions </w:t>
      </w:r>
      <w:r w:rsidR="00DD793B" w:rsidRPr="00F67176">
        <w:rPr>
          <w:sz w:val="22"/>
          <w:szCs w:val="22"/>
        </w:rPr>
        <w:t xml:space="preserve">shed light </w:t>
      </w:r>
      <w:r w:rsidR="00000723" w:rsidRPr="00F67176">
        <w:rPr>
          <w:sz w:val="22"/>
          <w:szCs w:val="22"/>
        </w:rPr>
        <w:t xml:space="preserve">on the current practice by </w:t>
      </w:r>
      <w:r w:rsidR="00D62009" w:rsidRPr="00F67176">
        <w:rPr>
          <w:sz w:val="22"/>
          <w:szCs w:val="22"/>
        </w:rPr>
        <w:t>countries</w:t>
      </w:r>
      <w:r w:rsidR="00000723" w:rsidRPr="00F67176">
        <w:rPr>
          <w:sz w:val="22"/>
          <w:szCs w:val="22"/>
        </w:rPr>
        <w:t xml:space="preserve"> on </w:t>
      </w:r>
      <w:r w:rsidR="00D62009" w:rsidRPr="00F67176">
        <w:rPr>
          <w:sz w:val="22"/>
          <w:szCs w:val="22"/>
        </w:rPr>
        <w:t>the identification of</w:t>
      </w:r>
      <w:r w:rsidR="00000723" w:rsidRPr="00F67176">
        <w:rPr>
          <w:sz w:val="22"/>
          <w:szCs w:val="22"/>
        </w:rPr>
        <w:t xml:space="preserve"> primary and secondary purpose expenditure</w:t>
      </w:r>
      <w:r w:rsidR="00DB4D8A" w:rsidRPr="00F67176">
        <w:rPr>
          <w:sz w:val="22"/>
          <w:szCs w:val="22"/>
        </w:rPr>
        <w:t>.</w:t>
      </w:r>
      <w:r w:rsidRPr="00F67176">
        <w:rPr>
          <w:sz w:val="22"/>
          <w:szCs w:val="22"/>
        </w:rPr>
        <w:t xml:space="preserve"> </w:t>
      </w:r>
      <w:r w:rsidR="007A25F5" w:rsidRPr="00F67176">
        <w:rPr>
          <w:sz w:val="22"/>
          <w:szCs w:val="22"/>
        </w:rPr>
        <w:t xml:space="preserve">The practice of budget tagging is widely used </w:t>
      </w:r>
      <w:r w:rsidR="00986D44" w:rsidRPr="00F67176">
        <w:rPr>
          <w:sz w:val="22"/>
          <w:szCs w:val="22"/>
        </w:rPr>
        <w:t xml:space="preserve">but consistency with </w:t>
      </w:r>
      <w:r w:rsidR="00844855" w:rsidRPr="00F67176">
        <w:rPr>
          <w:sz w:val="22"/>
          <w:szCs w:val="22"/>
        </w:rPr>
        <w:t xml:space="preserve">other </w:t>
      </w:r>
      <w:r w:rsidR="00665E58" w:rsidRPr="00F67176">
        <w:rPr>
          <w:sz w:val="22"/>
          <w:szCs w:val="22"/>
        </w:rPr>
        <w:t xml:space="preserve">official statistics sources </w:t>
      </w:r>
      <w:r w:rsidR="00990BDE" w:rsidRPr="00F67176">
        <w:rPr>
          <w:sz w:val="22"/>
          <w:szCs w:val="22"/>
        </w:rPr>
        <w:t xml:space="preserve">is an issue to </w:t>
      </w:r>
      <w:r w:rsidR="000575F7" w:rsidRPr="00F67176">
        <w:rPr>
          <w:sz w:val="22"/>
          <w:szCs w:val="22"/>
        </w:rPr>
        <w:t xml:space="preserve">be </w:t>
      </w:r>
      <w:r w:rsidR="00990BDE" w:rsidRPr="00F67176">
        <w:rPr>
          <w:sz w:val="22"/>
          <w:szCs w:val="22"/>
        </w:rPr>
        <w:t>address</w:t>
      </w:r>
      <w:r w:rsidR="000575F7" w:rsidRPr="00F67176">
        <w:rPr>
          <w:sz w:val="22"/>
          <w:szCs w:val="22"/>
        </w:rPr>
        <w:t>ed</w:t>
      </w:r>
      <w:r w:rsidR="00990BDE" w:rsidRPr="00F67176">
        <w:rPr>
          <w:sz w:val="22"/>
          <w:szCs w:val="22"/>
        </w:rPr>
        <w:t xml:space="preserve">. </w:t>
      </w:r>
      <w:r w:rsidRPr="00F67176">
        <w:rPr>
          <w:sz w:val="22"/>
          <w:szCs w:val="22"/>
        </w:rPr>
        <w:t xml:space="preserve">The results would serve as the input for discussion </w:t>
      </w:r>
      <w:r w:rsidR="00751432" w:rsidRPr="00F67176">
        <w:rPr>
          <w:sz w:val="22"/>
          <w:szCs w:val="22"/>
        </w:rPr>
        <w:t>for</w:t>
      </w:r>
      <w:r w:rsidRPr="00F67176">
        <w:rPr>
          <w:sz w:val="22"/>
          <w:szCs w:val="22"/>
        </w:rPr>
        <w:t xml:space="preserve"> revision issue B</w:t>
      </w:r>
      <w:r w:rsidR="00981E19" w:rsidRPr="00F67176">
        <w:rPr>
          <w:sz w:val="22"/>
          <w:szCs w:val="22"/>
        </w:rPr>
        <w:t>2</w:t>
      </w:r>
      <w:r w:rsidRPr="00F67176">
        <w:rPr>
          <w:sz w:val="22"/>
          <w:szCs w:val="22"/>
        </w:rPr>
        <w:t xml:space="preserve"> on </w:t>
      </w:r>
      <w:r w:rsidR="00981E19" w:rsidRPr="00F67176">
        <w:rPr>
          <w:sz w:val="22"/>
          <w:szCs w:val="22"/>
        </w:rPr>
        <w:t xml:space="preserve">classification criteria </w:t>
      </w:r>
      <w:r w:rsidR="00751432" w:rsidRPr="00F67176">
        <w:rPr>
          <w:sz w:val="22"/>
          <w:szCs w:val="22"/>
        </w:rPr>
        <w:t>related to primary and secondary purpose</w:t>
      </w:r>
      <w:r w:rsidR="002C36CC" w:rsidRPr="00F67176">
        <w:rPr>
          <w:sz w:val="22"/>
          <w:szCs w:val="22"/>
        </w:rPr>
        <w:t xml:space="preserve"> and B4 on compilation issues.</w:t>
      </w:r>
      <w:r w:rsidR="003B1EEE" w:rsidRPr="00F67176">
        <w:rPr>
          <w:sz w:val="22"/>
          <w:szCs w:val="22"/>
        </w:rPr>
        <w:t xml:space="preserve"> </w:t>
      </w:r>
    </w:p>
    <w:p w14:paraId="5B080053" w14:textId="77777777" w:rsidR="008C7822" w:rsidRDefault="008C7822" w:rsidP="00485B5A">
      <w:pPr>
        <w:spacing w:after="0" w:line="240" w:lineRule="auto"/>
        <w:jc w:val="both"/>
        <w:rPr>
          <w:sz w:val="22"/>
          <w:szCs w:val="22"/>
        </w:rPr>
      </w:pPr>
    </w:p>
    <w:p w14:paraId="715DEFE6" w14:textId="77777777" w:rsidR="00360822" w:rsidRDefault="00360822" w:rsidP="008E63ED">
      <w:pPr>
        <w:spacing w:after="0" w:line="240" w:lineRule="auto"/>
        <w:jc w:val="both"/>
        <w:rPr>
          <w:b/>
          <w:bCs/>
          <w:sz w:val="22"/>
          <w:szCs w:val="22"/>
        </w:rPr>
      </w:pPr>
    </w:p>
    <w:p w14:paraId="35231C31" w14:textId="77777777" w:rsidR="00360822" w:rsidRDefault="00360822" w:rsidP="008E63ED">
      <w:pPr>
        <w:spacing w:after="0" w:line="240" w:lineRule="auto"/>
        <w:jc w:val="both"/>
        <w:rPr>
          <w:b/>
          <w:bCs/>
          <w:sz w:val="22"/>
          <w:szCs w:val="22"/>
        </w:rPr>
      </w:pPr>
    </w:p>
    <w:p w14:paraId="775D6100" w14:textId="77777777" w:rsidR="00360822" w:rsidRDefault="00360822" w:rsidP="008E63ED">
      <w:pPr>
        <w:spacing w:after="0" w:line="240" w:lineRule="auto"/>
        <w:jc w:val="both"/>
        <w:rPr>
          <w:b/>
          <w:bCs/>
          <w:sz w:val="22"/>
          <w:szCs w:val="22"/>
        </w:rPr>
      </w:pPr>
    </w:p>
    <w:p w14:paraId="623AC266" w14:textId="77777777" w:rsidR="00360822" w:rsidRDefault="00360822" w:rsidP="008E63ED">
      <w:pPr>
        <w:spacing w:after="0" w:line="240" w:lineRule="auto"/>
        <w:jc w:val="both"/>
        <w:rPr>
          <w:b/>
          <w:bCs/>
          <w:sz w:val="22"/>
          <w:szCs w:val="22"/>
        </w:rPr>
      </w:pPr>
    </w:p>
    <w:p w14:paraId="663C3066" w14:textId="77777777" w:rsidR="00360822" w:rsidRDefault="00360822" w:rsidP="008E63ED">
      <w:pPr>
        <w:spacing w:after="0" w:line="240" w:lineRule="auto"/>
        <w:jc w:val="both"/>
        <w:rPr>
          <w:b/>
          <w:bCs/>
          <w:sz w:val="22"/>
          <w:szCs w:val="22"/>
        </w:rPr>
      </w:pPr>
    </w:p>
    <w:p w14:paraId="26BD9D04" w14:textId="77777777" w:rsidR="00360822" w:rsidRDefault="00360822" w:rsidP="008E63ED">
      <w:pPr>
        <w:spacing w:after="0" w:line="240" w:lineRule="auto"/>
        <w:jc w:val="both"/>
        <w:rPr>
          <w:b/>
          <w:bCs/>
          <w:sz w:val="22"/>
          <w:szCs w:val="22"/>
        </w:rPr>
      </w:pPr>
    </w:p>
    <w:p w14:paraId="736C9940" w14:textId="77777777" w:rsidR="00360822" w:rsidRDefault="00360822" w:rsidP="008E63ED">
      <w:pPr>
        <w:spacing w:after="0" w:line="240" w:lineRule="auto"/>
        <w:jc w:val="both"/>
        <w:rPr>
          <w:b/>
          <w:bCs/>
          <w:sz w:val="22"/>
          <w:szCs w:val="22"/>
        </w:rPr>
      </w:pPr>
    </w:p>
    <w:p w14:paraId="3F9D3F68" w14:textId="77777777" w:rsidR="00360822" w:rsidRDefault="00360822" w:rsidP="008E63ED">
      <w:pPr>
        <w:spacing w:after="0" w:line="240" w:lineRule="auto"/>
        <w:jc w:val="both"/>
        <w:rPr>
          <w:b/>
          <w:bCs/>
          <w:sz w:val="22"/>
          <w:szCs w:val="22"/>
        </w:rPr>
      </w:pPr>
    </w:p>
    <w:p w14:paraId="09CA9332" w14:textId="28402376" w:rsidR="00137621" w:rsidRPr="008E63ED" w:rsidRDefault="00A837FF" w:rsidP="008E63ED">
      <w:pPr>
        <w:spacing w:after="0" w:line="240" w:lineRule="auto"/>
        <w:jc w:val="both"/>
        <w:rPr>
          <w:b/>
          <w:bCs/>
          <w:sz w:val="22"/>
          <w:szCs w:val="22"/>
        </w:rPr>
      </w:pPr>
      <w:r>
        <w:rPr>
          <w:b/>
          <w:bCs/>
          <w:sz w:val="22"/>
          <w:szCs w:val="22"/>
        </w:rPr>
        <w:lastRenderedPageBreak/>
        <w:t xml:space="preserve">13. </w:t>
      </w:r>
      <w:r w:rsidR="006D4C1D" w:rsidRPr="00510C0A">
        <w:rPr>
          <w:b/>
          <w:bCs/>
          <w:sz w:val="22"/>
          <w:szCs w:val="22"/>
        </w:rPr>
        <w:t>Does your institution use budget tagging to identify primary expenditures in your data system?</w:t>
      </w:r>
    </w:p>
    <w:p w14:paraId="2C87C469" w14:textId="113829C1" w:rsidR="00AB4DE8" w:rsidRDefault="00AB4DE8" w:rsidP="00CB2F7D">
      <w:pPr>
        <w:spacing w:after="0" w:line="240" w:lineRule="auto"/>
        <w:rPr>
          <w:sz w:val="22"/>
          <w:szCs w:val="22"/>
        </w:rPr>
      </w:pPr>
      <w:r>
        <w:rPr>
          <w:noProof/>
          <w:sz w:val="22"/>
          <w:szCs w:val="22"/>
        </w:rPr>
        <w:drawing>
          <wp:inline distT="0" distB="0" distL="0" distR="0" wp14:anchorId="32A69945" wp14:editId="1CE98939">
            <wp:extent cx="3038475" cy="1400175"/>
            <wp:effectExtent l="0" t="0" r="0" b="0"/>
            <wp:docPr id="6400984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48B1EC" w14:textId="1623938F" w:rsidR="008E63ED" w:rsidRDefault="008E63ED" w:rsidP="008E63ED">
      <w:pPr>
        <w:spacing w:after="0" w:line="240" w:lineRule="auto"/>
        <w:jc w:val="both"/>
        <w:rPr>
          <w:sz w:val="22"/>
          <w:szCs w:val="22"/>
        </w:rPr>
      </w:pPr>
      <w:r>
        <w:rPr>
          <w:sz w:val="22"/>
          <w:szCs w:val="22"/>
        </w:rPr>
        <w:t>A majority of respondents to this question (69%</w:t>
      </w:r>
      <w:r w:rsidR="00DE6093">
        <w:rPr>
          <w:sz w:val="22"/>
          <w:szCs w:val="22"/>
        </w:rPr>
        <w:t>, n=48</w:t>
      </w:r>
      <w:r>
        <w:rPr>
          <w:sz w:val="22"/>
          <w:szCs w:val="22"/>
        </w:rPr>
        <w:t>) noted that their institution uses budget tagging to identify primary expenditures</w:t>
      </w:r>
      <w:r w:rsidR="00C23EB9">
        <w:rPr>
          <w:sz w:val="22"/>
          <w:szCs w:val="22"/>
        </w:rPr>
        <w:t>, while 31% (n=</w:t>
      </w:r>
      <w:r w:rsidR="00AB5CC4">
        <w:rPr>
          <w:sz w:val="22"/>
          <w:szCs w:val="22"/>
        </w:rPr>
        <w:t>22) do not</w:t>
      </w:r>
      <w:r>
        <w:rPr>
          <w:sz w:val="22"/>
          <w:szCs w:val="22"/>
        </w:rPr>
        <w:t xml:space="preserve">.  </w:t>
      </w:r>
    </w:p>
    <w:p w14:paraId="244BF664" w14:textId="77777777" w:rsidR="00AB4DE8" w:rsidRDefault="00AB4DE8" w:rsidP="00485B5A">
      <w:pPr>
        <w:spacing w:after="0" w:line="240" w:lineRule="auto"/>
        <w:jc w:val="both"/>
        <w:rPr>
          <w:sz w:val="22"/>
          <w:szCs w:val="22"/>
        </w:rPr>
      </w:pPr>
    </w:p>
    <w:p w14:paraId="37DA8B7C" w14:textId="0A9842E1" w:rsidR="00D71938" w:rsidRPr="0053790C" w:rsidRDefault="00D71938" w:rsidP="00485B5A">
      <w:pPr>
        <w:spacing w:after="0" w:line="240" w:lineRule="auto"/>
        <w:jc w:val="both"/>
        <w:rPr>
          <w:b/>
          <w:bCs/>
          <w:sz w:val="22"/>
          <w:szCs w:val="22"/>
        </w:rPr>
      </w:pPr>
      <w:r w:rsidRPr="0053790C">
        <w:rPr>
          <w:b/>
          <w:bCs/>
          <w:sz w:val="22"/>
          <w:szCs w:val="22"/>
        </w:rPr>
        <w:t xml:space="preserve">If </w:t>
      </w:r>
      <w:proofErr w:type="gramStart"/>
      <w:r w:rsidRPr="0053790C">
        <w:rPr>
          <w:b/>
          <w:bCs/>
          <w:sz w:val="22"/>
          <w:szCs w:val="22"/>
        </w:rPr>
        <w:t>no</w:t>
      </w:r>
      <w:proofErr w:type="gramEnd"/>
      <w:r w:rsidRPr="0053790C">
        <w:rPr>
          <w:b/>
          <w:bCs/>
          <w:sz w:val="22"/>
          <w:szCs w:val="22"/>
        </w:rPr>
        <w:t>, please explain which method(s) are used to identify primary expenditure</w:t>
      </w:r>
    </w:p>
    <w:p w14:paraId="7FAB98C0" w14:textId="77777777" w:rsidR="008225F7" w:rsidRPr="008E63ED" w:rsidRDefault="008225F7" w:rsidP="00485B5A">
      <w:pPr>
        <w:spacing w:after="0" w:line="240" w:lineRule="auto"/>
        <w:jc w:val="both"/>
        <w:rPr>
          <w:sz w:val="22"/>
          <w:szCs w:val="22"/>
        </w:rPr>
      </w:pPr>
    </w:p>
    <w:p w14:paraId="0251C299" w14:textId="3FDD1333" w:rsidR="008225F7" w:rsidRPr="00DB2751" w:rsidRDefault="007A2C7F" w:rsidP="00485B5A">
      <w:pPr>
        <w:spacing w:after="0" w:line="240" w:lineRule="auto"/>
        <w:jc w:val="both"/>
        <w:rPr>
          <w:sz w:val="22"/>
          <w:szCs w:val="22"/>
        </w:rPr>
      </w:pPr>
      <w:r w:rsidRPr="00DB2751">
        <w:rPr>
          <w:sz w:val="22"/>
          <w:szCs w:val="22"/>
        </w:rPr>
        <w:t>The most common r</w:t>
      </w:r>
      <w:r w:rsidR="008225F7" w:rsidRPr="00DB2751">
        <w:rPr>
          <w:sz w:val="22"/>
          <w:szCs w:val="22"/>
        </w:rPr>
        <w:t xml:space="preserve">esponse </w:t>
      </w:r>
      <w:r w:rsidRPr="00DB2751">
        <w:rPr>
          <w:sz w:val="22"/>
          <w:szCs w:val="22"/>
        </w:rPr>
        <w:t xml:space="preserve">mentioned use of </w:t>
      </w:r>
      <w:r w:rsidR="00693C83" w:rsidRPr="00DB2751">
        <w:rPr>
          <w:sz w:val="22"/>
          <w:szCs w:val="22"/>
        </w:rPr>
        <w:t xml:space="preserve">COFOG or another </w:t>
      </w:r>
      <w:r w:rsidRPr="00DB2751">
        <w:rPr>
          <w:sz w:val="22"/>
          <w:szCs w:val="22"/>
        </w:rPr>
        <w:t>classification</w:t>
      </w:r>
      <w:r w:rsidR="0088384A" w:rsidRPr="00DB2751">
        <w:rPr>
          <w:sz w:val="22"/>
          <w:szCs w:val="22"/>
        </w:rPr>
        <w:t xml:space="preserve"> </w:t>
      </w:r>
      <w:r w:rsidR="00AB412A" w:rsidRPr="00DB2751">
        <w:rPr>
          <w:sz w:val="22"/>
          <w:szCs w:val="22"/>
        </w:rPr>
        <w:t xml:space="preserve">to identify primary expenditure.  Several other respondents noted use of </w:t>
      </w:r>
      <w:r w:rsidR="0044394E" w:rsidRPr="00DB2751">
        <w:rPr>
          <w:sz w:val="22"/>
          <w:szCs w:val="22"/>
        </w:rPr>
        <w:t>analysis</w:t>
      </w:r>
      <w:r w:rsidR="00A02D17" w:rsidRPr="00DB2751">
        <w:rPr>
          <w:sz w:val="22"/>
          <w:szCs w:val="22"/>
        </w:rPr>
        <w:t xml:space="preserve">, </w:t>
      </w:r>
      <w:r w:rsidR="008A6001" w:rsidRPr="00DB2751">
        <w:rPr>
          <w:sz w:val="22"/>
          <w:szCs w:val="22"/>
        </w:rPr>
        <w:t>utilizing policy</w:t>
      </w:r>
      <w:r w:rsidR="00A02D17" w:rsidRPr="00DB2751">
        <w:rPr>
          <w:sz w:val="22"/>
          <w:szCs w:val="22"/>
        </w:rPr>
        <w:t xml:space="preserve"> areas, </w:t>
      </w:r>
      <w:r w:rsidR="00DB2751" w:rsidRPr="00DB2751">
        <w:rPr>
          <w:sz w:val="22"/>
          <w:szCs w:val="22"/>
        </w:rPr>
        <w:t xml:space="preserve">or manually. Others noted </w:t>
      </w:r>
      <w:r w:rsidR="009B62D2" w:rsidRPr="00DB2751">
        <w:rPr>
          <w:sz w:val="22"/>
          <w:szCs w:val="22"/>
        </w:rPr>
        <w:t xml:space="preserve">different treatment </w:t>
      </w:r>
      <w:r w:rsidR="00292199" w:rsidRPr="00DB2751">
        <w:rPr>
          <w:sz w:val="22"/>
          <w:szCs w:val="22"/>
        </w:rPr>
        <w:t xml:space="preserve">for different areas of government. </w:t>
      </w:r>
    </w:p>
    <w:p w14:paraId="273C0FE0" w14:textId="77777777" w:rsidR="0000664A" w:rsidRDefault="0000664A" w:rsidP="00934675">
      <w:pPr>
        <w:spacing w:after="0" w:line="240" w:lineRule="auto"/>
        <w:jc w:val="both"/>
        <w:rPr>
          <w:sz w:val="22"/>
          <w:szCs w:val="22"/>
        </w:rPr>
      </w:pPr>
    </w:p>
    <w:p w14:paraId="523FF69A" w14:textId="05927049" w:rsidR="00F74BB8" w:rsidRDefault="0000664A" w:rsidP="00485B5A">
      <w:pPr>
        <w:spacing w:after="0" w:line="240" w:lineRule="auto"/>
        <w:jc w:val="both"/>
        <w:rPr>
          <w:sz w:val="22"/>
          <w:szCs w:val="22"/>
        </w:rPr>
      </w:pPr>
      <w:r>
        <w:rPr>
          <w:sz w:val="22"/>
          <w:szCs w:val="22"/>
        </w:rPr>
        <w:t>-----------------------------------------------------------------------------------------------------------------------------</w:t>
      </w:r>
    </w:p>
    <w:p w14:paraId="46E2CB23" w14:textId="77777777" w:rsidR="00F74BB8" w:rsidRDefault="00F74BB8" w:rsidP="00485B5A">
      <w:pPr>
        <w:spacing w:after="0" w:line="240" w:lineRule="auto"/>
        <w:jc w:val="both"/>
        <w:rPr>
          <w:sz w:val="22"/>
          <w:szCs w:val="22"/>
        </w:rPr>
      </w:pPr>
    </w:p>
    <w:p w14:paraId="5B6AE2D9" w14:textId="2AABB4FE" w:rsidR="008E63ED" w:rsidRPr="00EE44AF" w:rsidRDefault="00A837FF" w:rsidP="00EE44AF">
      <w:pPr>
        <w:spacing w:after="0" w:line="240" w:lineRule="auto"/>
        <w:jc w:val="both"/>
        <w:rPr>
          <w:b/>
          <w:bCs/>
          <w:sz w:val="22"/>
          <w:szCs w:val="22"/>
        </w:rPr>
      </w:pPr>
      <w:r>
        <w:rPr>
          <w:b/>
          <w:bCs/>
          <w:sz w:val="22"/>
          <w:szCs w:val="22"/>
        </w:rPr>
        <w:t xml:space="preserve">14. </w:t>
      </w:r>
      <w:r w:rsidR="00A07901" w:rsidRPr="00510C0A">
        <w:rPr>
          <w:b/>
          <w:bCs/>
          <w:sz w:val="22"/>
          <w:szCs w:val="22"/>
        </w:rPr>
        <w:t>Does your country identify secondary expenditures in the same way as primary purposes of expenditure?</w:t>
      </w:r>
      <w:r w:rsidR="00D71938">
        <w:rPr>
          <w:sz w:val="22"/>
          <w:szCs w:val="22"/>
        </w:rPr>
        <w:tab/>
      </w:r>
    </w:p>
    <w:p w14:paraId="06B9B4DF" w14:textId="0F7289FB" w:rsidR="008E63ED" w:rsidRDefault="008E63ED" w:rsidP="00485B5A">
      <w:pPr>
        <w:spacing w:after="0" w:line="240" w:lineRule="auto"/>
        <w:jc w:val="both"/>
        <w:rPr>
          <w:sz w:val="22"/>
          <w:szCs w:val="22"/>
        </w:rPr>
      </w:pPr>
      <w:r>
        <w:rPr>
          <w:noProof/>
          <w:sz w:val="22"/>
          <w:szCs w:val="22"/>
        </w:rPr>
        <w:drawing>
          <wp:inline distT="0" distB="0" distL="0" distR="0" wp14:anchorId="38242180" wp14:editId="402DCEAA">
            <wp:extent cx="4996543" cy="1519555"/>
            <wp:effectExtent l="0" t="0" r="0" b="4445"/>
            <wp:docPr id="10503486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7F636C9" w14:textId="7804C9FB" w:rsidR="004C1B2E" w:rsidRDefault="0040196D" w:rsidP="00485B5A">
      <w:pPr>
        <w:spacing w:after="0" w:line="240" w:lineRule="auto"/>
        <w:jc w:val="both"/>
        <w:rPr>
          <w:sz w:val="22"/>
          <w:szCs w:val="22"/>
        </w:rPr>
      </w:pPr>
      <w:r>
        <w:rPr>
          <w:sz w:val="22"/>
          <w:szCs w:val="22"/>
        </w:rPr>
        <w:t>A slight</w:t>
      </w:r>
      <w:r w:rsidR="009C79B9">
        <w:rPr>
          <w:sz w:val="22"/>
          <w:szCs w:val="22"/>
        </w:rPr>
        <w:t xml:space="preserve"> majority of respondents</w:t>
      </w:r>
      <w:r w:rsidR="00BF62D6">
        <w:rPr>
          <w:sz w:val="22"/>
          <w:szCs w:val="22"/>
        </w:rPr>
        <w:t xml:space="preserve"> (5</w:t>
      </w:r>
      <w:r>
        <w:rPr>
          <w:sz w:val="22"/>
          <w:szCs w:val="22"/>
        </w:rPr>
        <w:t>6</w:t>
      </w:r>
      <w:r w:rsidR="00BF62D6">
        <w:rPr>
          <w:sz w:val="22"/>
          <w:szCs w:val="22"/>
        </w:rPr>
        <w:t>%</w:t>
      </w:r>
      <w:r w:rsidR="008950FD">
        <w:rPr>
          <w:sz w:val="22"/>
          <w:szCs w:val="22"/>
        </w:rPr>
        <w:t>, n=38</w:t>
      </w:r>
      <w:r w:rsidR="00BF62D6">
        <w:rPr>
          <w:sz w:val="22"/>
          <w:szCs w:val="22"/>
        </w:rPr>
        <w:t>)</w:t>
      </w:r>
      <w:r w:rsidR="009C79B9">
        <w:rPr>
          <w:sz w:val="22"/>
          <w:szCs w:val="22"/>
        </w:rPr>
        <w:t xml:space="preserve"> noted that their institution does not identify secondary expenditure</w:t>
      </w:r>
      <w:r w:rsidR="00BF62D6">
        <w:rPr>
          <w:sz w:val="22"/>
          <w:szCs w:val="22"/>
        </w:rPr>
        <w:t>.  Among th</w:t>
      </w:r>
      <w:r w:rsidR="003D0453">
        <w:rPr>
          <w:sz w:val="22"/>
          <w:szCs w:val="22"/>
        </w:rPr>
        <w:t>ose</w:t>
      </w:r>
      <w:r w:rsidR="00BF62D6">
        <w:rPr>
          <w:sz w:val="22"/>
          <w:szCs w:val="22"/>
        </w:rPr>
        <w:t xml:space="preserve"> </w:t>
      </w:r>
      <w:r w:rsidR="003D0453">
        <w:rPr>
          <w:sz w:val="22"/>
          <w:szCs w:val="22"/>
        </w:rPr>
        <w:t>who</w:t>
      </w:r>
      <w:r w:rsidR="00BF62D6">
        <w:rPr>
          <w:sz w:val="22"/>
          <w:szCs w:val="22"/>
        </w:rPr>
        <w:t xml:space="preserve"> do</w:t>
      </w:r>
      <w:r w:rsidR="00AA26CC">
        <w:rPr>
          <w:sz w:val="22"/>
          <w:szCs w:val="22"/>
        </w:rPr>
        <w:t>:</w:t>
      </w:r>
      <w:r w:rsidR="00BF62D6">
        <w:rPr>
          <w:sz w:val="22"/>
          <w:szCs w:val="22"/>
        </w:rPr>
        <w:t xml:space="preserve"> </w:t>
      </w:r>
      <w:r w:rsidR="003D0453">
        <w:rPr>
          <w:sz w:val="22"/>
          <w:szCs w:val="22"/>
        </w:rPr>
        <w:t>2</w:t>
      </w:r>
      <w:r w:rsidR="004C1B2E">
        <w:rPr>
          <w:sz w:val="22"/>
          <w:szCs w:val="22"/>
        </w:rPr>
        <w:t>9</w:t>
      </w:r>
      <w:r w:rsidR="003D0453">
        <w:rPr>
          <w:sz w:val="22"/>
          <w:szCs w:val="22"/>
        </w:rPr>
        <w:t xml:space="preserve">% </w:t>
      </w:r>
      <w:r w:rsidR="00537058">
        <w:rPr>
          <w:sz w:val="22"/>
          <w:szCs w:val="22"/>
        </w:rPr>
        <w:t xml:space="preserve">(n=20) </w:t>
      </w:r>
      <w:r w:rsidR="003D0453">
        <w:rPr>
          <w:sz w:val="22"/>
          <w:szCs w:val="22"/>
        </w:rPr>
        <w:t>said they identify secondary expenditures in the same wa</w:t>
      </w:r>
      <w:r w:rsidR="008A0E6D">
        <w:rPr>
          <w:sz w:val="22"/>
          <w:szCs w:val="22"/>
        </w:rPr>
        <w:t>y as primary purposes of expenditure</w:t>
      </w:r>
      <w:r w:rsidR="00935D5B">
        <w:rPr>
          <w:sz w:val="22"/>
          <w:szCs w:val="22"/>
        </w:rPr>
        <w:t>, and t</w:t>
      </w:r>
      <w:r w:rsidR="008A0E6D">
        <w:rPr>
          <w:sz w:val="22"/>
          <w:szCs w:val="22"/>
        </w:rPr>
        <w:t xml:space="preserve">he remaining 15% </w:t>
      </w:r>
      <w:r w:rsidR="00537058">
        <w:rPr>
          <w:sz w:val="22"/>
          <w:szCs w:val="22"/>
        </w:rPr>
        <w:t xml:space="preserve">(n=10) </w:t>
      </w:r>
      <w:r w:rsidR="008A0E6D">
        <w:rPr>
          <w:sz w:val="22"/>
          <w:szCs w:val="22"/>
        </w:rPr>
        <w:t xml:space="preserve">use alternative methods to identify secondary expenditure, </w:t>
      </w:r>
      <w:r w:rsidR="00191E9E">
        <w:rPr>
          <w:sz w:val="22"/>
          <w:szCs w:val="22"/>
        </w:rPr>
        <w:t xml:space="preserve">detailed below. </w:t>
      </w:r>
    </w:p>
    <w:p w14:paraId="02D95B68" w14:textId="77777777" w:rsidR="009C79B9" w:rsidRDefault="009C79B9" w:rsidP="00485B5A">
      <w:pPr>
        <w:spacing w:after="0" w:line="240" w:lineRule="auto"/>
        <w:jc w:val="both"/>
        <w:rPr>
          <w:sz w:val="22"/>
          <w:szCs w:val="22"/>
        </w:rPr>
      </w:pPr>
    </w:p>
    <w:p w14:paraId="2E405675" w14:textId="769F469B" w:rsidR="00EF1E78" w:rsidRPr="00E600F7" w:rsidRDefault="00EF1E78" w:rsidP="00485B5A">
      <w:pPr>
        <w:spacing w:after="0" w:line="240" w:lineRule="auto"/>
        <w:jc w:val="both"/>
        <w:rPr>
          <w:b/>
          <w:bCs/>
          <w:sz w:val="22"/>
          <w:szCs w:val="22"/>
        </w:rPr>
      </w:pPr>
      <w:r w:rsidRPr="00E600F7">
        <w:rPr>
          <w:b/>
          <w:bCs/>
          <w:sz w:val="22"/>
          <w:szCs w:val="22"/>
        </w:rPr>
        <w:t>If your institution uses alternative methods, please explain how secondary expenditures are identified, if applicable</w:t>
      </w:r>
    </w:p>
    <w:p w14:paraId="08B49C04" w14:textId="77777777" w:rsidR="00232E12" w:rsidRPr="00973875" w:rsidRDefault="00232E12" w:rsidP="00485B5A">
      <w:pPr>
        <w:spacing w:after="0" w:line="240" w:lineRule="auto"/>
        <w:jc w:val="both"/>
        <w:rPr>
          <w:sz w:val="22"/>
          <w:szCs w:val="22"/>
        </w:rPr>
      </w:pPr>
    </w:p>
    <w:p w14:paraId="34451D4B" w14:textId="49F531A4" w:rsidR="00232E12" w:rsidRPr="00231BEA" w:rsidRDefault="00232E12" w:rsidP="00232E12">
      <w:pPr>
        <w:spacing w:after="0" w:line="240" w:lineRule="auto"/>
        <w:jc w:val="both"/>
        <w:rPr>
          <w:sz w:val="22"/>
          <w:szCs w:val="22"/>
        </w:rPr>
      </w:pPr>
      <w:r w:rsidRPr="00231BEA">
        <w:rPr>
          <w:sz w:val="22"/>
          <w:szCs w:val="22"/>
        </w:rPr>
        <w:t>Responses included</w:t>
      </w:r>
      <w:r w:rsidR="00AD1DB6" w:rsidRPr="00231BEA">
        <w:rPr>
          <w:sz w:val="22"/>
          <w:szCs w:val="22"/>
        </w:rPr>
        <w:t xml:space="preserve"> </w:t>
      </w:r>
      <w:r w:rsidR="00850E27" w:rsidRPr="00231BEA">
        <w:rPr>
          <w:sz w:val="22"/>
          <w:szCs w:val="22"/>
        </w:rPr>
        <w:t>certain</w:t>
      </w:r>
      <w:r w:rsidR="00EC7CA4" w:rsidRPr="00231BEA">
        <w:rPr>
          <w:sz w:val="22"/>
          <w:szCs w:val="22"/>
        </w:rPr>
        <w:t xml:space="preserve"> </w:t>
      </w:r>
      <w:r w:rsidR="009F33D2" w:rsidRPr="00231BEA">
        <w:rPr>
          <w:sz w:val="22"/>
          <w:szCs w:val="22"/>
        </w:rPr>
        <w:t>instances</w:t>
      </w:r>
      <w:r w:rsidR="00EC7CA4" w:rsidRPr="00231BEA">
        <w:rPr>
          <w:sz w:val="22"/>
          <w:szCs w:val="22"/>
        </w:rPr>
        <w:t xml:space="preserve"> within </w:t>
      </w:r>
      <w:r w:rsidR="00850E27" w:rsidRPr="00231BEA">
        <w:rPr>
          <w:sz w:val="22"/>
          <w:szCs w:val="22"/>
        </w:rPr>
        <w:t xml:space="preserve">some </w:t>
      </w:r>
      <w:r w:rsidR="00EC7CA4" w:rsidRPr="00231BEA">
        <w:rPr>
          <w:sz w:val="22"/>
          <w:szCs w:val="22"/>
        </w:rPr>
        <w:t xml:space="preserve">countries </w:t>
      </w:r>
      <w:r w:rsidR="004F3BA8" w:rsidRPr="00231BEA">
        <w:rPr>
          <w:sz w:val="22"/>
          <w:szCs w:val="22"/>
        </w:rPr>
        <w:t>where secondary expenditure is identified</w:t>
      </w:r>
      <w:r w:rsidR="00AD1DB6" w:rsidRPr="00231BEA">
        <w:rPr>
          <w:sz w:val="22"/>
          <w:szCs w:val="22"/>
        </w:rPr>
        <w:t xml:space="preserve"> or planned to be identified</w:t>
      </w:r>
      <w:r w:rsidR="004F3BA8" w:rsidRPr="00231BEA">
        <w:rPr>
          <w:sz w:val="22"/>
          <w:szCs w:val="22"/>
        </w:rPr>
        <w:t xml:space="preserve">, such as climate change </w:t>
      </w:r>
      <w:proofErr w:type="gramStart"/>
      <w:r w:rsidR="004F3BA8" w:rsidRPr="00231BEA">
        <w:rPr>
          <w:sz w:val="22"/>
          <w:szCs w:val="22"/>
        </w:rPr>
        <w:t>expenditure</w:t>
      </w:r>
      <w:r w:rsidR="00231BEA" w:rsidRPr="00231BEA">
        <w:rPr>
          <w:sz w:val="22"/>
          <w:szCs w:val="22"/>
        </w:rPr>
        <w:t>;</w:t>
      </w:r>
      <w:proofErr w:type="gramEnd"/>
      <w:r w:rsidR="00231BEA" w:rsidRPr="00231BEA">
        <w:rPr>
          <w:sz w:val="22"/>
          <w:szCs w:val="22"/>
        </w:rPr>
        <w:t xml:space="preserve"> </w:t>
      </w:r>
      <w:r w:rsidR="006E6B4D" w:rsidRPr="00231BEA">
        <w:rPr>
          <w:sz w:val="22"/>
          <w:szCs w:val="22"/>
        </w:rPr>
        <w:t xml:space="preserve">or </w:t>
      </w:r>
      <w:r w:rsidR="00231BEA" w:rsidRPr="00231BEA">
        <w:rPr>
          <w:sz w:val="22"/>
          <w:szCs w:val="22"/>
        </w:rPr>
        <w:t>the use of</w:t>
      </w:r>
      <w:r w:rsidR="006E6B4D" w:rsidRPr="00231BEA">
        <w:rPr>
          <w:sz w:val="22"/>
          <w:szCs w:val="22"/>
        </w:rPr>
        <w:t xml:space="preserve"> administrative data</w:t>
      </w:r>
      <w:r w:rsidR="00231BEA" w:rsidRPr="00231BEA">
        <w:rPr>
          <w:sz w:val="22"/>
          <w:szCs w:val="22"/>
        </w:rPr>
        <w:t>.</w:t>
      </w:r>
    </w:p>
    <w:p w14:paraId="1332C918" w14:textId="0A760A34" w:rsidR="00F456F9" w:rsidRDefault="00232E12" w:rsidP="00286240">
      <w:pPr>
        <w:spacing w:after="0" w:line="240" w:lineRule="auto"/>
        <w:jc w:val="both"/>
        <w:rPr>
          <w:sz w:val="22"/>
          <w:szCs w:val="22"/>
        </w:rPr>
      </w:pPr>
      <w:r>
        <w:rPr>
          <w:sz w:val="22"/>
          <w:szCs w:val="22"/>
        </w:rPr>
        <w:tab/>
      </w:r>
    </w:p>
    <w:p w14:paraId="64EE4CED" w14:textId="4639C4F7" w:rsidR="00F456F9" w:rsidRDefault="0000664A" w:rsidP="00485B5A">
      <w:pPr>
        <w:spacing w:after="0" w:line="240" w:lineRule="auto"/>
        <w:jc w:val="both"/>
        <w:rPr>
          <w:sz w:val="22"/>
          <w:szCs w:val="22"/>
        </w:rPr>
      </w:pPr>
      <w:r>
        <w:rPr>
          <w:sz w:val="22"/>
          <w:szCs w:val="22"/>
        </w:rPr>
        <w:t>-----------------------------------------------------------------------------------------------------------------------------</w:t>
      </w:r>
    </w:p>
    <w:p w14:paraId="0F3B6A85" w14:textId="77777777" w:rsidR="00F456F9" w:rsidRDefault="00F456F9" w:rsidP="00485B5A">
      <w:pPr>
        <w:spacing w:after="0" w:line="240" w:lineRule="auto"/>
        <w:jc w:val="both"/>
        <w:rPr>
          <w:sz w:val="22"/>
          <w:szCs w:val="22"/>
        </w:rPr>
      </w:pPr>
    </w:p>
    <w:p w14:paraId="4C2A0484" w14:textId="2A90590A" w:rsidR="00A03A65" w:rsidRPr="00BD5545" w:rsidRDefault="00BC1BAB" w:rsidP="00BD5545">
      <w:pPr>
        <w:spacing w:after="0" w:line="240" w:lineRule="auto"/>
        <w:jc w:val="both"/>
        <w:rPr>
          <w:b/>
          <w:bCs/>
          <w:sz w:val="22"/>
          <w:szCs w:val="22"/>
        </w:rPr>
      </w:pPr>
      <w:r>
        <w:rPr>
          <w:b/>
          <w:bCs/>
          <w:sz w:val="22"/>
          <w:szCs w:val="22"/>
        </w:rPr>
        <w:lastRenderedPageBreak/>
        <w:t>Q</w:t>
      </w:r>
      <w:r w:rsidR="004868FD">
        <w:rPr>
          <w:b/>
          <w:bCs/>
          <w:sz w:val="22"/>
          <w:szCs w:val="22"/>
        </w:rPr>
        <w:t xml:space="preserve">15. </w:t>
      </w:r>
      <w:r w:rsidR="00A03A65" w:rsidRPr="009C79B9">
        <w:rPr>
          <w:b/>
          <w:bCs/>
          <w:sz w:val="22"/>
          <w:szCs w:val="22"/>
        </w:rPr>
        <w:t>In the compilation or provision of COFOG data, do you ensure (or aim to achieve) consistency with other related data, such as non-financial data for government statistics and other domains (</w:t>
      </w:r>
      <w:r w:rsidR="009C79B9" w:rsidRPr="009C79B9">
        <w:rPr>
          <w:b/>
          <w:bCs/>
          <w:sz w:val="22"/>
          <w:szCs w:val="22"/>
        </w:rPr>
        <w:t>e.g.</w:t>
      </w:r>
      <w:r w:rsidR="00A03A65" w:rsidRPr="009C79B9">
        <w:rPr>
          <w:b/>
          <w:bCs/>
          <w:sz w:val="22"/>
          <w:szCs w:val="22"/>
        </w:rPr>
        <w:t xml:space="preserve"> employment, energy, etc)?</w:t>
      </w:r>
    </w:p>
    <w:p w14:paraId="7FAB00DF" w14:textId="6C56A905" w:rsidR="00CB2F7D" w:rsidRDefault="00CB2F7D" w:rsidP="008950FD">
      <w:pPr>
        <w:spacing w:after="0" w:line="240" w:lineRule="auto"/>
        <w:jc w:val="center"/>
        <w:rPr>
          <w:sz w:val="22"/>
          <w:szCs w:val="22"/>
        </w:rPr>
      </w:pPr>
      <w:r>
        <w:rPr>
          <w:noProof/>
          <w:sz w:val="22"/>
          <w:szCs w:val="22"/>
        </w:rPr>
        <w:drawing>
          <wp:inline distT="0" distB="0" distL="0" distR="0" wp14:anchorId="539F1DF7" wp14:editId="2A3A63FA">
            <wp:extent cx="4769304" cy="1400175"/>
            <wp:effectExtent l="0" t="0" r="0" b="0"/>
            <wp:docPr id="85120169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5C3154" w14:textId="18EFD617" w:rsidR="009C79B9" w:rsidRDefault="009C79B9" w:rsidP="00485B5A">
      <w:pPr>
        <w:spacing w:after="0" w:line="240" w:lineRule="auto"/>
        <w:jc w:val="both"/>
        <w:rPr>
          <w:sz w:val="22"/>
          <w:szCs w:val="22"/>
        </w:rPr>
      </w:pPr>
      <w:r>
        <w:rPr>
          <w:sz w:val="22"/>
          <w:szCs w:val="22"/>
        </w:rPr>
        <w:t>Respond</w:t>
      </w:r>
      <w:r w:rsidR="007A23F1">
        <w:rPr>
          <w:sz w:val="22"/>
          <w:szCs w:val="22"/>
        </w:rPr>
        <w:t>ing compilers/providers</w:t>
      </w:r>
      <w:r>
        <w:rPr>
          <w:sz w:val="22"/>
          <w:szCs w:val="22"/>
        </w:rPr>
        <w:t xml:space="preserve"> were fairly split on this question</w:t>
      </w:r>
      <w:r w:rsidR="00155054">
        <w:rPr>
          <w:sz w:val="22"/>
          <w:szCs w:val="22"/>
        </w:rPr>
        <w:t xml:space="preserve">, with 54% </w:t>
      </w:r>
      <w:r w:rsidR="00C9058F">
        <w:rPr>
          <w:sz w:val="22"/>
          <w:szCs w:val="22"/>
        </w:rPr>
        <w:t xml:space="preserve">(n=37) </w:t>
      </w:r>
      <w:r w:rsidR="00155054">
        <w:rPr>
          <w:sz w:val="22"/>
          <w:szCs w:val="22"/>
        </w:rPr>
        <w:t>saying that they do aim to ach</w:t>
      </w:r>
      <w:r w:rsidR="006A49E8">
        <w:rPr>
          <w:sz w:val="22"/>
          <w:szCs w:val="22"/>
        </w:rPr>
        <w:t>ieve consistency with other related data</w:t>
      </w:r>
      <w:r w:rsidR="0020751E">
        <w:rPr>
          <w:sz w:val="22"/>
          <w:szCs w:val="22"/>
        </w:rPr>
        <w:t xml:space="preserve">, and 46% </w:t>
      </w:r>
      <w:r w:rsidR="00C9058F">
        <w:rPr>
          <w:sz w:val="22"/>
          <w:szCs w:val="22"/>
        </w:rPr>
        <w:t xml:space="preserve">(n=32) </w:t>
      </w:r>
      <w:r w:rsidR="0020751E">
        <w:rPr>
          <w:sz w:val="22"/>
          <w:szCs w:val="22"/>
        </w:rPr>
        <w:t>saying they do not</w:t>
      </w:r>
      <w:r w:rsidR="006A49E8">
        <w:rPr>
          <w:sz w:val="22"/>
          <w:szCs w:val="22"/>
        </w:rPr>
        <w:t xml:space="preserve">.  </w:t>
      </w:r>
    </w:p>
    <w:p w14:paraId="773ADAC5" w14:textId="77777777" w:rsidR="009C79B9" w:rsidRDefault="009C79B9" w:rsidP="00485B5A">
      <w:pPr>
        <w:spacing w:after="0" w:line="240" w:lineRule="auto"/>
        <w:jc w:val="both"/>
        <w:rPr>
          <w:sz w:val="22"/>
          <w:szCs w:val="22"/>
        </w:rPr>
      </w:pPr>
    </w:p>
    <w:p w14:paraId="2D71229B" w14:textId="77047A56" w:rsidR="004B3DA4" w:rsidRPr="00B4158A" w:rsidRDefault="004B3DA4" w:rsidP="00485B5A">
      <w:pPr>
        <w:spacing w:after="0" w:line="240" w:lineRule="auto"/>
        <w:jc w:val="both"/>
        <w:rPr>
          <w:b/>
          <w:bCs/>
          <w:sz w:val="22"/>
          <w:szCs w:val="22"/>
        </w:rPr>
      </w:pPr>
      <w:r w:rsidRPr="00B4158A">
        <w:rPr>
          <w:b/>
          <w:bCs/>
          <w:sz w:val="22"/>
          <w:szCs w:val="22"/>
        </w:rPr>
        <w:t>If yes, please explain</w:t>
      </w:r>
    </w:p>
    <w:p w14:paraId="0E6C1317" w14:textId="77777777" w:rsidR="006B7DA7" w:rsidRDefault="006B7DA7" w:rsidP="00485B5A">
      <w:pPr>
        <w:spacing w:after="0" w:line="240" w:lineRule="auto"/>
        <w:jc w:val="both"/>
        <w:rPr>
          <w:sz w:val="22"/>
          <w:szCs w:val="22"/>
        </w:rPr>
      </w:pPr>
    </w:p>
    <w:p w14:paraId="7E0173BF" w14:textId="5D92B792" w:rsidR="00492A70" w:rsidRDefault="00492A70" w:rsidP="00492A70">
      <w:pPr>
        <w:spacing w:after="0" w:line="240" w:lineRule="auto"/>
        <w:jc w:val="both"/>
        <w:rPr>
          <w:sz w:val="22"/>
          <w:szCs w:val="22"/>
        </w:rPr>
      </w:pPr>
      <w:r>
        <w:rPr>
          <w:sz w:val="22"/>
          <w:szCs w:val="22"/>
        </w:rPr>
        <w:t>Responses included</w:t>
      </w:r>
      <w:r w:rsidR="00B44C88">
        <w:rPr>
          <w:sz w:val="22"/>
          <w:szCs w:val="22"/>
        </w:rPr>
        <w:t xml:space="preserve">, </w:t>
      </w:r>
      <w:r w:rsidR="00584223">
        <w:rPr>
          <w:sz w:val="22"/>
          <w:szCs w:val="22"/>
        </w:rPr>
        <w:t xml:space="preserve">most commonly, consistency with </w:t>
      </w:r>
      <w:r w:rsidR="00F8620B">
        <w:rPr>
          <w:sz w:val="22"/>
          <w:szCs w:val="22"/>
        </w:rPr>
        <w:t>national accounts, and general ‘</w:t>
      </w:r>
      <w:r w:rsidR="00BF5D2B">
        <w:rPr>
          <w:sz w:val="22"/>
          <w:szCs w:val="22"/>
        </w:rPr>
        <w:t>non-financial</w:t>
      </w:r>
      <w:r w:rsidR="00F8620B">
        <w:rPr>
          <w:sz w:val="22"/>
          <w:szCs w:val="22"/>
        </w:rPr>
        <w:t>’</w:t>
      </w:r>
      <w:r w:rsidR="00BF5D2B">
        <w:rPr>
          <w:sz w:val="22"/>
          <w:szCs w:val="22"/>
        </w:rPr>
        <w:t xml:space="preserve"> data</w:t>
      </w:r>
      <w:r w:rsidR="00F8620B">
        <w:rPr>
          <w:sz w:val="22"/>
          <w:szCs w:val="22"/>
        </w:rPr>
        <w:t xml:space="preserve"> for government statistics</w:t>
      </w:r>
      <w:r w:rsidR="00011904">
        <w:rPr>
          <w:sz w:val="22"/>
          <w:szCs w:val="22"/>
        </w:rPr>
        <w:t xml:space="preserve">. </w:t>
      </w:r>
      <w:r w:rsidR="00584223">
        <w:rPr>
          <w:sz w:val="22"/>
          <w:szCs w:val="22"/>
        </w:rPr>
        <w:t xml:space="preserve">Other </w:t>
      </w:r>
      <w:r w:rsidR="00184638">
        <w:rPr>
          <w:sz w:val="22"/>
          <w:szCs w:val="22"/>
        </w:rPr>
        <w:t xml:space="preserve">areas mentioned include environmental accounts, employment and earnings, the System of Health Accounts, education and agriculture, as well as </w:t>
      </w:r>
      <w:r w:rsidR="00973875">
        <w:rPr>
          <w:sz w:val="22"/>
          <w:szCs w:val="22"/>
        </w:rPr>
        <w:t xml:space="preserve">consistency with various ESA2010 tables including 0200 and 1100.  </w:t>
      </w:r>
    </w:p>
    <w:p w14:paraId="3B8B22F6" w14:textId="77777777" w:rsidR="0000664A" w:rsidRDefault="0000664A" w:rsidP="0000664A">
      <w:pPr>
        <w:spacing w:after="0" w:line="240" w:lineRule="auto"/>
        <w:jc w:val="both"/>
        <w:rPr>
          <w:sz w:val="22"/>
          <w:szCs w:val="22"/>
        </w:rPr>
      </w:pPr>
    </w:p>
    <w:p w14:paraId="4341CC82" w14:textId="03238580" w:rsidR="00910141" w:rsidRPr="0000664A" w:rsidRDefault="0000664A" w:rsidP="0000664A">
      <w:pPr>
        <w:spacing w:after="0" w:line="240" w:lineRule="auto"/>
        <w:jc w:val="both"/>
        <w:rPr>
          <w:sz w:val="22"/>
          <w:szCs w:val="22"/>
        </w:rPr>
      </w:pPr>
      <w:r>
        <w:rPr>
          <w:sz w:val="22"/>
          <w:szCs w:val="22"/>
        </w:rPr>
        <w:t>-----------------------------------------------------------------------------------------------------------------------------</w:t>
      </w:r>
    </w:p>
    <w:p w14:paraId="032E7CF8" w14:textId="4F3EC386" w:rsidR="009D46A1" w:rsidRPr="002430C7" w:rsidRDefault="00400130" w:rsidP="002430C7">
      <w:pPr>
        <w:spacing w:after="0" w:line="240" w:lineRule="auto"/>
        <w:jc w:val="both"/>
        <w:rPr>
          <w:b/>
          <w:bCs/>
          <w:sz w:val="22"/>
          <w:szCs w:val="22"/>
        </w:rPr>
      </w:pPr>
      <w:r>
        <w:rPr>
          <w:b/>
          <w:bCs/>
          <w:sz w:val="22"/>
          <w:szCs w:val="22"/>
        </w:rPr>
        <w:t xml:space="preserve">16. </w:t>
      </w:r>
      <w:r w:rsidR="006F7247" w:rsidRPr="008B70E9">
        <w:rPr>
          <w:b/>
          <w:bCs/>
          <w:sz w:val="22"/>
          <w:szCs w:val="22"/>
        </w:rPr>
        <w:t>Are COFOG statistics complied ex post or ex ante in the budgeting process?</w:t>
      </w:r>
    </w:p>
    <w:p w14:paraId="154565AA" w14:textId="322C2523" w:rsidR="003715C8" w:rsidRDefault="003715C8" w:rsidP="00485B5A">
      <w:pPr>
        <w:spacing w:after="0" w:line="240" w:lineRule="auto"/>
        <w:jc w:val="both"/>
        <w:rPr>
          <w:sz w:val="22"/>
          <w:szCs w:val="22"/>
        </w:rPr>
      </w:pPr>
      <w:r>
        <w:rPr>
          <w:noProof/>
          <w:sz w:val="22"/>
          <w:szCs w:val="22"/>
        </w:rPr>
        <w:drawing>
          <wp:inline distT="0" distB="0" distL="0" distR="0" wp14:anchorId="62997E2A" wp14:editId="15224D7B">
            <wp:extent cx="5057775" cy="1400175"/>
            <wp:effectExtent l="0" t="0" r="0" b="0"/>
            <wp:docPr id="7361909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4360C7B" w14:textId="520EF7C1" w:rsidR="003715C8" w:rsidRDefault="00175A62" w:rsidP="002430C7">
      <w:pPr>
        <w:spacing w:after="0" w:line="240" w:lineRule="auto"/>
        <w:jc w:val="both"/>
        <w:rPr>
          <w:sz w:val="22"/>
          <w:szCs w:val="22"/>
        </w:rPr>
      </w:pPr>
      <w:r>
        <w:rPr>
          <w:sz w:val="22"/>
          <w:szCs w:val="22"/>
        </w:rPr>
        <w:t>The majority of respondents (5</w:t>
      </w:r>
      <w:r w:rsidR="003C17F1">
        <w:rPr>
          <w:sz w:val="22"/>
          <w:szCs w:val="22"/>
        </w:rPr>
        <w:t>8</w:t>
      </w:r>
      <w:r>
        <w:rPr>
          <w:sz w:val="22"/>
          <w:szCs w:val="22"/>
        </w:rPr>
        <w:t>%</w:t>
      </w:r>
      <w:r w:rsidR="00193D8E">
        <w:rPr>
          <w:sz w:val="22"/>
          <w:szCs w:val="22"/>
        </w:rPr>
        <w:t>, n=42</w:t>
      </w:r>
      <w:r>
        <w:rPr>
          <w:sz w:val="22"/>
          <w:szCs w:val="22"/>
        </w:rPr>
        <w:t xml:space="preserve">) noted that COFOG statistics are compiled ex post, or at the end of the budget cycle.  </w:t>
      </w:r>
      <w:r w:rsidR="00A161C2">
        <w:rPr>
          <w:sz w:val="22"/>
          <w:szCs w:val="22"/>
        </w:rPr>
        <w:t>1</w:t>
      </w:r>
      <w:r w:rsidR="003C17F1">
        <w:rPr>
          <w:sz w:val="22"/>
          <w:szCs w:val="22"/>
        </w:rPr>
        <w:t>9</w:t>
      </w:r>
      <w:r w:rsidR="00A161C2">
        <w:rPr>
          <w:sz w:val="22"/>
          <w:szCs w:val="22"/>
        </w:rPr>
        <w:t xml:space="preserve">% </w:t>
      </w:r>
      <w:r w:rsidR="00720B49">
        <w:rPr>
          <w:sz w:val="22"/>
          <w:szCs w:val="22"/>
        </w:rPr>
        <w:t xml:space="preserve">(n=14) </w:t>
      </w:r>
      <w:r w:rsidR="00A161C2">
        <w:rPr>
          <w:sz w:val="22"/>
          <w:szCs w:val="22"/>
        </w:rPr>
        <w:t>said they are compiled ex ante, or at the beginning of the budget cycle.  The remaining 2</w:t>
      </w:r>
      <w:r w:rsidR="003C17F1">
        <w:rPr>
          <w:sz w:val="22"/>
          <w:szCs w:val="22"/>
        </w:rPr>
        <w:t>2</w:t>
      </w:r>
      <w:r w:rsidR="00A161C2">
        <w:rPr>
          <w:sz w:val="22"/>
          <w:szCs w:val="22"/>
        </w:rPr>
        <w:t xml:space="preserve">% </w:t>
      </w:r>
      <w:r w:rsidR="00720B49">
        <w:rPr>
          <w:sz w:val="22"/>
          <w:szCs w:val="22"/>
        </w:rPr>
        <w:t xml:space="preserve">(n=16) </w:t>
      </w:r>
      <w:r w:rsidR="00A161C2">
        <w:rPr>
          <w:sz w:val="22"/>
          <w:szCs w:val="22"/>
        </w:rPr>
        <w:t xml:space="preserve">were not sure or said it was not applicable.  </w:t>
      </w:r>
    </w:p>
    <w:p w14:paraId="361EF9C3" w14:textId="77777777" w:rsidR="00510C0A" w:rsidRDefault="00510C0A" w:rsidP="00485B5A">
      <w:pPr>
        <w:spacing w:after="0" w:line="240" w:lineRule="auto"/>
        <w:jc w:val="both"/>
        <w:rPr>
          <w:sz w:val="22"/>
          <w:szCs w:val="22"/>
        </w:rPr>
      </w:pPr>
    </w:p>
    <w:p w14:paraId="2F92AD6E" w14:textId="7606525E" w:rsidR="006B1581" w:rsidRPr="007C53E0" w:rsidRDefault="007C53E0" w:rsidP="007C53E0">
      <w:pPr>
        <w:pStyle w:val="Heading3"/>
      </w:pPr>
      <w:bookmarkStart w:id="9" w:name="_Toc195776386"/>
      <w:r>
        <w:rPr>
          <w:rStyle w:val="Heading3Char"/>
        </w:rPr>
        <w:t xml:space="preserve">iv. </w:t>
      </w:r>
      <w:r w:rsidR="003A0ADB">
        <w:rPr>
          <w:rStyle w:val="Heading3Char"/>
        </w:rPr>
        <w:t xml:space="preserve"> </w:t>
      </w:r>
      <w:r w:rsidR="008E3653" w:rsidRPr="007C53E0">
        <w:rPr>
          <w:rStyle w:val="Heading3Char"/>
        </w:rPr>
        <w:t>Time Series</w:t>
      </w:r>
      <w:bookmarkEnd w:id="9"/>
      <w:r w:rsidR="002430C7" w:rsidRPr="007C53E0">
        <w:br/>
      </w:r>
    </w:p>
    <w:p w14:paraId="303D5394" w14:textId="538AB908" w:rsidR="00BF536D" w:rsidRPr="00B44C88" w:rsidRDefault="00847296" w:rsidP="00BD15BF">
      <w:pPr>
        <w:spacing w:after="0" w:line="240" w:lineRule="auto"/>
        <w:jc w:val="both"/>
        <w:rPr>
          <w:b/>
          <w:bCs/>
          <w:sz w:val="22"/>
          <w:szCs w:val="22"/>
        </w:rPr>
      </w:pPr>
      <w:r>
        <w:rPr>
          <w:b/>
          <w:bCs/>
          <w:sz w:val="22"/>
          <w:szCs w:val="22"/>
        </w:rPr>
        <w:t xml:space="preserve">19. </w:t>
      </w:r>
      <w:r w:rsidR="007F24D0">
        <w:rPr>
          <w:b/>
          <w:bCs/>
          <w:sz w:val="22"/>
          <w:szCs w:val="22"/>
        </w:rPr>
        <w:t xml:space="preserve">For </w:t>
      </w:r>
      <w:r w:rsidR="007F24D0" w:rsidRPr="004E3B7B">
        <w:rPr>
          <w:b/>
          <w:bCs/>
          <w:sz w:val="22"/>
          <w:szCs w:val="22"/>
          <w:u w:val="single"/>
        </w:rPr>
        <w:t>users</w:t>
      </w:r>
      <w:r w:rsidR="007F24D0">
        <w:rPr>
          <w:b/>
          <w:bCs/>
          <w:sz w:val="22"/>
          <w:szCs w:val="22"/>
        </w:rPr>
        <w:t xml:space="preserve"> only</w:t>
      </w:r>
      <w:r w:rsidR="004E3B7B">
        <w:rPr>
          <w:b/>
          <w:bCs/>
          <w:sz w:val="22"/>
          <w:szCs w:val="22"/>
        </w:rPr>
        <w:t>:</w:t>
      </w:r>
      <w:r w:rsidR="007F24D0">
        <w:rPr>
          <w:b/>
          <w:bCs/>
          <w:sz w:val="22"/>
          <w:szCs w:val="22"/>
        </w:rPr>
        <w:t xml:space="preserve"> </w:t>
      </w:r>
      <w:r w:rsidR="004E3B7B">
        <w:rPr>
          <w:b/>
          <w:bCs/>
          <w:sz w:val="22"/>
          <w:szCs w:val="22"/>
        </w:rPr>
        <w:t xml:space="preserve"> </w:t>
      </w:r>
      <w:r w:rsidR="00510C0A" w:rsidRPr="008B70E9">
        <w:rPr>
          <w:b/>
          <w:bCs/>
          <w:sz w:val="22"/>
          <w:szCs w:val="22"/>
        </w:rPr>
        <w:t>Do you need COFOG time series for your analysis?</w:t>
      </w:r>
    </w:p>
    <w:p w14:paraId="3B8F8CB7" w14:textId="46D55794" w:rsidR="002430C7" w:rsidRDefault="002430C7" w:rsidP="00485B5A">
      <w:pPr>
        <w:spacing w:after="0" w:line="240" w:lineRule="auto"/>
        <w:jc w:val="both"/>
        <w:rPr>
          <w:rFonts w:eastAsia="Arial" w:cstheme="minorHAnsi"/>
          <w:sz w:val="22"/>
          <w:szCs w:val="22"/>
          <w:lang w:eastAsia="en-US"/>
        </w:rPr>
      </w:pPr>
      <w:r>
        <w:rPr>
          <w:noProof/>
          <w:sz w:val="22"/>
          <w:szCs w:val="22"/>
        </w:rPr>
        <w:drawing>
          <wp:inline distT="0" distB="0" distL="0" distR="0" wp14:anchorId="018DADC6" wp14:editId="161F00C6">
            <wp:extent cx="4248150" cy="1333500"/>
            <wp:effectExtent l="0" t="0" r="0" b="0"/>
            <wp:docPr id="166829606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BC0DA3" w14:textId="06591D29" w:rsidR="00C77050" w:rsidRPr="00C77050" w:rsidRDefault="00C77050" w:rsidP="00485B5A">
      <w:pPr>
        <w:spacing w:after="0" w:line="240" w:lineRule="auto"/>
        <w:jc w:val="both"/>
        <w:rPr>
          <w:rFonts w:eastAsia="Arial" w:cstheme="minorHAnsi"/>
          <w:sz w:val="22"/>
          <w:szCs w:val="22"/>
          <w:lang w:eastAsia="en-US"/>
        </w:rPr>
      </w:pPr>
      <w:r>
        <w:rPr>
          <w:rFonts w:eastAsia="Arial" w:cstheme="minorHAnsi"/>
          <w:sz w:val="22"/>
          <w:szCs w:val="22"/>
          <w:lang w:eastAsia="en-US"/>
        </w:rPr>
        <w:lastRenderedPageBreak/>
        <w:t>Among responding users of COFOG, the vast majority (87%</w:t>
      </w:r>
      <w:r w:rsidR="00720B49">
        <w:rPr>
          <w:rFonts w:eastAsia="Arial" w:cstheme="minorHAnsi"/>
          <w:sz w:val="22"/>
          <w:szCs w:val="22"/>
          <w:lang w:eastAsia="en-US"/>
        </w:rPr>
        <w:t>, n=</w:t>
      </w:r>
      <w:r w:rsidR="00935BB2">
        <w:rPr>
          <w:rFonts w:eastAsia="Arial" w:cstheme="minorHAnsi"/>
          <w:sz w:val="22"/>
          <w:szCs w:val="22"/>
          <w:lang w:eastAsia="en-US"/>
        </w:rPr>
        <w:t>40</w:t>
      </w:r>
      <w:r>
        <w:rPr>
          <w:rFonts w:eastAsia="Arial" w:cstheme="minorHAnsi"/>
          <w:sz w:val="22"/>
          <w:szCs w:val="22"/>
          <w:lang w:eastAsia="en-US"/>
        </w:rPr>
        <w:t xml:space="preserve">) report needing </w:t>
      </w:r>
      <w:proofErr w:type="gramStart"/>
      <w:r>
        <w:rPr>
          <w:rFonts w:eastAsia="Arial" w:cstheme="minorHAnsi"/>
          <w:sz w:val="22"/>
          <w:szCs w:val="22"/>
          <w:lang w:eastAsia="en-US"/>
        </w:rPr>
        <w:t>time</w:t>
      </w:r>
      <w:proofErr w:type="gramEnd"/>
      <w:r>
        <w:rPr>
          <w:rFonts w:eastAsia="Arial" w:cstheme="minorHAnsi"/>
          <w:sz w:val="22"/>
          <w:szCs w:val="22"/>
          <w:lang w:eastAsia="en-US"/>
        </w:rPr>
        <w:t xml:space="preserve"> series for analysis.</w:t>
      </w:r>
    </w:p>
    <w:p w14:paraId="4E3D4DD4" w14:textId="77777777" w:rsidR="002430C7" w:rsidRPr="006602F3" w:rsidRDefault="002430C7" w:rsidP="00485B5A">
      <w:pPr>
        <w:spacing w:after="0" w:line="240" w:lineRule="auto"/>
        <w:jc w:val="both"/>
        <w:rPr>
          <w:rFonts w:eastAsia="Arial" w:cstheme="minorHAnsi"/>
          <w:sz w:val="22"/>
          <w:szCs w:val="22"/>
          <w:lang w:eastAsia="en-US"/>
        </w:rPr>
      </w:pPr>
    </w:p>
    <w:p w14:paraId="0FC3DE86" w14:textId="47448E48" w:rsidR="007718FD" w:rsidRDefault="007718FD" w:rsidP="00485B5A">
      <w:pPr>
        <w:spacing w:after="0" w:line="240" w:lineRule="auto"/>
        <w:jc w:val="both"/>
        <w:rPr>
          <w:rFonts w:eastAsia="Arial" w:cstheme="minorHAnsi"/>
          <w:b/>
          <w:bCs/>
          <w:sz w:val="22"/>
          <w:szCs w:val="22"/>
          <w:lang w:eastAsia="en-US"/>
        </w:rPr>
      </w:pPr>
      <w:r w:rsidRPr="00B4158A">
        <w:rPr>
          <w:rFonts w:eastAsia="Arial" w:cstheme="minorHAnsi"/>
          <w:b/>
          <w:bCs/>
          <w:sz w:val="22"/>
          <w:szCs w:val="22"/>
          <w:lang w:eastAsia="en-US"/>
        </w:rPr>
        <w:t>If yes, please note the length of the time series you use</w:t>
      </w:r>
    </w:p>
    <w:p w14:paraId="6E8D49B6" w14:textId="77777777" w:rsidR="006602F3" w:rsidRDefault="006602F3" w:rsidP="00485B5A">
      <w:pPr>
        <w:spacing w:after="0" w:line="240" w:lineRule="auto"/>
        <w:jc w:val="both"/>
        <w:rPr>
          <w:rFonts w:eastAsia="Arial" w:cstheme="minorHAnsi"/>
          <w:b/>
          <w:bCs/>
          <w:sz w:val="22"/>
          <w:szCs w:val="22"/>
          <w:lang w:eastAsia="en-US"/>
        </w:rPr>
      </w:pPr>
    </w:p>
    <w:p w14:paraId="0F9DD53D" w14:textId="1326F0EA" w:rsidR="00915224" w:rsidRDefault="006602F3" w:rsidP="00107D8D">
      <w:pPr>
        <w:spacing w:after="0" w:line="240" w:lineRule="auto"/>
        <w:jc w:val="both"/>
        <w:rPr>
          <w:sz w:val="22"/>
          <w:szCs w:val="22"/>
        </w:rPr>
      </w:pPr>
      <w:r w:rsidRPr="00D44869">
        <w:rPr>
          <w:sz w:val="22"/>
          <w:szCs w:val="22"/>
        </w:rPr>
        <w:t>Responses ranged from</w:t>
      </w:r>
      <w:r>
        <w:rPr>
          <w:sz w:val="22"/>
          <w:szCs w:val="22"/>
        </w:rPr>
        <w:t xml:space="preserve"> 1970 to the previous 2 years, and were spread </w:t>
      </w:r>
      <w:r w:rsidR="001D709B">
        <w:rPr>
          <w:sz w:val="22"/>
          <w:szCs w:val="22"/>
        </w:rPr>
        <w:t xml:space="preserve">fairly evenly </w:t>
      </w:r>
      <w:r>
        <w:rPr>
          <w:sz w:val="22"/>
          <w:szCs w:val="22"/>
        </w:rPr>
        <w:t xml:space="preserve">across this time </w:t>
      </w:r>
      <w:r w:rsidR="001D709B">
        <w:rPr>
          <w:sz w:val="22"/>
          <w:szCs w:val="22"/>
        </w:rPr>
        <w:t>range</w:t>
      </w:r>
      <w:r>
        <w:rPr>
          <w:sz w:val="22"/>
          <w:szCs w:val="22"/>
        </w:rPr>
        <w:t>, as summarized below</w:t>
      </w:r>
      <w:r w:rsidR="00803DF7">
        <w:rPr>
          <w:sz w:val="22"/>
          <w:szCs w:val="22"/>
        </w:rPr>
        <w:t xml:space="preserve"> (n=30)</w:t>
      </w:r>
      <w:r>
        <w:rPr>
          <w:sz w:val="22"/>
          <w:szCs w:val="22"/>
        </w:rPr>
        <w:t>:</w:t>
      </w:r>
    </w:p>
    <w:p w14:paraId="2644134F" w14:textId="77777777" w:rsidR="00107D8D" w:rsidRPr="008B2C1C" w:rsidRDefault="00107D8D" w:rsidP="00107D8D">
      <w:pPr>
        <w:spacing w:after="0" w:line="240" w:lineRule="auto"/>
        <w:jc w:val="both"/>
        <w:rPr>
          <w:rFonts w:eastAsia="Arial" w:cstheme="minorHAnsi"/>
          <w:sz w:val="22"/>
          <w:szCs w:val="22"/>
          <w:lang w:eastAsia="en-US"/>
        </w:rPr>
      </w:pPr>
    </w:p>
    <w:p w14:paraId="646AD40A" w14:textId="4A28A30A" w:rsidR="00915224" w:rsidRPr="00915224" w:rsidRDefault="00915224" w:rsidP="00485B5A">
      <w:pPr>
        <w:spacing w:after="0" w:line="240" w:lineRule="auto"/>
        <w:jc w:val="both"/>
        <w:rPr>
          <w:b/>
          <w:bCs/>
          <w:sz w:val="22"/>
          <w:szCs w:val="22"/>
        </w:rPr>
      </w:pPr>
      <w:r>
        <w:rPr>
          <w:noProof/>
          <w:sz w:val="22"/>
          <w:szCs w:val="22"/>
        </w:rPr>
        <w:drawing>
          <wp:inline distT="0" distB="0" distL="0" distR="0" wp14:anchorId="140397AB" wp14:editId="18C17179">
            <wp:extent cx="4838700" cy="1809750"/>
            <wp:effectExtent l="0" t="0" r="0" b="0"/>
            <wp:docPr id="152503278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56D7781" w14:textId="77777777" w:rsidR="00815662" w:rsidRDefault="00815662" w:rsidP="00485B5A">
      <w:pPr>
        <w:spacing w:after="0" w:line="240" w:lineRule="auto"/>
        <w:jc w:val="both"/>
        <w:rPr>
          <w:b/>
          <w:bCs/>
          <w:sz w:val="22"/>
          <w:szCs w:val="22"/>
          <w:u w:val="single"/>
        </w:rPr>
      </w:pPr>
    </w:p>
    <w:p w14:paraId="1E7DCF11" w14:textId="4B361D14" w:rsidR="00D44869" w:rsidRPr="00E8222F" w:rsidRDefault="004D4396" w:rsidP="00B06BDB">
      <w:pPr>
        <w:pStyle w:val="Heading3"/>
        <w:numPr>
          <w:ilvl w:val="0"/>
          <w:numId w:val="31"/>
        </w:numPr>
        <w:spacing w:after="0"/>
      </w:pPr>
      <w:bookmarkStart w:id="10" w:name="_Toc195776387"/>
      <w:r w:rsidRPr="00E8222F">
        <w:t>Expenditure Types</w:t>
      </w:r>
      <w:bookmarkEnd w:id="10"/>
    </w:p>
    <w:p w14:paraId="325AA753" w14:textId="09384959" w:rsidR="005D5BD8" w:rsidRPr="001B6B61" w:rsidRDefault="005D5BD8" w:rsidP="005D5BD8">
      <w:pPr>
        <w:spacing w:after="0" w:line="240" w:lineRule="auto"/>
        <w:jc w:val="both"/>
        <w:rPr>
          <w:sz w:val="22"/>
          <w:szCs w:val="22"/>
        </w:rPr>
      </w:pPr>
    </w:p>
    <w:p w14:paraId="61DDB831" w14:textId="7C1EF9BF" w:rsidR="002D30B7" w:rsidRDefault="002D30B7" w:rsidP="002D30B7">
      <w:pPr>
        <w:spacing w:after="0" w:line="240" w:lineRule="auto"/>
        <w:jc w:val="both"/>
        <w:rPr>
          <w:rFonts w:ascii="Aptos" w:eastAsia="Tahoma" w:hAnsi="Aptos" w:cs="Aptos"/>
          <w:kern w:val="0"/>
          <w:sz w:val="22"/>
          <w:szCs w:val="22"/>
          <w:lang w:eastAsia="en-US"/>
          <w14:ligatures w14:val="none"/>
        </w:rPr>
      </w:pPr>
      <w:r>
        <w:rPr>
          <w:rFonts w:ascii="Aptos" w:eastAsia="Tahoma" w:hAnsi="Aptos" w:cs="Aptos"/>
          <w:kern w:val="0"/>
          <w:sz w:val="22"/>
          <w:szCs w:val="22"/>
          <w:lang w:eastAsia="en-US"/>
          <w14:ligatures w14:val="none"/>
        </w:rPr>
        <w:t xml:space="preserve">The results shows that COFOG  is used to classify expenditure by a majority of respondents for all the categories apart from transactions in financial assets and liabilities, and by over two-third of the respondents for all the global categories. This will serve as </w:t>
      </w:r>
      <w:r w:rsidR="007151F6">
        <w:rPr>
          <w:rFonts w:ascii="Aptos" w:eastAsia="Tahoma" w:hAnsi="Aptos" w:cs="Aptos"/>
          <w:kern w:val="0"/>
          <w:sz w:val="22"/>
          <w:szCs w:val="22"/>
          <w:lang w:eastAsia="en-US"/>
          <w14:ligatures w14:val="none"/>
        </w:rPr>
        <w:t xml:space="preserve">an </w:t>
      </w:r>
      <w:r>
        <w:rPr>
          <w:rFonts w:ascii="Aptos" w:eastAsia="Tahoma" w:hAnsi="Aptos" w:cs="Aptos"/>
          <w:kern w:val="0"/>
          <w:sz w:val="22"/>
          <w:szCs w:val="22"/>
          <w:lang w:eastAsia="en-US"/>
          <w14:ligatures w14:val="none"/>
        </w:rPr>
        <w:t>input for discussion on various revision issues, such as B1, B3 and B4 in terms of the use of COFOG for wider expenditure categories. It will also feed into A05. Environmental protection, and A10</w:t>
      </w:r>
      <w:r w:rsidR="007151F6">
        <w:rPr>
          <w:rFonts w:ascii="Aptos" w:eastAsia="Tahoma" w:hAnsi="Aptos" w:cs="Aptos"/>
          <w:kern w:val="0"/>
          <w:sz w:val="22"/>
          <w:szCs w:val="22"/>
          <w:lang w:eastAsia="en-US"/>
          <w14:ligatures w14:val="none"/>
        </w:rPr>
        <w:t>. Social protection</w:t>
      </w:r>
      <w:r>
        <w:rPr>
          <w:rFonts w:ascii="Aptos" w:eastAsia="Tahoma" w:hAnsi="Aptos" w:cs="Aptos"/>
          <w:kern w:val="0"/>
          <w:sz w:val="22"/>
          <w:szCs w:val="22"/>
          <w:lang w:eastAsia="en-US"/>
          <w14:ligatures w14:val="none"/>
        </w:rPr>
        <w:t xml:space="preserve">  in terms of whether climate subsidies and social protection transfers fall within the scope of COFOG and how such expenditures are to be classified in COFOG.</w:t>
      </w:r>
    </w:p>
    <w:p w14:paraId="26152825" w14:textId="77777777" w:rsidR="002D30B7" w:rsidRDefault="002D30B7" w:rsidP="00485B5A">
      <w:pPr>
        <w:spacing w:after="0" w:line="240" w:lineRule="auto"/>
        <w:jc w:val="both"/>
        <w:rPr>
          <w:b/>
          <w:bCs/>
          <w:sz w:val="22"/>
          <w:szCs w:val="22"/>
          <w:u w:val="single"/>
        </w:rPr>
      </w:pPr>
    </w:p>
    <w:p w14:paraId="73005A09" w14:textId="7F2E52CC" w:rsidR="005D5BD8" w:rsidRDefault="004E19A8" w:rsidP="00485B5A">
      <w:pPr>
        <w:spacing w:after="0" w:line="240" w:lineRule="auto"/>
        <w:jc w:val="both"/>
        <w:rPr>
          <w:b/>
          <w:bCs/>
          <w:sz w:val="22"/>
          <w:szCs w:val="22"/>
          <w:u w:val="single"/>
        </w:rPr>
      </w:pPr>
      <w:r>
        <w:rPr>
          <w:b/>
          <w:bCs/>
          <w:sz w:val="22"/>
          <w:szCs w:val="22"/>
          <w:u w:val="single"/>
        </w:rPr>
        <w:t xml:space="preserve"> </w:t>
      </w:r>
    </w:p>
    <w:p w14:paraId="35D73ED9" w14:textId="672547DC" w:rsidR="003C2820" w:rsidRDefault="00BA5043" w:rsidP="00485B5A">
      <w:pPr>
        <w:spacing w:after="0" w:line="240" w:lineRule="auto"/>
        <w:jc w:val="both"/>
        <w:rPr>
          <w:b/>
          <w:bCs/>
          <w:sz w:val="22"/>
          <w:szCs w:val="22"/>
        </w:rPr>
      </w:pPr>
      <w:r w:rsidRPr="00BA5043">
        <w:rPr>
          <w:b/>
          <w:bCs/>
          <w:sz w:val="22"/>
          <w:szCs w:val="22"/>
        </w:rPr>
        <w:t>20. Which types of expenditure are classified according to COFOG in your institution?</w:t>
      </w:r>
    </w:p>
    <w:p w14:paraId="4F81725C" w14:textId="19C8AF9F" w:rsidR="00D54616" w:rsidRPr="00FB7992" w:rsidRDefault="00123C14" w:rsidP="00FB7992">
      <w:pPr>
        <w:spacing w:after="0" w:line="240" w:lineRule="auto"/>
        <w:jc w:val="both"/>
        <w:rPr>
          <w:b/>
          <w:bCs/>
          <w:i/>
          <w:iCs/>
          <w:sz w:val="22"/>
          <w:szCs w:val="22"/>
        </w:rPr>
      </w:pPr>
      <w:r w:rsidRPr="00C316A9">
        <w:rPr>
          <w:i/>
          <w:iCs/>
          <w:sz w:val="22"/>
          <w:szCs w:val="22"/>
        </w:rPr>
        <w:t>(Please mark all that are applicable)</w:t>
      </w:r>
    </w:p>
    <w:p w14:paraId="7A6E695D" w14:textId="77777777" w:rsidR="00AD4274" w:rsidRDefault="00AD4274" w:rsidP="00485B5A">
      <w:pPr>
        <w:spacing w:after="0" w:line="240" w:lineRule="auto"/>
        <w:jc w:val="both"/>
        <w:rPr>
          <w:rFonts w:ascii="Aptos" w:eastAsia="Tahoma" w:hAnsi="Aptos" w:cs="Aptos"/>
          <w:kern w:val="0"/>
          <w:sz w:val="22"/>
          <w:szCs w:val="22"/>
          <w:lang w:eastAsia="en-US"/>
          <w14:ligatures w14:val="none"/>
        </w:rPr>
      </w:pPr>
    </w:p>
    <w:p w14:paraId="11BA7986" w14:textId="77777777" w:rsidR="00B21D20" w:rsidRDefault="00423F55" w:rsidP="00D90615">
      <w:pPr>
        <w:spacing w:after="0" w:line="240" w:lineRule="auto"/>
        <w:jc w:val="both"/>
        <w:rPr>
          <w:rFonts w:ascii="Aptos" w:eastAsia="Tahoma" w:hAnsi="Aptos" w:cs="Aptos"/>
          <w:kern w:val="0"/>
          <w:sz w:val="22"/>
          <w:szCs w:val="22"/>
          <w:lang w:eastAsia="en-US"/>
          <w14:ligatures w14:val="none"/>
        </w:rPr>
      </w:pPr>
      <w:r>
        <w:rPr>
          <w:noProof/>
          <w:sz w:val="22"/>
          <w:szCs w:val="22"/>
        </w:rPr>
        <w:drawing>
          <wp:inline distT="0" distB="0" distL="0" distR="0" wp14:anchorId="29553E82" wp14:editId="3B621B1F">
            <wp:extent cx="5899785" cy="2247900"/>
            <wp:effectExtent l="0" t="0" r="5715" b="0"/>
            <wp:docPr id="185318567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564E26" w14:textId="62306BE8" w:rsidR="00D54616" w:rsidRDefault="005154D0" w:rsidP="00D90615">
      <w:pPr>
        <w:spacing w:after="0" w:line="240" w:lineRule="auto"/>
        <w:jc w:val="both"/>
        <w:rPr>
          <w:rFonts w:ascii="Aptos" w:eastAsia="Tahoma" w:hAnsi="Aptos" w:cs="Aptos"/>
          <w:kern w:val="0"/>
          <w:sz w:val="22"/>
          <w:szCs w:val="22"/>
          <w:lang w:eastAsia="en-US"/>
          <w14:ligatures w14:val="none"/>
        </w:rPr>
      </w:pPr>
      <w:r>
        <w:rPr>
          <w:rFonts w:ascii="Aptos" w:eastAsia="Tahoma" w:hAnsi="Aptos" w:cs="Aptos"/>
          <w:kern w:val="0"/>
          <w:sz w:val="22"/>
          <w:szCs w:val="22"/>
          <w:lang w:eastAsia="en-US"/>
          <w14:ligatures w14:val="none"/>
        </w:rPr>
        <w:lastRenderedPageBreak/>
        <w:t xml:space="preserve">Respondents noted that </w:t>
      </w:r>
      <w:r w:rsidR="004974DF">
        <w:rPr>
          <w:rFonts w:ascii="Aptos" w:eastAsia="Tahoma" w:hAnsi="Aptos" w:cs="Aptos"/>
          <w:kern w:val="0"/>
          <w:sz w:val="22"/>
          <w:szCs w:val="22"/>
          <w:lang w:eastAsia="en-US"/>
          <w14:ligatures w14:val="none"/>
        </w:rPr>
        <w:t xml:space="preserve">in their institution, </w:t>
      </w:r>
      <w:r w:rsidR="00862CBD">
        <w:rPr>
          <w:rFonts w:ascii="Aptos" w:eastAsia="Tahoma" w:hAnsi="Aptos" w:cs="Aptos"/>
          <w:kern w:val="0"/>
          <w:sz w:val="22"/>
          <w:szCs w:val="22"/>
          <w:lang w:eastAsia="en-US"/>
          <w14:ligatures w14:val="none"/>
        </w:rPr>
        <w:t xml:space="preserve">expenditure is classified according to </w:t>
      </w:r>
      <w:r w:rsidR="00F07643">
        <w:rPr>
          <w:rFonts w:ascii="Aptos" w:eastAsia="Tahoma" w:hAnsi="Aptos" w:cs="Aptos"/>
          <w:kern w:val="0"/>
          <w:sz w:val="22"/>
          <w:szCs w:val="22"/>
          <w:lang w:eastAsia="en-US"/>
          <w14:ligatures w14:val="none"/>
        </w:rPr>
        <w:t>CO</w:t>
      </w:r>
      <w:r w:rsidR="00256635">
        <w:rPr>
          <w:rFonts w:ascii="Aptos" w:eastAsia="Tahoma" w:hAnsi="Aptos" w:cs="Aptos"/>
          <w:kern w:val="0"/>
          <w:sz w:val="22"/>
          <w:szCs w:val="22"/>
          <w:lang w:eastAsia="en-US"/>
          <w14:ligatures w14:val="none"/>
        </w:rPr>
        <w:t>FOG for</w:t>
      </w:r>
      <w:r w:rsidR="00862CBD">
        <w:rPr>
          <w:rFonts w:ascii="Aptos" w:eastAsia="Tahoma" w:hAnsi="Aptos" w:cs="Aptos"/>
          <w:kern w:val="0"/>
          <w:sz w:val="22"/>
          <w:szCs w:val="22"/>
          <w:lang w:eastAsia="en-US"/>
          <w14:ligatures w14:val="none"/>
        </w:rPr>
        <w:t xml:space="preserve"> </w:t>
      </w:r>
      <w:r>
        <w:rPr>
          <w:rFonts w:ascii="Aptos" w:eastAsia="Tahoma" w:hAnsi="Aptos" w:cs="Aptos"/>
          <w:kern w:val="0"/>
          <w:sz w:val="22"/>
          <w:szCs w:val="22"/>
          <w:lang w:eastAsia="en-US"/>
          <w14:ligatures w14:val="none"/>
        </w:rPr>
        <w:t xml:space="preserve">most of the </w:t>
      </w:r>
      <w:r w:rsidR="00B05490">
        <w:rPr>
          <w:rFonts w:ascii="Aptos" w:eastAsia="Tahoma" w:hAnsi="Aptos" w:cs="Aptos"/>
          <w:kern w:val="0"/>
          <w:sz w:val="22"/>
          <w:szCs w:val="22"/>
          <w:lang w:eastAsia="en-US"/>
          <w14:ligatures w14:val="none"/>
        </w:rPr>
        <w:t xml:space="preserve">listed </w:t>
      </w:r>
      <w:r>
        <w:rPr>
          <w:rFonts w:ascii="Aptos" w:eastAsia="Tahoma" w:hAnsi="Aptos" w:cs="Aptos"/>
          <w:kern w:val="0"/>
          <w:sz w:val="22"/>
          <w:szCs w:val="22"/>
          <w:lang w:eastAsia="en-US"/>
          <w14:ligatures w14:val="none"/>
        </w:rPr>
        <w:t>types</w:t>
      </w:r>
      <w:r w:rsidR="008D5EE5">
        <w:rPr>
          <w:rFonts w:ascii="Aptos" w:eastAsia="Tahoma" w:hAnsi="Aptos" w:cs="Aptos"/>
          <w:kern w:val="0"/>
          <w:sz w:val="22"/>
          <w:szCs w:val="22"/>
          <w:lang w:eastAsia="en-US"/>
          <w14:ligatures w14:val="none"/>
        </w:rPr>
        <w:t>, including</w:t>
      </w:r>
      <w:r w:rsidR="003F265A">
        <w:rPr>
          <w:rFonts w:ascii="Aptos" w:eastAsia="Tahoma" w:hAnsi="Aptos" w:cs="Aptos"/>
          <w:kern w:val="0"/>
          <w:sz w:val="22"/>
          <w:szCs w:val="22"/>
          <w:lang w:eastAsia="en-US"/>
          <w14:ligatures w14:val="none"/>
        </w:rPr>
        <w:t xml:space="preserve"> </w:t>
      </w:r>
      <w:r w:rsidR="008D5EE5">
        <w:rPr>
          <w:rFonts w:ascii="Aptos" w:eastAsia="Tahoma" w:hAnsi="Aptos" w:cs="Aptos"/>
          <w:kern w:val="0"/>
          <w:sz w:val="22"/>
          <w:szCs w:val="22"/>
          <w:lang w:eastAsia="en-US"/>
          <w14:ligatures w14:val="none"/>
        </w:rPr>
        <w:t>final consumption expenditure (</w:t>
      </w:r>
      <w:r w:rsidR="00851DF2" w:rsidRPr="00851DF2">
        <w:rPr>
          <w:rFonts w:ascii="Aptos" w:eastAsia="Tahoma" w:hAnsi="Aptos" w:cs="Aptos"/>
          <w:kern w:val="0"/>
          <w:sz w:val="22"/>
          <w:szCs w:val="22"/>
          <w:lang w:eastAsia="en-US"/>
          <w14:ligatures w14:val="none"/>
        </w:rPr>
        <w:t>e.g. compensation of employees, in</w:t>
      </w:r>
      <w:r w:rsidR="00851DF2">
        <w:rPr>
          <w:rFonts w:ascii="Aptos" w:eastAsia="Tahoma" w:hAnsi="Aptos" w:cs="Aptos"/>
          <w:kern w:val="0"/>
          <w:sz w:val="22"/>
          <w:szCs w:val="22"/>
          <w:lang w:eastAsia="en-US"/>
          <w14:ligatures w14:val="none"/>
        </w:rPr>
        <w:t>termediate</w:t>
      </w:r>
      <w:r w:rsidR="00851DF2" w:rsidRPr="00851DF2">
        <w:rPr>
          <w:rFonts w:ascii="Aptos" w:eastAsia="Tahoma" w:hAnsi="Aptos" w:cs="Aptos"/>
          <w:kern w:val="0"/>
          <w:sz w:val="22"/>
          <w:szCs w:val="22"/>
          <w:lang w:eastAsia="en-US"/>
          <w14:ligatures w14:val="none"/>
        </w:rPr>
        <w:t xml:space="preserve"> consumption, consumption of fixed capital, market output, output for own final use, taxes/subsidies on production paid/received</w:t>
      </w:r>
      <w:r w:rsidR="00851DF2">
        <w:rPr>
          <w:rFonts w:ascii="Aptos" w:eastAsia="Tahoma" w:hAnsi="Aptos" w:cs="Aptos"/>
          <w:kern w:val="0"/>
          <w:sz w:val="22"/>
          <w:szCs w:val="22"/>
          <w:lang w:eastAsia="en-US"/>
          <w14:ligatures w14:val="none"/>
        </w:rPr>
        <w:t xml:space="preserve">, </w:t>
      </w:r>
      <w:r w:rsidR="008D5EE5">
        <w:rPr>
          <w:rFonts w:ascii="Aptos" w:eastAsia="Tahoma" w:hAnsi="Aptos" w:cs="Aptos"/>
          <w:kern w:val="0"/>
          <w:sz w:val="22"/>
          <w:szCs w:val="22"/>
          <w:lang w:eastAsia="en-US"/>
          <w14:ligatures w14:val="none"/>
        </w:rPr>
        <w:t>7</w:t>
      </w:r>
      <w:r w:rsidR="009E2ABC">
        <w:rPr>
          <w:rFonts w:ascii="Aptos" w:eastAsia="Tahoma" w:hAnsi="Aptos" w:cs="Aptos"/>
          <w:kern w:val="0"/>
          <w:sz w:val="22"/>
          <w:szCs w:val="22"/>
          <w:lang w:eastAsia="en-US"/>
          <w14:ligatures w14:val="none"/>
        </w:rPr>
        <w:t>8</w:t>
      </w:r>
      <w:r w:rsidR="008D5EE5">
        <w:rPr>
          <w:rFonts w:ascii="Aptos" w:eastAsia="Tahoma" w:hAnsi="Aptos" w:cs="Aptos"/>
          <w:kern w:val="0"/>
          <w:sz w:val="22"/>
          <w:szCs w:val="22"/>
          <w:lang w:eastAsia="en-US"/>
          <w14:ligatures w14:val="none"/>
        </w:rPr>
        <w:t>%</w:t>
      </w:r>
      <w:r w:rsidR="001C1BC5">
        <w:rPr>
          <w:rFonts w:ascii="Aptos" w:eastAsia="Tahoma" w:hAnsi="Aptos" w:cs="Aptos"/>
          <w:kern w:val="0"/>
          <w:sz w:val="22"/>
          <w:szCs w:val="22"/>
          <w:lang w:eastAsia="en-US"/>
          <w14:ligatures w14:val="none"/>
        </w:rPr>
        <w:t>, n=61</w:t>
      </w:r>
      <w:r w:rsidR="008D5EE5">
        <w:rPr>
          <w:rFonts w:ascii="Aptos" w:eastAsia="Tahoma" w:hAnsi="Aptos" w:cs="Aptos"/>
          <w:kern w:val="0"/>
          <w:sz w:val="22"/>
          <w:szCs w:val="22"/>
          <w:lang w:eastAsia="en-US"/>
          <w14:ligatures w14:val="none"/>
        </w:rPr>
        <w:t xml:space="preserve">), </w:t>
      </w:r>
      <w:r w:rsidR="009B3323">
        <w:rPr>
          <w:rFonts w:ascii="Aptos" w:eastAsia="Tahoma" w:hAnsi="Aptos" w:cs="Aptos"/>
          <w:kern w:val="0"/>
          <w:sz w:val="22"/>
          <w:szCs w:val="22"/>
          <w:lang w:eastAsia="en-US"/>
          <w14:ligatures w14:val="none"/>
        </w:rPr>
        <w:t>capital expenditure (</w:t>
      </w:r>
      <w:r w:rsidR="00D90615" w:rsidRPr="00D90615">
        <w:rPr>
          <w:rFonts w:ascii="Aptos" w:eastAsia="Tahoma" w:hAnsi="Aptos" w:cs="Aptos"/>
          <w:kern w:val="0"/>
          <w:sz w:val="22"/>
          <w:szCs w:val="22"/>
          <w:lang w:eastAsia="en-US"/>
          <w14:ligatures w14:val="none"/>
        </w:rPr>
        <w:t>e.g. capital grants and capital formation</w:t>
      </w:r>
      <w:r w:rsidR="00D90615">
        <w:rPr>
          <w:rFonts w:ascii="Aptos" w:eastAsia="Tahoma" w:hAnsi="Aptos" w:cs="Aptos"/>
          <w:kern w:val="0"/>
          <w:sz w:val="22"/>
          <w:szCs w:val="22"/>
          <w:lang w:eastAsia="en-US"/>
          <w14:ligatures w14:val="none"/>
        </w:rPr>
        <w:t xml:space="preserve">, </w:t>
      </w:r>
      <w:r w:rsidR="009B3323">
        <w:rPr>
          <w:rFonts w:ascii="Aptos" w:eastAsia="Tahoma" w:hAnsi="Aptos" w:cs="Aptos"/>
          <w:kern w:val="0"/>
          <w:sz w:val="22"/>
          <w:szCs w:val="22"/>
          <w:lang w:eastAsia="en-US"/>
          <w14:ligatures w14:val="none"/>
        </w:rPr>
        <w:t>7</w:t>
      </w:r>
      <w:r w:rsidR="009E2ABC">
        <w:rPr>
          <w:rFonts w:ascii="Aptos" w:eastAsia="Tahoma" w:hAnsi="Aptos" w:cs="Aptos"/>
          <w:kern w:val="0"/>
          <w:sz w:val="22"/>
          <w:szCs w:val="22"/>
          <w:lang w:eastAsia="en-US"/>
          <w14:ligatures w14:val="none"/>
        </w:rPr>
        <w:t>1</w:t>
      </w:r>
      <w:r w:rsidR="009B3323">
        <w:rPr>
          <w:rFonts w:ascii="Aptos" w:eastAsia="Tahoma" w:hAnsi="Aptos" w:cs="Aptos"/>
          <w:kern w:val="0"/>
          <w:sz w:val="22"/>
          <w:szCs w:val="22"/>
          <w:lang w:eastAsia="en-US"/>
          <w14:ligatures w14:val="none"/>
        </w:rPr>
        <w:t>%</w:t>
      </w:r>
      <w:r w:rsidR="001C1BC5">
        <w:rPr>
          <w:rFonts w:ascii="Aptos" w:eastAsia="Tahoma" w:hAnsi="Aptos" w:cs="Aptos"/>
          <w:kern w:val="0"/>
          <w:sz w:val="22"/>
          <w:szCs w:val="22"/>
          <w:lang w:eastAsia="en-US"/>
          <w14:ligatures w14:val="none"/>
        </w:rPr>
        <w:t>, n=55</w:t>
      </w:r>
      <w:r w:rsidR="009B3323">
        <w:rPr>
          <w:rFonts w:ascii="Aptos" w:eastAsia="Tahoma" w:hAnsi="Aptos" w:cs="Aptos"/>
          <w:kern w:val="0"/>
          <w:sz w:val="22"/>
          <w:szCs w:val="22"/>
          <w:lang w:eastAsia="en-US"/>
          <w14:ligatures w14:val="none"/>
        </w:rPr>
        <w:t xml:space="preserve">), </w:t>
      </w:r>
      <w:r w:rsidR="008D5EE5">
        <w:rPr>
          <w:rFonts w:ascii="Aptos" w:eastAsia="Tahoma" w:hAnsi="Aptos" w:cs="Aptos"/>
          <w:kern w:val="0"/>
          <w:sz w:val="22"/>
          <w:szCs w:val="22"/>
          <w:lang w:eastAsia="en-US"/>
          <w14:ligatures w14:val="none"/>
        </w:rPr>
        <w:t>other types of current expenditure (</w:t>
      </w:r>
      <w:r w:rsidR="006B0940" w:rsidRPr="006B0940">
        <w:rPr>
          <w:rFonts w:ascii="Aptos" w:eastAsia="Tahoma" w:hAnsi="Aptos" w:cs="Aptos"/>
          <w:kern w:val="0"/>
          <w:sz w:val="22"/>
          <w:szCs w:val="22"/>
          <w:lang w:eastAsia="en-US"/>
          <w14:ligatures w14:val="none"/>
        </w:rPr>
        <w:t>e.g. current grants and subsidies</w:t>
      </w:r>
      <w:r w:rsidR="006B0940">
        <w:rPr>
          <w:rFonts w:ascii="Aptos" w:eastAsia="Tahoma" w:hAnsi="Aptos" w:cs="Aptos"/>
          <w:kern w:val="0"/>
          <w:sz w:val="22"/>
          <w:szCs w:val="22"/>
          <w:lang w:eastAsia="en-US"/>
          <w14:ligatures w14:val="none"/>
        </w:rPr>
        <w:t xml:space="preserve">, </w:t>
      </w:r>
      <w:r w:rsidR="008D5EE5">
        <w:rPr>
          <w:rFonts w:ascii="Aptos" w:eastAsia="Tahoma" w:hAnsi="Aptos" w:cs="Aptos"/>
          <w:kern w:val="0"/>
          <w:sz w:val="22"/>
          <w:szCs w:val="22"/>
          <w:lang w:eastAsia="en-US"/>
          <w14:ligatures w14:val="none"/>
        </w:rPr>
        <w:t>6</w:t>
      </w:r>
      <w:r w:rsidR="009E2ABC">
        <w:rPr>
          <w:rFonts w:ascii="Aptos" w:eastAsia="Tahoma" w:hAnsi="Aptos" w:cs="Aptos"/>
          <w:kern w:val="0"/>
          <w:sz w:val="22"/>
          <w:szCs w:val="22"/>
          <w:lang w:eastAsia="en-US"/>
          <w14:ligatures w14:val="none"/>
        </w:rPr>
        <w:t>8</w:t>
      </w:r>
      <w:r w:rsidR="008D5EE5">
        <w:rPr>
          <w:rFonts w:ascii="Aptos" w:eastAsia="Tahoma" w:hAnsi="Aptos" w:cs="Aptos"/>
          <w:kern w:val="0"/>
          <w:sz w:val="22"/>
          <w:szCs w:val="22"/>
          <w:lang w:eastAsia="en-US"/>
          <w14:ligatures w14:val="none"/>
        </w:rPr>
        <w:t>%)</w:t>
      </w:r>
      <w:r w:rsidR="001C1BC5">
        <w:rPr>
          <w:rFonts w:ascii="Aptos" w:eastAsia="Tahoma" w:hAnsi="Aptos" w:cs="Aptos"/>
          <w:kern w:val="0"/>
          <w:sz w:val="22"/>
          <w:szCs w:val="22"/>
          <w:lang w:eastAsia="en-US"/>
          <w14:ligatures w14:val="none"/>
        </w:rPr>
        <w:t>, n=53</w:t>
      </w:r>
      <w:r w:rsidR="009B3323">
        <w:rPr>
          <w:rFonts w:ascii="Aptos" w:eastAsia="Tahoma" w:hAnsi="Aptos" w:cs="Aptos"/>
          <w:kern w:val="0"/>
          <w:sz w:val="22"/>
          <w:szCs w:val="22"/>
          <w:lang w:eastAsia="en-US"/>
          <w14:ligatures w14:val="none"/>
        </w:rPr>
        <w:t>, and total outlays according to GFSM (6</w:t>
      </w:r>
      <w:r w:rsidR="009E2ABC">
        <w:rPr>
          <w:rFonts w:ascii="Aptos" w:eastAsia="Tahoma" w:hAnsi="Aptos" w:cs="Aptos"/>
          <w:kern w:val="0"/>
          <w:sz w:val="22"/>
          <w:szCs w:val="22"/>
          <w:lang w:eastAsia="en-US"/>
          <w14:ligatures w14:val="none"/>
        </w:rPr>
        <w:t>7</w:t>
      </w:r>
      <w:r w:rsidR="009B3323">
        <w:rPr>
          <w:rFonts w:ascii="Aptos" w:eastAsia="Tahoma" w:hAnsi="Aptos" w:cs="Aptos"/>
          <w:kern w:val="0"/>
          <w:sz w:val="22"/>
          <w:szCs w:val="22"/>
          <w:lang w:eastAsia="en-US"/>
          <w14:ligatures w14:val="none"/>
        </w:rPr>
        <w:t>%</w:t>
      </w:r>
      <w:r w:rsidR="001C1BC5">
        <w:rPr>
          <w:rFonts w:ascii="Aptos" w:eastAsia="Tahoma" w:hAnsi="Aptos" w:cs="Aptos"/>
          <w:kern w:val="0"/>
          <w:sz w:val="22"/>
          <w:szCs w:val="22"/>
          <w:lang w:eastAsia="en-US"/>
          <w14:ligatures w14:val="none"/>
        </w:rPr>
        <w:t>, n=</w:t>
      </w:r>
      <w:r w:rsidR="008532C1">
        <w:rPr>
          <w:rFonts w:ascii="Aptos" w:eastAsia="Tahoma" w:hAnsi="Aptos" w:cs="Aptos"/>
          <w:kern w:val="0"/>
          <w:sz w:val="22"/>
          <w:szCs w:val="22"/>
          <w:lang w:eastAsia="en-US"/>
          <w14:ligatures w14:val="none"/>
        </w:rPr>
        <w:t>52</w:t>
      </w:r>
      <w:r w:rsidR="009B3323">
        <w:rPr>
          <w:rFonts w:ascii="Aptos" w:eastAsia="Tahoma" w:hAnsi="Aptos" w:cs="Aptos"/>
          <w:kern w:val="0"/>
          <w:sz w:val="22"/>
          <w:szCs w:val="22"/>
          <w:lang w:eastAsia="en-US"/>
          <w14:ligatures w14:val="none"/>
        </w:rPr>
        <w:t xml:space="preserve">).  </w:t>
      </w:r>
    </w:p>
    <w:p w14:paraId="27CAC13E" w14:textId="77777777" w:rsidR="009B3323" w:rsidRDefault="009B3323" w:rsidP="00485B5A">
      <w:pPr>
        <w:spacing w:after="0" w:line="240" w:lineRule="auto"/>
        <w:jc w:val="both"/>
        <w:rPr>
          <w:rFonts w:ascii="Aptos" w:eastAsia="Tahoma" w:hAnsi="Aptos" w:cs="Aptos"/>
          <w:kern w:val="0"/>
          <w:sz w:val="22"/>
          <w:szCs w:val="22"/>
          <w:lang w:eastAsia="en-US"/>
          <w14:ligatures w14:val="none"/>
        </w:rPr>
      </w:pPr>
    </w:p>
    <w:p w14:paraId="2B801118" w14:textId="75E15C6B" w:rsidR="008D7AF1" w:rsidRDefault="009E2ABC" w:rsidP="00B90C51">
      <w:pPr>
        <w:spacing w:after="0" w:line="240" w:lineRule="auto"/>
        <w:jc w:val="both"/>
        <w:rPr>
          <w:b/>
          <w:bCs/>
          <w:sz w:val="22"/>
          <w:szCs w:val="22"/>
        </w:rPr>
      </w:pPr>
      <w:r>
        <w:rPr>
          <w:rFonts w:ascii="Aptos" w:eastAsia="Tahoma" w:hAnsi="Aptos" w:cs="Aptos"/>
          <w:kern w:val="0"/>
          <w:sz w:val="22"/>
          <w:szCs w:val="22"/>
          <w:lang w:eastAsia="en-US"/>
          <w14:ligatures w14:val="none"/>
        </w:rPr>
        <w:t>H</w:t>
      </w:r>
      <w:r w:rsidR="009B3323">
        <w:rPr>
          <w:rFonts w:ascii="Aptos" w:eastAsia="Tahoma" w:hAnsi="Aptos" w:cs="Aptos"/>
          <w:kern w:val="0"/>
          <w:sz w:val="22"/>
          <w:szCs w:val="22"/>
          <w:lang w:eastAsia="en-US"/>
          <w14:ligatures w14:val="none"/>
        </w:rPr>
        <w:t>alf</w:t>
      </w:r>
      <w:r w:rsidR="004974DF">
        <w:rPr>
          <w:rFonts w:ascii="Aptos" w:eastAsia="Tahoma" w:hAnsi="Aptos" w:cs="Aptos"/>
          <w:kern w:val="0"/>
          <w:sz w:val="22"/>
          <w:szCs w:val="22"/>
          <w:lang w:eastAsia="en-US"/>
          <w14:ligatures w14:val="none"/>
        </w:rPr>
        <w:t xml:space="preserve"> (5</w:t>
      </w:r>
      <w:r>
        <w:rPr>
          <w:rFonts w:ascii="Aptos" w:eastAsia="Tahoma" w:hAnsi="Aptos" w:cs="Aptos"/>
          <w:kern w:val="0"/>
          <w:sz w:val="22"/>
          <w:szCs w:val="22"/>
          <w:lang w:eastAsia="en-US"/>
          <w14:ligatures w14:val="none"/>
        </w:rPr>
        <w:t>0</w:t>
      </w:r>
      <w:r w:rsidR="004974DF">
        <w:rPr>
          <w:rFonts w:ascii="Aptos" w:eastAsia="Tahoma" w:hAnsi="Aptos" w:cs="Aptos"/>
          <w:kern w:val="0"/>
          <w:sz w:val="22"/>
          <w:szCs w:val="22"/>
          <w:lang w:eastAsia="en-US"/>
          <w14:ligatures w14:val="none"/>
        </w:rPr>
        <w:t>%</w:t>
      </w:r>
      <w:r w:rsidR="008532C1">
        <w:rPr>
          <w:rFonts w:ascii="Aptos" w:eastAsia="Tahoma" w:hAnsi="Aptos" w:cs="Aptos"/>
          <w:kern w:val="0"/>
          <w:sz w:val="22"/>
          <w:szCs w:val="22"/>
          <w:lang w:eastAsia="en-US"/>
          <w14:ligatures w14:val="none"/>
        </w:rPr>
        <w:t>, n=39</w:t>
      </w:r>
      <w:r w:rsidR="004974DF">
        <w:rPr>
          <w:rFonts w:ascii="Aptos" w:eastAsia="Tahoma" w:hAnsi="Aptos" w:cs="Aptos"/>
          <w:kern w:val="0"/>
          <w:sz w:val="22"/>
          <w:szCs w:val="22"/>
          <w:lang w:eastAsia="en-US"/>
          <w14:ligatures w14:val="none"/>
        </w:rPr>
        <w:t xml:space="preserve">) reported that expenditure is classified </w:t>
      </w:r>
      <w:r w:rsidR="003F265A">
        <w:rPr>
          <w:rFonts w:ascii="Aptos" w:eastAsia="Tahoma" w:hAnsi="Aptos" w:cs="Aptos"/>
          <w:kern w:val="0"/>
          <w:sz w:val="22"/>
          <w:szCs w:val="22"/>
          <w:lang w:eastAsia="en-US"/>
          <w14:ligatures w14:val="none"/>
        </w:rPr>
        <w:t>according to total expenditure according to ESA 2010</w:t>
      </w:r>
      <w:r w:rsidR="00360F36">
        <w:rPr>
          <w:rFonts w:ascii="Aptos" w:eastAsia="Tahoma" w:hAnsi="Aptos" w:cs="Aptos"/>
          <w:kern w:val="0"/>
          <w:sz w:val="22"/>
          <w:szCs w:val="22"/>
          <w:lang w:eastAsia="en-US"/>
          <w14:ligatures w14:val="none"/>
        </w:rPr>
        <w:t xml:space="preserve">, while 23% </w:t>
      </w:r>
      <w:r w:rsidR="008532C1">
        <w:rPr>
          <w:rFonts w:ascii="Aptos" w:eastAsia="Tahoma" w:hAnsi="Aptos" w:cs="Aptos"/>
          <w:kern w:val="0"/>
          <w:sz w:val="22"/>
          <w:szCs w:val="22"/>
          <w:lang w:eastAsia="en-US"/>
          <w14:ligatures w14:val="none"/>
        </w:rPr>
        <w:t xml:space="preserve">(n=18) </w:t>
      </w:r>
      <w:r w:rsidR="00360F36">
        <w:rPr>
          <w:rFonts w:ascii="Aptos" w:eastAsia="Tahoma" w:hAnsi="Aptos" w:cs="Aptos"/>
          <w:kern w:val="0"/>
          <w:sz w:val="22"/>
          <w:szCs w:val="22"/>
          <w:lang w:eastAsia="en-US"/>
          <w14:ligatures w14:val="none"/>
        </w:rPr>
        <w:t>noted transactions in financial assets and liabilities.</w:t>
      </w:r>
    </w:p>
    <w:p w14:paraId="5EF2EAF5" w14:textId="77777777" w:rsidR="004D4396" w:rsidRDefault="004D4396" w:rsidP="00485B5A">
      <w:pPr>
        <w:spacing w:after="0" w:line="240" w:lineRule="auto"/>
        <w:jc w:val="both"/>
        <w:rPr>
          <w:rFonts w:ascii="Aptos" w:eastAsia="Tahoma" w:hAnsi="Aptos" w:cs="Aptos"/>
          <w:kern w:val="0"/>
          <w:sz w:val="22"/>
          <w:szCs w:val="22"/>
          <w:lang w:eastAsia="en-US"/>
          <w14:ligatures w14:val="none"/>
        </w:rPr>
      </w:pPr>
    </w:p>
    <w:p w14:paraId="0D3E39C7" w14:textId="77777777" w:rsidR="00B90C51" w:rsidRDefault="00B90C51" w:rsidP="00485B5A">
      <w:pPr>
        <w:spacing w:after="0" w:line="240" w:lineRule="auto"/>
        <w:jc w:val="both"/>
        <w:rPr>
          <w:rFonts w:ascii="Aptos" w:eastAsia="Tahoma" w:hAnsi="Aptos" w:cs="Aptos"/>
          <w:kern w:val="0"/>
          <w:sz w:val="22"/>
          <w:szCs w:val="22"/>
          <w:lang w:eastAsia="en-US"/>
          <w14:ligatures w14:val="none"/>
        </w:rPr>
      </w:pPr>
    </w:p>
    <w:p w14:paraId="2AA83870" w14:textId="330F4E74" w:rsidR="004D4396" w:rsidRPr="00E8222F" w:rsidRDefault="004D4396" w:rsidP="00160576">
      <w:pPr>
        <w:pStyle w:val="Heading3"/>
        <w:numPr>
          <w:ilvl w:val="0"/>
          <w:numId w:val="32"/>
        </w:numPr>
        <w:spacing w:before="0" w:after="0"/>
      </w:pPr>
      <w:bookmarkStart w:id="11" w:name="_Toc195776388"/>
      <w:r w:rsidRPr="00E8222F">
        <w:t>Individual/Collective Expenditure</w:t>
      </w:r>
      <w:bookmarkEnd w:id="11"/>
    </w:p>
    <w:p w14:paraId="0A19E2CE" w14:textId="77777777" w:rsidR="005419F8" w:rsidRDefault="005419F8" w:rsidP="00485B5A">
      <w:pPr>
        <w:spacing w:after="0" w:line="240" w:lineRule="auto"/>
        <w:jc w:val="both"/>
        <w:rPr>
          <w:rFonts w:ascii="Aptos" w:eastAsia="Tahoma" w:hAnsi="Aptos" w:cs="Aptos"/>
          <w:kern w:val="0"/>
          <w:sz w:val="22"/>
          <w:szCs w:val="22"/>
          <w:lang w:eastAsia="en-US"/>
          <w14:ligatures w14:val="none"/>
        </w:rPr>
      </w:pPr>
    </w:p>
    <w:p w14:paraId="1B457988" w14:textId="79EEA24A" w:rsidR="003659DC" w:rsidRPr="00E72356" w:rsidRDefault="003659DC" w:rsidP="00F26109">
      <w:pPr>
        <w:spacing w:after="0" w:line="240" w:lineRule="auto"/>
        <w:jc w:val="both"/>
        <w:rPr>
          <w:sz w:val="22"/>
          <w:szCs w:val="22"/>
        </w:rPr>
      </w:pPr>
      <w:r w:rsidRPr="00E72356">
        <w:rPr>
          <w:sz w:val="22"/>
          <w:szCs w:val="22"/>
        </w:rPr>
        <w:t xml:space="preserve">This cohort of questions assesses the </w:t>
      </w:r>
      <w:r w:rsidR="00A9542B">
        <w:rPr>
          <w:sz w:val="22"/>
          <w:szCs w:val="22"/>
        </w:rPr>
        <w:t>use</w:t>
      </w:r>
      <w:r w:rsidRPr="00E72356">
        <w:rPr>
          <w:sz w:val="22"/>
          <w:szCs w:val="22"/>
        </w:rPr>
        <w:t xml:space="preserve"> of COFOG </w:t>
      </w:r>
      <w:r w:rsidR="00AA4466">
        <w:rPr>
          <w:sz w:val="22"/>
          <w:szCs w:val="22"/>
        </w:rPr>
        <w:t>to identify individual</w:t>
      </w:r>
      <w:r w:rsidRPr="00E72356">
        <w:rPr>
          <w:sz w:val="22"/>
          <w:szCs w:val="22"/>
        </w:rPr>
        <w:t xml:space="preserve"> and </w:t>
      </w:r>
      <w:r w:rsidR="00AA4466">
        <w:rPr>
          <w:sz w:val="22"/>
          <w:szCs w:val="22"/>
        </w:rPr>
        <w:t>collective expenditure</w:t>
      </w:r>
      <w:r w:rsidR="00D83F63">
        <w:rPr>
          <w:sz w:val="22"/>
          <w:szCs w:val="22"/>
        </w:rPr>
        <w:t xml:space="preserve"> in national accounts</w:t>
      </w:r>
      <w:r w:rsidR="004E6B2D">
        <w:rPr>
          <w:sz w:val="22"/>
          <w:szCs w:val="22"/>
        </w:rPr>
        <w:t xml:space="preserve">, where </w:t>
      </w:r>
      <w:r w:rsidR="00B90C51">
        <w:rPr>
          <w:sz w:val="22"/>
          <w:szCs w:val="22"/>
        </w:rPr>
        <w:t xml:space="preserve">a </w:t>
      </w:r>
      <w:r w:rsidR="004E6B2D">
        <w:rPr>
          <w:sz w:val="22"/>
          <w:szCs w:val="22"/>
        </w:rPr>
        <w:t>majority of responden</w:t>
      </w:r>
      <w:r w:rsidR="00D33602">
        <w:rPr>
          <w:sz w:val="22"/>
          <w:szCs w:val="22"/>
        </w:rPr>
        <w:t>ts</w:t>
      </w:r>
      <w:r w:rsidR="003D09A0">
        <w:rPr>
          <w:sz w:val="22"/>
          <w:szCs w:val="22"/>
        </w:rPr>
        <w:t xml:space="preserve"> </w:t>
      </w:r>
      <w:r w:rsidR="00D83F63">
        <w:rPr>
          <w:sz w:val="22"/>
          <w:szCs w:val="22"/>
        </w:rPr>
        <w:t>indicated such use</w:t>
      </w:r>
      <w:r w:rsidR="008C0DFF">
        <w:rPr>
          <w:sz w:val="22"/>
          <w:szCs w:val="22"/>
        </w:rPr>
        <w:t xml:space="preserve">, either through </w:t>
      </w:r>
      <w:r w:rsidR="00A2469B">
        <w:rPr>
          <w:sz w:val="22"/>
          <w:szCs w:val="22"/>
        </w:rPr>
        <w:t>the precise mapping as defined in SNA or local adaptation.</w:t>
      </w:r>
      <w:r w:rsidRPr="00E72356">
        <w:rPr>
          <w:sz w:val="22"/>
          <w:szCs w:val="22"/>
        </w:rPr>
        <w:t xml:space="preserve">  The results would serve as the input for discussion on revision issue B</w:t>
      </w:r>
      <w:r w:rsidR="005E6469">
        <w:rPr>
          <w:sz w:val="22"/>
          <w:szCs w:val="22"/>
        </w:rPr>
        <w:t>5</w:t>
      </w:r>
      <w:r w:rsidRPr="00E72356">
        <w:rPr>
          <w:sz w:val="22"/>
          <w:szCs w:val="22"/>
        </w:rPr>
        <w:t xml:space="preserve"> on </w:t>
      </w:r>
      <w:r w:rsidR="005D5E5D">
        <w:rPr>
          <w:sz w:val="22"/>
          <w:szCs w:val="22"/>
        </w:rPr>
        <w:t xml:space="preserve">the </w:t>
      </w:r>
      <w:r w:rsidR="00AF3C4D">
        <w:rPr>
          <w:sz w:val="22"/>
          <w:szCs w:val="22"/>
        </w:rPr>
        <w:t xml:space="preserve">mapping of the </w:t>
      </w:r>
      <w:r w:rsidR="00D54A88">
        <w:rPr>
          <w:sz w:val="22"/>
          <w:szCs w:val="22"/>
        </w:rPr>
        <w:t xml:space="preserve">COFOG </w:t>
      </w:r>
      <w:r w:rsidR="007846A8">
        <w:rPr>
          <w:sz w:val="22"/>
          <w:szCs w:val="22"/>
        </w:rPr>
        <w:t xml:space="preserve">to </w:t>
      </w:r>
      <w:r w:rsidR="005D5E5D">
        <w:rPr>
          <w:sz w:val="22"/>
          <w:szCs w:val="22"/>
        </w:rPr>
        <w:t xml:space="preserve">individual and collective </w:t>
      </w:r>
      <w:r w:rsidR="007846A8">
        <w:rPr>
          <w:sz w:val="22"/>
          <w:szCs w:val="22"/>
        </w:rPr>
        <w:t>services</w:t>
      </w:r>
      <w:r w:rsidRPr="00E72356">
        <w:rPr>
          <w:sz w:val="22"/>
          <w:szCs w:val="22"/>
        </w:rPr>
        <w:t>.</w:t>
      </w:r>
    </w:p>
    <w:p w14:paraId="7AA81AAA" w14:textId="77777777" w:rsidR="005419F8" w:rsidRDefault="005419F8" w:rsidP="00485B5A">
      <w:pPr>
        <w:spacing w:after="0" w:line="240" w:lineRule="auto"/>
        <w:jc w:val="both"/>
        <w:rPr>
          <w:rFonts w:ascii="Aptos" w:eastAsia="Tahoma" w:hAnsi="Aptos" w:cs="Aptos"/>
          <w:kern w:val="0"/>
          <w:sz w:val="22"/>
          <w:szCs w:val="22"/>
          <w:lang w:eastAsia="en-US"/>
          <w14:ligatures w14:val="none"/>
        </w:rPr>
      </w:pPr>
    </w:p>
    <w:p w14:paraId="647DC4B2" w14:textId="1EDF6D4C" w:rsidR="002417E5" w:rsidRDefault="002417E5" w:rsidP="005F7F6D">
      <w:pPr>
        <w:spacing w:after="0" w:line="240" w:lineRule="auto"/>
        <w:jc w:val="both"/>
        <w:rPr>
          <w:b/>
          <w:bCs/>
          <w:sz w:val="22"/>
          <w:szCs w:val="22"/>
        </w:rPr>
      </w:pPr>
      <w:r w:rsidRPr="002417E5">
        <w:rPr>
          <w:b/>
          <w:bCs/>
          <w:sz w:val="22"/>
          <w:szCs w:val="22"/>
        </w:rPr>
        <w:t>21. Does your institution use COFOG in national accounts to identify individual and collective consumption expenditure for goods and services provided by government?</w:t>
      </w:r>
    </w:p>
    <w:p w14:paraId="4C627B78" w14:textId="7AE54B38" w:rsidR="00B93AC9" w:rsidRDefault="00B93AC9" w:rsidP="00485B5A">
      <w:pPr>
        <w:spacing w:after="0" w:line="240" w:lineRule="auto"/>
        <w:jc w:val="both"/>
        <w:rPr>
          <w:sz w:val="22"/>
          <w:szCs w:val="22"/>
        </w:rPr>
      </w:pPr>
      <w:r>
        <w:rPr>
          <w:noProof/>
          <w:sz w:val="22"/>
          <w:szCs w:val="22"/>
        </w:rPr>
        <w:drawing>
          <wp:inline distT="0" distB="0" distL="0" distR="0" wp14:anchorId="4983A56B" wp14:editId="568A254E">
            <wp:extent cx="4299857" cy="1400175"/>
            <wp:effectExtent l="0" t="0" r="5715" b="0"/>
            <wp:docPr id="10298344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2C4C943" w14:textId="64D527C1" w:rsidR="00C87CC4" w:rsidRPr="00D1540B" w:rsidRDefault="00E035DD" w:rsidP="00485B5A">
      <w:pPr>
        <w:spacing w:after="0" w:line="240" w:lineRule="auto"/>
        <w:jc w:val="both"/>
        <w:rPr>
          <w:sz w:val="22"/>
          <w:szCs w:val="22"/>
        </w:rPr>
      </w:pPr>
      <w:r w:rsidRPr="00D1540B">
        <w:rPr>
          <w:sz w:val="22"/>
          <w:szCs w:val="22"/>
        </w:rPr>
        <w:t>Most respondents (6</w:t>
      </w:r>
      <w:r w:rsidR="00C95C6F">
        <w:rPr>
          <w:sz w:val="22"/>
          <w:szCs w:val="22"/>
        </w:rPr>
        <w:t>2</w:t>
      </w:r>
      <w:r w:rsidRPr="00D1540B">
        <w:rPr>
          <w:sz w:val="22"/>
          <w:szCs w:val="22"/>
        </w:rPr>
        <w:t>%</w:t>
      </w:r>
      <w:r w:rsidR="00DC4910">
        <w:rPr>
          <w:sz w:val="22"/>
          <w:szCs w:val="22"/>
        </w:rPr>
        <w:t>, n=61</w:t>
      </w:r>
      <w:r w:rsidRPr="00D1540B">
        <w:rPr>
          <w:sz w:val="22"/>
          <w:szCs w:val="22"/>
        </w:rPr>
        <w:t xml:space="preserve">) </w:t>
      </w:r>
      <w:r w:rsidR="00D1540B" w:rsidRPr="00D1540B">
        <w:rPr>
          <w:sz w:val="22"/>
          <w:szCs w:val="22"/>
        </w:rPr>
        <w:t>noted that their institution uses COFOG to identify individual/collective consumption expenditure</w:t>
      </w:r>
      <w:r w:rsidR="00741A47">
        <w:rPr>
          <w:sz w:val="22"/>
          <w:szCs w:val="22"/>
        </w:rPr>
        <w:t xml:space="preserve"> in national accounts</w:t>
      </w:r>
      <w:r w:rsidR="007F3CE9">
        <w:rPr>
          <w:sz w:val="22"/>
          <w:szCs w:val="22"/>
        </w:rPr>
        <w:t xml:space="preserve">, versus only </w:t>
      </w:r>
      <w:r w:rsidR="00C95C6F">
        <w:rPr>
          <w:sz w:val="22"/>
          <w:szCs w:val="22"/>
        </w:rPr>
        <w:t>19</w:t>
      </w:r>
      <w:r w:rsidR="007F3CE9">
        <w:rPr>
          <w:sz w:val="22"/>
          <w:szCs w:val="22"/>
        </w:rPr>
        <w:t xml:space="preserve">% </w:t>
      </w:r>
      <w:r w:rsidR="00DC4910">
        <w:rPr>
          <w:sz w:val="22"/>
          <w:szCs w:val="22"/>
        </w:rPr>
        <w:t>(n</w:t>
      </w:r>
      <w:r w:rsidR="00D44CFF">
        <w:rPr>
          <w:sz w:val="22"/>
          <w:szCs w:val="22"/>
        </w:rPr>
        <w:t xml:space="preserve">=19) </w:t>
      </w:r>
      <w:r w:rsidR="007F3CE9">
        <w:rPr>
          <w:sz w:val="22"/>
          <w:szCs w:val="22"/>
        </w:rPr>
        <w:t>responding no</w:t>
      </w:r>
      <w:r w:rsidR="00D1540B" w:rsidRPr="00D1540B">
        <w:rPr>
          <w:sz w:val="22"/>
          <w:szCs w:val="22"/>
        </w:rPr>
        <w:t>.</w:t>
      </w:r>
      <w:r w:rsidR="007F3CE9">
        <w:rPr>
          <w:sz w:val="22"/>
          <w:szCs w:val="22"/>
        </w:rPr>
        <w:t xml:space="preserve">  The remaining </w:t>
      </w:r>
      <w:r w:rsidR="00C95C6F">
        <w:rPr>
          <w:sz w:val="22"/>
          <w:szCs w:val="22"/>
        </w:rPr>
        <w:t>19</w:t>
      </w:r>
      <w:r w:rsidR="007F3CE9">
        <w:rPr>
          <w:sz w:val="22"/>
          <w:szCs w:val="22"/>
        </w:rPr>
        <w:t>% were not sure or said it was not applicable to their institution.</w:t>
      </w:r>
      <w:r w:rsidR="00D1540B" w:rsidRPr="00D1540B">
        <w:rPr>
          <w:sz w:val="22"/>
          <w:szCs w:val="22"/>
        </w:rPr>
        <w:t xml:space="preserve">  </w:t>
      </w:r>
    </w:p>
    <w:p w14:paraId="44A9A466" w14:textId="77777777" w:rsidR="002717D3" w:rsidRDefault="002717D3" w:rsidP="00485B5A">
      <w:pPr>
        <w:spacing w:after="0" w:line="240" w:lineRule="auto"/>
        <w:jc w:val="both"/>
        <w:rPr>
          <w:b/>
          <w:bCs/>
          <w:sz w:val="22"/>
          <w:szCs w:val="22"/>
        </w:rPr>
      </w:pPr>
    </w:p>
    <w:p w14:paraId="6943F36A" w14:textId="77777777" w:rsidR="00B90C51" w:rsidRDefault="00B90C51" w:rsidP="00485B5A">
      <w:pPr>
        <w:spacing w:after="0" w:line="240" w:lineRule="auto"/>
        <w:jc w:val="both"/>
        <w:rPr>
          <w:b/>
          <w:bCs/>
          <w:sz w:val="22"/>
          <w:szCs w:val="22"/>
        </w:rPr>
      </w:pPr>
    </w:p>
    <w:p w14:paraId="3A54F749" w14:textId="5F91AAEE" w:rsidR="00A242AC" w:rsidRPr="00FD3F0C" w:rsidRDefault="00AE57D4" w:rsidP="00FD3F0C">
      <w:pPr>
        <w:spacing w:after="0" w:line="240" w:lineRule="auto"/>
        <w:jc w:val="both"/>
        <w:rPr>
          <w:b/>
          <w:bCs/>
          <w:sz w:val="22"/>
          <w:szCs w:val="22"/>
        </w:rPr>
      </w:pPr>
      <w:r w:rsidRPr="00AE57D4">
        <w:rPr>
          <w:b/>
          <w:bCs/>
          <w:sz w:val="22"/>
          <w:szCs w:val="22"/>
        </w:rPr>
        <w:t xml:space="preserve">22. </w:t>
      </w:r>
      <w:r w:rsidR="001707A2">
        <w:rPr>
          <w:b/>
          <w:bCs/>
          <w:sz w:val="22"/>
          <w:szCs w:val="22"/>
        </w:rPr>
        <w:t>H</w:t>
      </w:r>
      <w:r w:rsidRPr="00AE57D4">
        <w:rPr>
          <w:b/>
          <w:bCs/>
          <w:sz w:val="22"/>
          <w:szCs w:val="22"/>
        </w:rPr>
        <w:t>ow does your institution use COFOG to identify individual and collective consumption expenditure for goods and services provided by government</w:t>
      </w:r>
      <w:r w:rsidR="001707A2">
        <w:rPr>
          <w:b/>
          <w:bCs/>
          <w:sz w:val="22"/>
          <w:szCs w:val="22"/>
        </w:rPr>
        <w:t xml:space="preserve">? </w:t>
      </w:r>
      <w:r w:rsidR="001707A2" w:rsidRPr="004637F9">
        <w:rPr>
          <w:i/>
          <w:iCs/>
          <w:sz w:val="22"/>
          <w:szCs w:val="22"/>
        </w:rPr>
        <w:t>(If yes to Question 21)</w:t>
      </w:r>
    </w:p>
    <w:p w14:paraId="24FD3745" w14:textId="5ED6CE64" w:rsidR="005D1749" w:rsidRDefault="005D1749" w:rsidP="00485B5A">
      <w:pPr>
        <w:spacing w:after="0" w:line="240" w:lineRule="auto"/>
        <w:jc w:val="both"/>
        <w:rPr>
          <w:sz w:val="22"/>
          <w:szCs w:val="22"/>
        </w:rPr>
      </w:pPr>
      <w:r>
        <w:rPr>
          <w:noProof/>
          <w:sz w:val="22"/>
          <w:szCs w:val="22"/>
        </w:rPr>
        <w:drawing>
          <wp:inline distT="0" distB="0" distL="0" distR="0" wp14:anchorId="71B8BC20" wp14:editId="6AADED0C">
            <wp:extent cx="5604298" cy="1400175"/>
            <wp:effectExtent l="0" t="0" r="0" b="0"/>
            <wp:docPr id="15553050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3DF89CA" w14:textId="17A687A1" w:rsidR="00E8222F" w:rsidRDefault="00191643" w:rsidP="005A6F77">
      <w:pPr>
        <w:spacing w:after="0" w:line="240" w:lineRule="auto"/>
        <w:jc w:val="both"/>
        <w:rPr>
          <w:sz w:val="22"/>
          <w:szCs w:val="22"/>
        </w:rPr>
      </w:pPr>
      <w:r>
        <w:rPr>
          <w:sz w:val="22"/>
          <w:szCs w:val="22"/>
        </w:rPr>
        <w:t>Among</w:t>
      </w:r>
      <w:r w:rsidR="00A242AC">
        <w:rPr>
          <w:sz w:val="22"/>
          <w:szCs w:val="22"/>
        </w:rPr>
        <w:t xml:space="preserve"> </w:t>
      </w:r>
      <w:r w:rsidR="0023720A">
        <w:rPr>
          <w:sz w:val="22"/>
          <w:szCs w:val="22"/>
        </w:rPr>
        <w:t>those who use COFOG to identify individual and collective consumption expenditure</w:t>
      </w:r>
      <w:r w:rsidR="00A242AC">
        <w:rPr>
          <w:sz w:val="22"/>
          <w:szCs w:val="22"/>
        </w:rPr>
        <w:t xml:space="preserve"> </w:t>
      </w:r>
      <w:r w:rsidR="005D6F7F">
        <w:rPr>
          <w:sz w:val="22"/>
          <w:szCs w:val="22"/>
        </w:rPr>
        <w:t>by government</w:t>
      </w:r>
      <w:r>
        <w:rPr>
          <w:sz w:val="22"/>
          <w:szCs w:val="22"/>
        </w:rPr>
        <w:t>, the majority (58%</w:t>
      </w:r>
      <w:r w:rsidR="006F3621">
        <w:rPr>
          <w:sz w:val="22"/>
          <w:szCs w:val="22"/>
        </w:rPr>
        <w:t>, n=51</w:t>
      </w:r>
      <w:r>
        <w:rPr>
          <w:sz w:val="22"/>
          <w:szCs w:val="22"/>
        </w:rPr>
        <w:t>)</w:t>
      </w:r>
      <w:r w:rsidR="005D6F7F">
        <w:rPr>
          <w:sz w:val="22"/>
          <w:szCs w:val="22"/>
        </w:rPr>
        <w:t xml:space="preserve"> note that they do so using precise mapping of the COFOG classification</w:t>
      </w:r>
      <w:r w:rsidR="003B5F2D">
        <w:rPr>
          <w:sz w:val="22"/>
          <w:szCs w:val="22"/>
        </w:rPr>
        <w:t xml:space="preserve"> as defined in SNA</w:t>
      </w:r>
      <w:r w:rsidR="005D6F7F">
        <w:rPr>
          <w:sz w:val="22"/>
          <w:szCs w:val="22"/>
        </w:rPr>
        <w:t xml:space="preserve">. </w:t>
      </w:r>
      <w:r>
        <w:rPr>
          <w:sz w:val="22"/>
          <w:szCs w:val="22"/>
        </w:rPr>
        <w:t>Another 1</w:t>
      </w:r>
      <w:r w:rsidR="00AB4109">
        <w:rPr>
          <w:sz w:val="22"/>
          <w:szCs w:val="22"/>
        </w:rPr>
        <w:t>1</w:t>
      </w:r>
      <w:r>
        <w:rPr>
          <w:sz w:val="22"/>
          <w:szCs w:val="22"/>
        </w:rPr>
        <w:t xml:space="preserve">% </w:t>
      </w:r>
      <w:r w:rsidR="006F3621">
        <w:rPr>
          <w:sz w:val="22"/>
          <w:szCs w:val="22"/>
        </w:rPr>
        <w:t>(</w:t>
      </w:r>
      <w:r w:rsidR="00B74D86">
        <w:rPr>
          <w:sz w:val="22"/>
          <w:szCs w:val="22"/>
        </w:rPr>
        <w:t xml:space="preserve">n=10) </w:t>
      </w:r>
      <w:r>
        <w:rPr>
          <w:sz w:val="22"/>
          <w:szCs w:val="22"/>
        </w:rPr>
        <w:t xml:space="preserve">use a local adaptation </w:t>
      </w:r>
      <w:r w:rsidR="00927850">
        <w:rPr>
          <w:sz w:val="22"/>
          <w:szCs w:val="22"/>
        </w:rPr>
        <w:t>of COFOG</w:t>
      </w:r>
      <w:r w:rsidR="00AB4109">
        <w:rPr>
          <w:sz w:val="22"/>
          <w:szCs w:val="22"/>
        </w:rPr>
        <w:t xml:space="preserve">, with the remaining </w:t>
      </w:r>
      <w:r w:rsidR="00B74D86">
        <w:rPr>
          <w:sz w:val="22"/>
          <w:szCs w:val="22"/>
        </w:rPr>
        <w:t xml:space="preserve">31% </w:t>
      </w:r>
      <w:r w:rsidR="00B22B0F">
        <w:rPr>
          <w:sz w:val="22"/>
          <w:szCs w:val="22"/>
        </w:rPr>
        <w:t>(</w:t>
      </w:r>
      <w:r w:rsidR="00B74D86">
        <w:rPr>
          <w:sz w:val="22"/>
          <w:szCs w:val="22"/>
        </w:rPr>
        <w:t xml:space="preserve">n=27) </w:t>
      </w:r>
      <w:r w:rsidR="00B22B0F">
        <w:rPr>
          <w:sz w:val="22"/>
          <w:szCs w:val="22"/>
        </w:rPr>
        <w:t>responding</w:t>
      </w:r>
      <w:r w:rsidR="00AB4109">
        <w:rPr>
          <w:sz w:val="22"/>
          <w:szCs w:val="22"/>
        </w:rPr>
        <w:t xml:space="preserve"> not sure or not applicable.  </w:t>
      </w:r>
    </w:p>
    <w:p w14:paraId="30C6BAD7" w14:textId="57095BFE" w:rsidR="00815662" w:rsidRDefault="00DB595A" w:rsidP="00160576">
      <w:pPr>
        <w:pStyle w:val="Heading3"/>
        <w:numPr>
          <w:ilvl w:val="0"/>
          <w:numId w:val="32"/>
        </w:numPr>
        <w:spacing w:before="0"/>
      </w:pPr>
      <w:bookmarkStart w:id="12" w:name="_Toc195776389"/>
      <w:r w:rsidRPr="00E8222F">
        <w:lastRenderedPageBreak/>
        <w:t>Data and Compilation Quality</w:t>
      </w:r>
      <w:bookmarkEnd w:id="12"/>
      <w:r w:rsidR="001E1439">
        <w:br/>
      </w:r>
    </w:p>
    <w:p w14:paraId="39D15CC2" w14:textId="60341CA4" w:rsidR="00FC7A9F" w:rsidRPr="00973A2B" w:rsidRDefault="00372925" w:rsidP="00973A2B">
      <w:pPr>
        <w:spacing w:after="0" w:line="240" w:lineRule="auto"/>
        <w:jc w:val="both"/>
        <w:rPr>
          <w:b/>
          <w:bCs/>
          <w:sz w:val="22"/>
          <w:szCs w:val="22"/>
        </w:rPr>
      </w:pPr>
      <w:r w:rsidRPr="00372925">
        <w:rPr>
          <w:b/>
          <w:bCs/>
          <w:sz w:val="22"/>
          <w:szCs w:val="22"/>
        </w:rPr>
        <w:t>23. Do you consider that your current data sources and compilation practices are of sufficient quality to compile data in line with the current edition of COFOG?</w:t>
      </w:r>
    </w:p>
    <w:p w14:paraId="496472BB" w14:textId="25FC0B36" w:rsidR="00FC7A9F" w:rsidRDefault="00FC7A9F" w:rsidP="00485B5A">
      <w:pPr>
        <w:spacing w:after="0" w:line="240" w:lineRule="auto"/>
        <w:jc w:val="both"/>
        <w:rPr>
          <w:sz w:val="22"/>
          <w:szCs w:val="22"/>
        </w:rPr>
      </w:pPr>
      <w:r>
        <w:rPr>
          <w:noProof/>
          <w:sz w:val="22"/>
          <w:szCs w:val="22"/>
        </w:rPr>
        <w:drawing>
          <wp:inline distT="0" distB="0" distL="0" distR="0" wp14:anchorId="5146DA6D" wp14:editId="153D6843">
            <wp:extent cx="4445000" cy="1400175"/>
            <wp:effectExtent l="0" t="0" r="0" b="0"/>
            <wp:docPr id="5690865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84891A9" w14:textId="432D292E" w:rsidR="004C78EF" w:rsidRPr="004C78EF" w:rsidRDefault="004C78EF" w:rsidP="00485B5A">
      <w:pPr>
        <w:spacing w:after="0" w:line="240" w:lineRule="auto"/>
        <w:jc w:val="both"/>
        <w:rPr>
          <w:sz w:val="22"/>
          <w:szCs w:val="22"/>
        </w:rPr>
      </w:pPr>
      <w:r>
        <w:rPr>
          <w:sz w:val="22"/>
          <w:szCs w:val="22"/>
        </w:rPr>
        <w:t>Nearly 3 in 4 respondents (74%</w:t>
      </w:r>
      <w:r w:rsidR="00FC7A9F">
        <w:rPr>
          <w:sz w:val="22"/>
          <w:szCs w:val="22"/>
        </w:rPr>
        <w:t>, n=73</w:t>
      </w:r>
      <w:r>
        <w:rPr>
          <w:sz w:val="22"/>
          <w:szCs w:val="22"/>
        </w:rPr>
        <w:t>) said that their data sources and compilation practices are of sufficient quality to compile data in line with the current edition of COFOG.</w:t>
      </w:r>
    </w:p>
    <w:p w14:paraId="47B709CD" w14:textId="77777777" w:rsidR="004C78EF" w:rsidRPr="009C073A" w:rsidRDefault="004C78EF" w:rsidP="00485B5A">
      <w:pPr>
        <w:spacing w:after="0" w:line="240" w:lineRule="auto"/>
        <w:jc w:val="both"/>
        <w:rPr>
          <w:sz w:val="22"/>
          <w:szCs w:val="22"/>
        </w:rPr>
      </w:pPr>
    </w:p>
    <w:p w14:paraId="3F588E1F" w14:textId="4308E7F2" w:rsidR="006F697D" w:rsidRPr="009F33D2" w:rsidRDefault="00964CC3" w:rsidP="00485B5A">
      <w:pPr>
        <w:spacing w:after="0" w:line="240" w:lineRule="auto"/>
        <w:jc w:val="both"/>
        <w:rPr>
          <w:b/>
          <w:bCs/>
          <w:sz w:val="22"/>
          <w:szCs w:val="22"/>
        </w:rPr>
      </w:pPr>
      <w:r w:rsidRPr="009F33D2">
        <w:rPr>
          <w:b/>
          <w:bCs/>
          <w:sz w:val="22"/>
          <w:szCs w:val="22"/>
        </w:rPr>
        <w:t xml:space="preserve">If yes, please provide additional </w:t>
      </w:r>
      <w:proofErr w:type="gramStart"/>
      <w:r w:rsidRPr="009F33D2">
        <w:rPr>
          <w:b/>
          <w:bCs/>
          <w:sz w:val="22"/>
          <w:szCs w:val="22"/>
        </w:rPr>
        <w:t>detail</w:t>
      </w:r>
      <w:proofErr w:type="gramEnd"/>
      <w:r w:rsidRPr="009F33D2">
        <w:rPr>
          <w:b/>
          <w:bCs/>
          <w:sz w:val="22"/>
          <w:szCs w:val="22"/>
        </w:rPr>
        <w:t>, if desired</w:t>
      </w:r>
    </w:p>
    <w:p w14:paraId="1A94A1BF" w14:textId="77777777" w:rsidR="006F697D" w:rsidRDefault="006F697D" w:rsidP="00485B5A">
      <w:pPr>
        <w:spacing w:after="0" w:line="240" w:lineRule="auto"/>
        <w:jc w:val="both"/>
        <w:rPr>
          <w:sz w:val="22"/>
          <w:szCs w:val="22"/>
        </w:rPr>
      </w:pPr>
    </w:p>
    <w:p w14:paraId="4F699283" w14:textId="27BE4E8C" w:rsidR="00246C33" w:rsidRPr="0004610C" w:rsidRDefault="00246C33" w:rsidP="00246C33">
      <w:pPr>
        <w:spacing w:after="0" w:line="240" w:lineRule="auto"/>
        <w:jc w:val="both"/>
        <w:rPr>
          <w:sz w:val="22"/>
          <w:szCs w:val="22"/>
        </w:rPr>
      </w:pPr>
      <w:r w:rsidRPr="0004610C">
        <w:rPr>
          <w:sz w:val="22"/>
          <w:szCs w:val="22"/>
        </w:rPr>
        <w:t xml:space="preserve">Responses </w:t>
      </w:r>
      <w:r w:rsidR="00A5714B" w:rsidRPr="0004610C">
        <w:rPr>
          <w:sz w:val="22"/>
          <w:szCs w:val="22"/>
        </w:rPr>
        <w:t xml:space="preserve">noted </w:t>
      </w:r>
      <w:r w:rsidR="00253D32" w:rsidRPr="0004610C">
        <w:rPr>
          <w:sz w:val="22"/>
          <w:szCs w:val="22"/>
        </w:rPr>
        <w:t>Eurostat mandates</w:t>
      </w:r>
      <w:r w:rsidR="00120E54" w:rsidRPr="0004610C">
        <w:rPr>
          <w:sz w:val="22"/>
          <w:szCs w:val="22"/>
        </w:rPr>
        <w:t xml:space="preserve"> and IMF consistency requirements</w:t>
      </w:r>
      <w:r w:rsidR="00AD6854" w:rsidRPr="0004610C">
        <w:rPr>
          <w:sz w:val="22"/>
          <w:szCs w:val="22"/>
        </w:rPr>
        <w:t xml:space="preserve">; </w:t>
      </w:r>
      <w:r w:rsidR="00880972">
        <w:rPr>
          <w:sz w:val="22"/>
          <w:szCs w:val="22"/>
        </w:rPr>
        <w:t xml:space="preserve">as well as </w:t>
      </w:r>
      <w:r w:rsidR="00AD6854" w:rsidRPr="0004610C">
        <w:rPr>
          <w:sz w:val="22"/>
          <w:szCs w:val="22"/>
        </w:rPr>
        <w:t xml:space="preserve">difficulties with </w:t>
      </w:r>
      <w:r w:rsidR="00884BC3" w:rsidRPr="0004610C">
        <w:rPr>
          <w:sz w:val="22"/>
          <w:szCs w:val="22"/>
        </w:rPr>
        <w:t xml:space="preserve">certain subjects such as </w:t>
      </w:r>
      <w:r w:rsidR="00DC1625" w:rsidRPr="0004610C">
        <w:rPr>
          <w:sz w:val="22"/>
          <w:szCs w:val="22"/>
        </w:rPr>
        <w:t>education or agriculture</w:t>
      </w:r>
      <w:r w:rsidR="00880972">
        <w:rPr>
          <w:sz w:val="22"/>
          <w:szCs w:val="22"/>
        </w:rPr>
        <w:t>,</w:t>
      </w:r>
      <w:r w:rsidR="00DC1625" w:rsidRPr="0004610C">
        <w:rPr>
          <w:sz w:val="22"/>
          <w:szCs w:val="22"/>
        </w:rPr>
        <w:t xml:space="preserve"> </w:t>
      </w:r>
      <w:r w:rsidR="00A508C3" w:rsidRPr="0004610C">
        <w:rPr>
          <w:sz w:val="22"/>
          <w:szCs w:val="22"/>
        </w:rPr>
        <w:t xml:space="preserve">and </w:t>
      </w:r>
      <w:r w:rsidR="0004610C" w:rsidRPr="0004610C">
        <w:rPr>
          <w:sz w:val="22"/>
          <w:szCs w:val="22"/>
        </w:rPr>
        <w:t xml:space="preserve">a </w:t>
      </w:r>
      <w:r w:rsidR="00DC1625" w:rsidRPr="0004610C">
        <w:rPr>
          <w:sz w:val="22"/>
          <w:szCs w:val="22"/>
        </w:rPr>
        <w:t xml:space="preserve">lack of </w:t>
      </w:r>
      <w:r w:rsidR="00ED211D" w:rsidRPr="0004610C">
        <w:rPr>
          <w:sz w:val="22"/>
          <w:szCs w:val="22"/>
        </w:rPr>
        <w:t>municipalit</w:t>
      </w:r>
      <w:r w:rsidR="0004610C" w:rsidRPr="0004610C">
        <w:rPr>
          <w:sz w:val="22"/>
          <w:szCs w:val="22"/>
        </w:rPr>
        <w:t>y</w:t>
      </w:r>
      <w:r w:rsidR="00ED211D" w:rsidRPr="0004610C">
        <w:rPr>
          <w:sz w:val="22"/>
          <w:szCs w:val="22"/>
        </w:rPr>
        <w:t>/</w:t>
      </w:r>
      <w:r w:rsidR="00AD6854" w:rsidRPr="0004610C">
        <w:rPr>
          <w:sz w:val="22"/>
          <w:szCs w:val="22"/>
        </w:rPr>
        <w:t xml:space="preserve">local </w:t>
      </w:r>
      <w:r w:rsidR="00ED211D" w:rsidRPr="0004610C">
        <w:rPr>
          <w:sz w:val="22"/>
          <w:szCs w:val="22"/>
        </w:rPr>
        <w:t>data</w:t>
      </w:r>
      <w:r w:rsidR="00880972">
        <w:rPr>
          <w:sz w:val="22"/>
          <w:szCs w:val="22"/>
        </w:rPr>
        <w:t>,</w:t>
      </w:r>
      <w:r w:rsidR="00ED211D" w:rsidRPr="0004610C">
        <w:rPr>
          <w:sz w:val="22"/>
          <w:szCs w:val="22"/>
        </w:rPr>
        <w:t xml:space="preserve"> despite overall </w:t>
      </w:r>
      <w:r w:rsidR="0004610C" w:rsidRPr="0004610C">
        <w:rPr>
          <w:sz w:val="22"/>
          <w:szCs w:val="22"/>
        </w:rPr>
        <w:t xml:space="preserve">satisfactory </w:t>
      </w:r>
      <w:r w:rsidR="00ED211D" w:rsidRPr="0004610C">
        <w:rPr>
          <w:sz w:val="22"/>
          <w:szCs w:val="22"/>
        </w:rPr>
        <w:t>data quality</w:t>
      </w:r>
      <w:r w:rsidR="0004610C" w:rsidRPr="0004610C">
        <w:rPr>
          <w:sz w:val="22"/>
          <w:szCs w:val="22"/>
        </w:rPr>
        <w:t>.</w:t>
      </w:r>
    </w:p>
    <w:p w14:paraId="19F38B2D" w14:textId="77777777" w:rsidR="0000664A" w:rsidRDefault="0000664A" w:rsidP="00AD310A">
      <w:pPr>
        <w:spacing w:after="0" w:line="240" w:lineRule="auto"/>
        <w:jc w:val="both"/>
        <w:rPr>
          <w:b/>
          <w:bCs/>
          <w:sz w:val="22"/>
          <w:szCs w:val="22"/>
        </w:rPr>
      </w:pPr>
    </w:p>
    <w:p w14:paraId="55B1CA3C" w14:textId="0FC8806D" w:rsidR="006F697D" w:rsidRPr="009F33D2" w:rsidRDefault="00964CC3" w:rsidP="00AD310A">
      <w:pPr>
        <w:spacing w:after="0" w:line="240" w:lineRule="auto"/>
        <w:jc w:val="both"/>
        <w:rPr>
          <w:b/>
          <w:bCs/>
          <w:sz w:val="22"/>
          <w:szCs w:val="22"/>
        </w:rPr>
      </w:pPr>
      <w:r w:rsidRPr="009F33D2">
        <w:rPr>
          <w:b/>
          <w:bCs/>
          <w:sz w:val="22"/>
          <w:szCs w:val="22"/>
        </w:rPr>
        <w:t xml:space="preserve">If </w:t>
      </w:r>
      <w:proofErr w:type="gramStart"/>
      <w:r w:rsidRPr="009F33D2">
        <w:rPr>
          <w:b/>
          <w:bCs/>
          <w:sz w:val="22"/>
          <w:szCs w:val="22"/>
        </w:rPr>
        <w:t>no</w:t>
      </w:r>
      <w:proofErr w:type="gramEnd"/>
      <w:r w:rsidRPr="009F33D2">
        <w:rPr>
          <w:b/>
          <w:bCs/>
          <w:sz w:val="22"/>
          <w:szCs w:val="22"/>
        </w:rPr>
        <w:t>, what are the main issues?</w:t>
      </w:r>
    </w:p>
    <w:p w14:paraId="17D4E3F9" w14:textId="77777777" w:rsidR="00AD310A" w:rsidRDefault="00AD310A" w:rsidP="00AD310A">
      <w:pPr>
        <w:spacing w:after="0" w:line="240" w:lineRule="auto"/>
        <w:jc w:val="both"/>
        <w:rPr>
          <w:i/>
          <w:iCs/>
          <w:sz w:val="22"/>
          <w:szCs w:val="22"/>
        </w:rPr>
      </w:pPr>
    </w:p>
    <w:p w14:paraId="7267207C" w14:textId="0E3ADD73" w:rsidR="006F697D" w:rsidRDefault="00246C33" w:rsidP="00286240">
      <w:pPr>
        <w:spacing w:after="0" w:line="240" w:lineRule="auto"/>
        <w:jc w:val="both"/>
        <w:rPr>
          <w:sz w:val="22"/>
          <w:szCs w:val="22"/>
        </w:rPr>
      </w:pPr>
      <w:r w:rsidRPr="00B23298">
        <w:rPr>
          <w:sz w:val="22"/>
          <w:szCs w:val="22"/>
        </w:rPr>
        <w:t xml:space="preserve">Responses </w:t>
      </w:r>
      <w:r w:rsidR="00B23298" w:rsidRPr="00B23298">
        <w:rPr>
          <w:sz w:val="22"/>
          <w:szCs w:val="22"/>
        </w:rPr>
        <w:t>noted, in particular</w:t>
      </w:r>
      <w:r w:rsidR="00D004D1">
        <w:rPr>
          <w:sz w:val="22"/>
          <w:szCs w:val="22"/>
        </w:rPr>
        <w:t xml:space="preserve">: </w:t>
      </w:r>
      <w:r w:rsidR="00B23298" w:rsidRPr="00B23298">
        <w:rPr>
          <w:sz w:val="22"/>
          <w:szCs w:val="22"/>
        </w:rPr>
        <w:t xml:space="preserve"> difficulties with </w:t>
      </w:r>
      <w:r w:rsidR="00523951" w:rsidRPr="00B23298">
        <w:rPr>
          <w:sz w:val="22"/>
          <w:szCs w:val="22"/>
        </w:rPr>
        <w:t>R&amp;D</w:t>
      </w:r>
      <w:r w:rsidR="00D004D1">
        <w:rPr>
          <w:sz w:val="22"/>
          <w:szCs w:val="22"/>
        </w:rPr>
        <w:t>;</w:t>
      </w:r>
      <w:r w:rsidR="00503172" w:rsidRPr="00B23298">
        <w:rPr>
          <w:sz w:val="22"/>
          <w:szCs w:val="22"/>
        </w:rPr>
        <w:t xml:space="preserve"> insufficient data sources particularly in non-EU countries</w:t>
      </w:r>
      <w:r w:rsidR="00DE56F7" w:rsidRPr="00B23298">
        <w:rPr>
          <w:sz w:val="22"/>
          <w:szCs w:val="22"/>
        </w:rPr>
        <w:t>; lack of</w:t>
      </w:r>
      <w:r w:rsidR="00D2710A" w:rsidRPr="00B23298">
        <w:rPr>
          <w:sz w:val="22"/>
          <w:szCs w:val="22"/>
        </w:rPr>
        <w:t xml:space="preserve"> or low</w:t>
      </w:r>
      <w:r w:rsidR="00F245EE" w:rsidRPr="00B23298">
        <w:rPr>
          <w:sz w:val="22"/>
          <w:szCs w:val="22"/>
        </w:rPr>
        <w:t>-</w:t>
      </w:r>
      <w:r w:rsidR="00D2710A" w:rsidRPr="00B23298">
        <w:rPr>
          <w:sz w:val="22"/>
          <w:szCs w:val="22"/>
        </w:rPr>
        <w:t>quality</w:t>
      </w:r>
      <w:r w:rsidR="00DE56F7" w:rsidRPr="00B23298">
        <w:rPr>
          <w:sz w:val="22"/>
          <w:szCs w:val="22"/>
        </w:rPr>
        <w:t xml:space="preserve"> state/local government data</w:t>
      </w:r>
      <w:r w:rsidR="00B9553E" w:rsidRPr="00B23298">
        <w:rPr>
          <w:sz w:val="22"/>
          <w:szCs w:val="22"/>
        </w:rPr>
        <w:t>; lack of compatibility with other classifications</w:t>
      </w:r>
      <w:r w:rsidR="00480BA4" w:rsidRPr="00B23298">
        <w:rPr>
          <w:sz w:val="22"/>
          <w:szCs w:val="22"/>
        </w:rPr>
        <w:t xml:space="preserve"> or </w:t>
      </w:r>
      <w:r w:rsidR="00A2019A" w:rsidRPr="00B23298">
        <w:rPr>
          <w:sz w:val="22"/>
          <w:szCs w:val="22"/>
        </w:rPr>
        <w:t xml:space="preserve">inconsistent coding </w:t>
      </w:r>
      <w:r w:rsidR="00480BA4" w:rsidRPr="00B23298">
        <w:rPr>
          <w:sz w:val="22"/>
          <w:szCs w:val="22"/>
        </w:rPr>
        <w:t>within</w:t>
      </w:r>
      <w:r w:rsidR="00A2019A" w:rsidRPr="00B23298">
        <w:rPr>
          <w:sz w:val="22"/>
          <w:szCs w:val="22"/>
        </w:rPr>
        <w:t xml:space="preserve"> a country</w:t>
      </w:r>
      <w:r w:rsidR="00B23298" w:rsidRPr="00B23298">
        <w:rPr>
          <w:sz w:val="22"/>
          <w:szCs w:val="22"/>
        </w:rPr>
        <w:t xml:space="preserve">. There was also a </w:t>
      </w:r>
      <w:r w:rsidR="00F245EE" w:rsidRPr="00B23298">
        <w:rPr>
          <w:sz w:val="22"/>
          <w:szCs w:val="22"/>
        </w:rPr>
        <w:t>suggestion to include COFOG codes in the chart of accounts</w:t>
      </w:r>
      <w:r w:rsidR="00B23298" w:rsidRPr="00B23298">
        <w:rPr>
          <w:sz w:val="22"/>
          <w:szCs w:val="22"/>
        </w:rPr>
        <w:t xml:space="preserve">. </w:t>
      </w:r>
    </w:p>
    <w:p w14:paraId="7A8DB245" w14:textId="77777777" w:rsidR="006F697D" w:rsidRDefault="006F697D" w:rsidP="00485B5A">
      <w:pPr>
        <w:spacing w:after="0" w:line="240" w:lineRule="auto"/>
        <w:jc w:val="both"/>
        <w:rPr>
          <w:sz w:val="22"/>
          <w:szCs w:val="22"/>
        </w:rPr>
      </w:pPr>
    </w:p>
    <w:p w14:paraId="3F18CD70" w14:textId="1D1B155D" w:rsidR="00DB595A" w:rsidRPr="00BB0346" w:rsidRDefault="00DB595A" w:rsidP="00D25872">
      <w:pPr>
        <w:pStyle w:val="Heading3"/>
        <w:numPr>
          <w:ilvl w:val="0"/>
          <w:numId w:val="32"/>
        </w:numPr>
      </w:pPr>
      <w:bookmarkStart w:id="13" w:name="_Toc195776390"/>
      <w:r w:rsidRPr="00BB0346">
        <w:t>Programme Budgeting</w:t>
      </w:r>
      <w:bookmarkEnd w:id="13"/>
    </w:p>
    <w:p w14:paraId="26AC0843" w14:textId="77777777" w:rsidR="00DB595A" w:rsidRDefault="00DB595A" w:rsidP="00485B5A">
      <w:pPr>
        <w:spacing w:after="0" w:line="240" w:lineRule="auto"/>
        <w:jc w:val="both"/>
        <w:rPr>
          <w:b/>
          <w:bCs/>
          <w:sz w:val="22"/>
          <w:szCs w:val="22"/>
        </w:rPr>
      </w:pPr>
    </w:p>
    <w:p w14:paraId="5169E09B" w14:textId="5FC22E46" w:rsidR="006C14E0" w:rsidRDefault="006F697D" w:rsidP="005507BB">
      <w:pPr>
        <w:spacing w:after="0" w:line="240" w:lineRule="auto"/>
        <w:jc w:val="both"/>
        <w:rPr>
          <w:sz w:val="22"/>
          <w:szCs w:val="22"/>
        </w:rPr>
      </w:pPr>
      <w:r w:rsidRPr="006F697D">
        <w:rPr>
          <w:b/>
          <w:bCs/>
          <w:sz w:val="22"/>
          <w:szCs w:val="22"/>
        </w:rPr>
        <w:t xml:space="preserve">24. Does your institution implement some form of programme budgeting? </w:t>
      </w:r>
      <w:r>
        <w:rPr>
          <w:b/>
          <w:bCs/>
          <w:sz w:val="22"/>
          <w:szCs w:val="22"/>
        </w:rPr>
        <w:br/>
      </w:r>
      <w:r w:rsidRPr="006F1181">
        <w:rPr>
          <w:i/>
          <w:iCs/>
          <w:sz w:val="22"/>
          <w:szCs w:val="22"/>
        </w:rPr>
        <w:t>(</w:t>
      </w:r>
      <w:r w:rsidR="00B953A6">
        <w:rPr>
          <w:i/>
          <w:iCs/>
          <w:sz w:val="22"/>
          <w:szCs w:val="22"/>
        </w:rPr>
        <w:t>“</w:t>
      </w:r>
      <w:r w:rsidRPr="006F1181">
        <w:rPr>
          <w:i/>
          <w:iCs/>
          <w:sz w:val="22"/>
          <w:szCs w:val="22"/>
        </w:rPr>
        <w:t>Programme budgeting</w:t>
      </w:r>
      <w:r w:rsidR="00B953A6">
        <w:rPr>
          <w:i/>
          <w:iCs/>
          <w:sz w:val="22"/>
          <w:szCs w:val="22"/>
        </w:rPr>
        <w:t>”</w:t>
      </w:r>
      <w:r w:rsidRPr="006F1181">
        <w:rPr>
          <w:i/>
          <w:iCs/>
          <w:sz w:val="22"/>
          <w:szCs w:val="22"/>
        </w:rPr>
        <w:t xml:space="preserve"> is a type of performance budgeting that allocates funds based on “programmes” trying to identify clear outputs and outcomes with clear objectives, this helps budget offices to improve expenditure prioritization. This approach requires a national “functional” programming classification structure)</w:t>
      </w:r>
    </w:p>
    <w:p w14:paraId="1E64A38C" w14:textId="13E4404F" w:rsidR="006C14E0" w:rsidRDefault="006C14E0" w:rsidP="005507BB">
      <w:pPr>
        <w:spacing w:after="0" w:line="240" w:lineRule="auto"/>
        <w:jc w:val="both"/>
        <w:rPr>
          <w:sz w:val="22"/>
          <w:szCs w:val="22"/>
        </w:rPr>
      </w:pPr>
      <w:r>
        <w:rPr>
          <w:noProof/>
          <w:sz w:val="22"/>
          <w:szCs w:val="22"/>
        </w:rPr>
        <w:drawing>
          <wp:inline distT="0" distB="0" distL="0" distR="0" wp14:anchorId="3C84E5EA" wp14:editId="29358BCB">
            <wp:extent cx="5437909" cy="1400175"/>
            <wp:effectExtent l="0" t="0" r="0" b="0"/>
            <wp:docPr id="13394844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766242A" w14:textId="0CD62722" w:rsidR="00E8222F" w:rsidRPr="004C5149" w:rsidRDefault="00AF6148" w:rsidP="004C5149">
      <w:pPr>
        <w:spacing w:after="0" w:line="240" w:lineRule="auto"/>
        <w:jc w:val="both"/>
        <w:rPr>
          <w:sz w:val="22"/>
          <w:szCs w:val="22"/>
        </w:rPr>
      </w:pPr>
      <w:r>
        <w:rPr>
          <w:sz w:val="22"/>
          <w:szCs w:val="22"/>
        </w:rPr>
        <w:t xml:space="preserve">Only 29% of respondents </w:t>
      </w:r>
      <w:r w:rsidR="006C14E0">
        <w:rPr>
          <w:sz w:val="22"/>
          <w:szCs w:val="22"/>
        </w:rPr>
        <w:t xml:space="preserve">(n=25) </w:t>
      </w:r>
      <w:r>
        <w:rPr>
          <w:sz w:val="22"/>
          <w:szCs w:val="22"/>
        </w:rPr>
        <w:t xml:space="preserve">noted that their institution implements </w:t>
      </w:r>
      <w:r w:rsidR="00882239">
        <w:rPr>
          <w:sz w:val="22"/>
          <w:szCs w:val="22"/>
        </w:rPr>
        <w:t>some form of programme budgeting</w:t>
      </w:r>
      <w:r>
        <w:rPr>
          <w:sz w:val="22"/>
          <w:szCs w:val="22"/>
        </w:rPr>
        <w:t xml:space="preserve">.  </w:t>
      </w:r>
      <w:r w:rsidR="00882239">
        <w:rPr>
          <w:sz w:val="22"/>
          <w:szCs w:val="22"/>
        </w:rPr>
        <w:t>3</w:t>
      </w:r>
      <w:r w:rsidR="00986854">
        <w:rPr>
          <w:sz w:val="22"/>
          <w:szCs w:val="22"/>
        </w:rPr>
        <w:t>8</w:t>
      </w:r>
      <w:r w:rsidR="00882239">
        <w:rPr>
          <w:sz w:val="22"/>
          <w:szCs w:val="22"/>
        </w:rPr>
        <w:t xml:space="preserve">% </w:t>
      </w:r>
      <w:r w:rsidR="006C14E0">
        <w:rPr>
          <w:sz w:val="22"/>
          <w:szCs w:val="22"/>
        </w:rPr>
        <w:t>(n=</w:t>
      </w:r>
      <w:r w:rsidR="00904A9A">
        <w:rPr>
          <w:sz w:val="22"/>
          <w:szCs w:val="22"/>
        </w:rPr>
        <w:t xml:space="preserve">33) </w:t>
      </w:r>
      <w:r>
        <w:rPr>
          <w:sz w:val="22"/>
          <w:szCs w:val="22"/>
        </w:rPr>
        <w:t xml:space="preserve">said they do </w:t>
      </w:r>
      <w:r w:rsidR="00882239">
        <w:rPr>
          <w:sz w:val="22"/>
          <w:szCs w:val="22"/>
        </w:rPr>
        <w:t>no</w:t>
      </w:r>
      <w:r>
        <w:rPr>
          <w:sz w:val="22"/>
          <w:szCs w:val="22"/>
        </w:rPr>
        <w:t>t</w:t>
      </w:r>
      <w:r w:rsidR="00882239">
        <w:rPr>
          <w:sz w:val="22"/>
          <w:szCs w:val="22"/>
        </w:rPr>
        <w:t xml:space="preserve">, and </w:t>
      </w:r>
      <w:r>
        <w:rPr>
          <w:sz w:val="22"/>
          <w:szCs w:val="22"/>
        </w:rPr>
        <w:t xml:space="preserve">the remaining </w:t>
      </w:r>
      <w:r w:rsidR="00882239">
        <w:rPr>
          <w:sz w:val="22"/>
          <w:szCs w:val="22"/>
        </w:rPr>
        <w:t>3</w:t>
      </w:r>
      <w:r w:rsidR="00986854">
        <w:rPr>
          <w:sz w:val="22"/>
          <w:szCs w:val="22"/>
        </w:rPr>
        <w:t>3</w:t>
      </w:r>
      <w:r w:rsidR="00882239">
        <w:rPr>
          <w:sz w:val="22"/>
          <w:szCs w:val="22"/>
        </w:rPr>
        <w:t xml:space="preserve">% </w:t>
      </w:r>
      <w:r w:rsidR="00904A9A">
        <w:rPr>
          <w:sz w:val="22"/>
          <w:szCs w:val="22"/>
        </w:rPr>
        <w:t xml:space="preserve">(n=29) </w:t>
      </w:r>
      <w:r w:rsidR="00787B5E">
        <w:rPr>
          <w:sz w:val="22"/>
          <w:szCs w:val="22"/>
        </w:rPr>
        <w:t xml:space="preserve">responded </w:t>
      </w:r>
      <w:r w:rsidR="00882239">
        <w:rPr>
          <w:sz w:val="22"/>
          <w:szCs w:val="22"/>
        </w:rPr>
        <w:t xml:space="preserve">not sure or not applicable.  </w:t>
      </w:r>
    </w:p>
    <w:p w14:paraId="76B11C9E" w14:textId="65479D30" w:rsidR="00996C93" w:rsidRDefault="00CA7112" w:rsidP="00254BD7">
      <w:pPr>
        <w:pStyle w:val="Heading2"/>
      </w:pPr>
      <w:bookmarkStart w:id="14" w:name="_Toc195776391"/>
      <w:r w:rsidRPr="00254BD7">
        <w:lastRenderedPageBreak/>
        <w:t>Proposed Issue Categories</w:t>
      </w:r>
      <w:bookmarkEnd w:id="14"/>
    </w:p>
    <w:p w14:paraId="3F4E3C09" w14:textId="37507FD9" w:rsidR="00293F80" w:rsidRPr="00CB1C3A" w:rsidRDefault="005E7A32" w:rsidP="00CB1C3A">
      <w:pPr>
        <w:rPr>
          <w:sz w:val="22"/>
          <w:szCs w:val="22"/>
        </w:rPr>
      </w:pPr>
      <w:r w:rsidRPr="005E7A32">
        <w:rPr>
          <w:sz w:val="22"/>
          <w:szCs w:val="22"/>
        </w:rPr>
        <w:t xml:space="preserve">The following questions and response summaries </w:t>
      </w:r>
      <w:r>
        <w:rPr>
          <w:sz w:val="22"/>
          <w:szCs w:val="22"/>
        </w:rPr>
        <w:t>cover the 21 proposed issue categories.</w:t>
      </w:r>
    </w:p>
    <w:p w14:paraId="432EC1BE" w14:textId="0409435D" w:rsidR="00293F80" w:rsidRPr="00795588" w:rsidRDefault="00742409" w:rsidP="00795588">
      <w:pPr>
        <w:spacing w:after="0" w:line="240" w:lineRule="auto"/>
        <w:jc w:val="both"/>
        <w:rPr>
          <w:b/>
          <w:bCs/>
          <w:sz w:val="22"/>
          <w:szCs w:val="22"/>
        </w:rPr>
      </w:pPr>
      <w:r>
        <w:rPr>
          <w:b/>
          <w:bCs/>
          <w:sz w:val="22"/>
          <w:szCs w:val="22"/>
        </w:rPr>
        <w:t xml:space="preserve">Q25 </w:t>
      </w:r>
      <w:r w:rsidR="00795588" w:rsidRPr="00795588">
        <w:rPr>
          <w:b/>
          <w:bCs/>
          <w:sz w:val="22"/>
          <w:szCs w:val="22"/>
        </w:rPr>
        <w:t>i.</w:t>
      </w:r>
      <w:r w:rsidR="00795588">
        <w:rPr>
          <w:b/>
          <w:bCs/>
          <w:sz w:val="22"/>
          <w:szCs w:val="22"/>
        </w:rPr>
        <w:t xml:space="preserve"> </w:t>
      </w:r>
      <w:r w:rsidR="00A852D2" w:rsidRPr="00795588">
        <w:rPr>
          <w:b/>
          <w:bCs/>
          <w:sz w:val="22"/>
          <w:szCs w:val="22"/>
        </w:rPr>
        <w:t>Please indicate whether the issue category and its related proposals should be considered during the revision of COFOG</w:t>
      </w:r>
      <w:r w:rsidR="00D415D9" w:rsidRPr="00795588">
        <w:rPr>
          <w:b/>
          <w:bCs/>
          <w:sz w:val="22"/>
          <w:szCs w:val="22"/>
        </w:rPr>
        <w:t xml:space="preserve"> (</w:t>
      </w:r>
      <w:r w:rsidR="006F48DA" w:rsidRPr="00795588">
        <w:rPr>
          <w:b/>
          <w:bCs/>
          <w:sz w:val="22"/>
          <w:szCs w:val="22"/>
        </w:rPr>
        <w:t>respondents to question</w:t>
      </w:r>
      <w:r w:rsidR="00D415D9" w:rsidRPr="00795588">
        <w:rPr>
          <w:b/>
          <w:bCs/>
          <w:sz w:val="22"/>
          <w:szCs w:val="22"/>
        </w:rPr>
        <w:t>=</w:t>
      </w:r>
      <w:r w:rsidR="006F48DA" w:rsidRPr="00795588">
        <w:rPr>
          <w:b/>
          <w:bCs/>
          <w:sz w:val="22"/>
          <w:szCs w:val="22"/>
        </w:rPr>
        <w:t>91</w:t>
      </w:r>
      <w:r w:rsidR="00D415D9" w:rsidRPr="00795588">
        <w:rPr>
          <w:b/>
          <w:bCs/>
          <w:sz w:val="22"/>
          <w:szCs w:val="22"/>
        </w:rPr>
        <w:t>)</w:t>
      </w:r>
    </w:p>
    <w:p w14:paraId="48CE0087" w14:textId="77777777" w:rsidR="00A852D2" w:rsidRDefault="00A852D2" w:rsidP="00485B5A">
      <w:pPr>
        <w:spacing w:after="0" w:line="240" w:lineRule="auto"/>
        <w:jc w:val="both"/>
        <w:rPr>
          <w:b/>
          <w:bCs/>
          <w:sz w:val="22"/>
          <w:szCs w:val="22"/>
        </w:rPr>
      </w:pPr>
    </w:p>
    <w:tbl>
      <w:tblPr>
        <w:tblStyle w:val="TableGrid"/>
        <w:tblW w:w="0" w:type="auto"/>
        <w:tblLook w:val="04A0" w:firstRow="1" w:lastRow="0" w:firstColumn="1" w:lastColumn="0" w:noHBand="0" w:noVBand="1"/>
      </w:tblPr>
      <w:tblGrid>
        <w:gridCol w:w="633"/>
        <w:gridCol w:w="4042"/>
      </w:tblGrid>
      <w:tr w:rsidR="0004185C" w:rsidRPr="00444F2C" w14:paraId="0100135D" w14:textId="77777777" w:rsidTr="00C7799A">
        <w:tc>
          <w:tcPr>
            <w:tcW w:w="4675" w:type="dxa"/>
            <w:gridSpan w:val="2"/>
            <w:shd w:val="clear" w:color="auto" w:fill="D9D9D9" w:themeFill="background1" w:themeFillShade="D9"/>
          </w:tcPr>
          <w:p w14:paraId="593929A9" w14:textId="72740D1D" w:rsidR="0004185C" w:rsidRPr="00444F2C" w:rsidRDefault="0004185C" w:rsidP="00A9220E">
            <w:pPr>
              <w:jc w:val="both"/>
              <w:rPr>
                <w:sz w:val="22"/>
                <w:szCs w:val="22"/>
              </w:rPr>
            </w:pPr>
            <w:r>
              <w:rPr>
                <w:sz w:val="22"/>
                <w:szCs w:val="22"/>
              </w:rPr>
              <w:t xml:space="preserve">% Responding </w:t>
            </w:r>
            <w:r w:rsidR="00C7799A">
              <w:rPr>
                <w:sz w:val="22"/>
                <w:szCs w:val="22"/>
              </w:rPr>
              <w:t>‘Yes’</w:t>
            </w:r>
          </w:p>
        </w:tc>
      </w:tr>
      <w:tr w:rsidR="00444F2C" w:rsidRPr="00444F2C" w14:paraId="08276E80" w14:textId="77777777" w:rsidTr="000861A4">
        <w:tc>
          <w:tcPr>
            <w:tcW w:w="633" w:type="dxa"/>
          </w:tcPr>
          <w:p w14:paraId="7AE0E15F" w14:textId="73FC84FF" w:rsidR="00444F2C" w:rsidRPr="00444F2C" w:rsidRDefault="000C1A1B" w:rsidP="00A9220E">
            <w:pPr>
              <w:jc w:val="both"/>
              <w:rPr>
                <w:sz w:val="22"/>
                <w:szCs w:val="22"/>
              </w:rPr>
            </w:pPr>
            <w:r>
              <w:rPr>
                <w:sz w:val="22"/>
                <w:szCs w:val="22"/>
              </w:rPr>
              <w:t>69%</w:t>
            </w:r>
          </w:p>
        </w:tc>
        <w:tc>
          <w:tcPr>
            <w:tcW w:w="4042" w:type="dxa"/>
          </w:tcPr>
          <w:p w14:paraId="6A2AD482" w14:textId="63EDB409" w:rsidR="00444F2C" w:rsidRPr="00444F2C" w:rsidRDefault="00444F2C" w:rsidP="00A9220E">
            <w:pPr>
              <w:jc w:val="both"/>
              <w:rPr>
                <w:sz w:val="22"/>
                <w:szCs w:val="22"/>
              </w:rPr>
            </w:pPr>
            <w:r w:rsidRPr="00444F2C">
              <w:rPr>
                <w:sz w:val="22"/>
                <w:szCs w:val="22"/>
              </w:rPr>
              <w:t>A01.</w:t>
            </w:r>
            <w:r w:rsidR="000861A4">
              <w:rPr>
                <w:sz w:val="22"/>
                <w:szCs w:val="22"/>
              </w:rPr>
              <w:t xml:space="preserve"> </w:t>
            </w:r>
            <w:r w:rsidRPr="00444F2C">
              <w:rPr>
                <w:sz w:val="22"/>
                <w:szCs w:val="22"/>
              </w:rPr>
              <w:t>General public services</w:t>
            </w:r>
          </w:p>
        </w:tc>
      </w:tr>
      <w:tr w:rsidR="00444F2C" w:rsidRPr="00444F2C" w14:paraId="44D454F4" w14:textId="77777777" w:rsidTr="000861A4">
        <w:tc>
          <w:tcPr>
            <w:tcW w:w="0" w:type="auto"/>
          </w:tcPr>
          <w:p w14:paraId="07ECEF47" w14:textId="2E1594CB" w:rsidR="00444F2C" w:rsidRPr="00444F2C" w:rsidRDefault="000C1A1B" w:rsidP="00A9220E">
            <w:pPr>
              <w:jc w:val="both"/>
              <w:rPr>
                <w:sz w:val="22"/>
                <w:szCs w:val="22"/>
              </w:rPr>
            </w:pPr>
            <w:r>
              <w:rPr>
                <w:sz w:val="22"/>
                <w:szCs w:val="22"/>
              </w:rPr>
              <w:t>5</w:t>
            </w:r>
            <w:r w:rsidR="00DC363C">
              <w:rPr>
                <w:sz w:val="22"/>
                <w:szCs w:val="22"/>
              </w:rPr>
              <w:t>3</w:t>
            </w:r>
            <w:r>
              <w:rPr>
                <w:sz w:val="22"/>
                <w:szCs w:val="22"/>
              </w:rPr>
              <w:t>%</w:t>
            </w:r>
          </w:p>
        </w:tc>
        <w:tc>
          <w:tcPr>
            <w:tcW w:w="4042" w:type="dxa"/>
          </w:tcPr>
          <w:p w14:paraId="6BC6CDDC" w14:textId="4E2EB25B" w:rsidR="00444F2C" w:rsidRPr="00444F2C" w:rsidRDefault="00444F2C" w:rsidP="00A9220E">
            <w:pPr>
              <w:jc w:val="both"/>
              <w:rPr>
                <w:sz w:val="22"/>
                <w:szCs w:val="22"/>
              </w:rPr>
            </w:pPr>
            <w:r w:rsidRPr="00444F2C">
              <w:rPr>
                <w:sz w:val="22"/>
                <w:szCs w:val="22"/>
              </w:rPr>
              <w:t>A02.</w:t>
            </w:r>
            <w:r w:rsidR="000861A4">
              <w:rPr>
                <w:sz w:val="22"/>
                <w:szCs w:val="22"/>
              </w:rPr>
              <w:t xml:space="preserve"> </w:t>
            </w:r>
            <w:r w:rsidRPr="00444F2C">
              <w:rPr>
                <w:sz w:val="22"/>
                <w:szCs w:val="22"/>
              </w:rPr>
              <w:t>Defence</w:t>
            </w:r>
          </w:p>
        </w:tc>
      </w:tr>
      <w:tr w:rsidR="00444F2C" w:rsidRPr="00444F2C" w14:paraId="479D57FB" w14:textId="77777777" w:rsidTr="000861A4">
        <w:tc>
          <w:tcPr>
            <w:tcW w:w="0" w:type="auto"/>
          </w:tcPr>
          <w:p w14:paraId="11E250E3" w14:textId="6C3814BA" w:rsidR="00444F2C" w:rsidRPr="00444F2C" w:rsidRDefault="000C1A1B" w:rsidP="00A9220E">
            <w:pPr>
              <w:jc w:val="both"/>
              <w:rPr>
                <w:sz w:val="22"/>
                <w:szCs w:val="22"/>
              </w:rPr>
            </w:pPr>
            <w:r>
              <w:rPr>
                <w:sz w:val="22"/>
                <w:szCs w:val="22"/>
              </w:rPr>
              <w:t>5</w:t>
            </w:r>
            <w:r w:rsidR="00DC363C">
              <w:rPr>
                <w:sz w:val="22"/>
                <w:szCs w:val="22"/>
              </w:rPr>
              <w:t>6</w:t>
            </w:r>
            <w:r>
              <w:rPr>
                <w:sz w:val="22"/>
                <w:szCs w:val="22"/>
              </w:rPr>
              <w:t>%</w:t>
            </w:r>
          </w:p>
        </w:tc>
        <w:tc>
          <w:tcPr>
            <w:tcW w:w="4042" w:type="dxa"/>
          </w:tcPr>
          <w:p w14:paraId="20CBDB00" w14:textId="0C7DD4E7" w:rsidR="00444F2C" w:rsidRPr="00444F2C" w:rsidRDefault="00444F2C" w:rsidP="00A9220E">
            <w:pPr>
              <w:jc w:val="both"/>
              <w:rPr>
                <w:sz w:val="22"/>
                <w:szCs w:val="22"/>
              </w:rPr>
            </w:pPr>
            <w:r w:rsidRPr="00444F2C">
              <w:rPr>
                <w:sz w:val="22"/>
                <w:szCs w:val="22"/>
              </w:rPr>
              <w:t>A03.</w:t>
            </w:r>
            <w:r w:rsidR="000861A4">
              <w:rPr>
                <w:sz w:val="22"/>
                <w:szCs w:val="22"/>
              </w:rPr>
              <w:t xml:space="preserve"> </w:t>
            </w:r>
            <w:r w:rsidRPr="00444F2C">
              <w:rPr>
                <w:sz w:val="22"/>
                <w:szCs w:val="22"/>
              </w:rPr>
              <w:t>Public order and safety</w:t>
            </w:r>
          </w:p>
        </w:tc>
      </w:tr>
      <w:tr w:rsidR="00444F2C" w:rsidRPr="00444F2C" w14:paraId="46588748" w14:textId="77777777" w:rsidTr="000861A4">
        <w:tc>
          <w:tcPr>
            <w:tcW w:w="0" w:type="auto"/>
          </w:tcPr>
          <w:p w14:paraId="50F3094C" w14:textId="0BF284BB" w:rsidR="00444F2C" w:rsidRPr="00444F2C" w:rsidRDefault="000C1A1B" w:rsidP="00A9220E">
            <w:pPr>
              <w:jc w:val="both"/>
              <w:rPr>
                <w:sz w:val="22"/>
                <w:szCs w:val="22"/>
              </w:rPr>
            </w:pPr>
            <w:r>
              <w:rPr>
                <w:sz w:val="22"/>
                <w:szCs w:val="22"/>
              </w:rPr>
              <w:t>71%</w:t>
            </w:r>
          </w:p>
        </w:tc>
        <w:tc>
          <w:tcPr>
            <w:tcW w:w="4042" w:type="dxa"/>
          </w:tcPr>
          <w:p w14:paraId="7A450EDF" w14:textId="61F251BE" w:rsidR="00444F2C" w:rsidRPr="00444F2C" w:rsidRDefault="00444F2C" w:rsidP="00A9220E">
            <w:pPr>
              <w:jc w:val="both"/>
              <w:rPr>
                <w:sz w:val="22"/>
                <w:szCs w:val="22"/>
              </w:rPr>
            </w:pPr>
            <w:r w:rsidRPr="00444F2C">
              <w:rPr>
                <w:sz w:val="22"/>
                <w:szCs w:val="22"/>
              </w:rPr>
              <w:t>A04.</w:t>
            </w:r>
            <w:r w:rsidR="000861A4">
              <w:rPr>
                <w:sz w:val="22"/>
                <w:szCs w:val="22"/>
              </w:rPr>
              <w:t xml:space="preserve"> </w:t>
            </w:r>
            <w:r w:rsidRPr="00444F2C">
              <w:rPr>
                <w:sz w:val="22"/>
                <w:szCs w:val="22"/>
              </w:rPr>
              <w:t>Economic affairs</w:t>
            </w:r>
          </w:p>
        </w:tc>
      </w:tr>
      <w:tr w:rsidR="00444F2C" w:rsidRPr="00444F2C" w14:paraId="48081D33" w14:textId="77777777" w:rsidTr="000861A4">
        <w:tc>
          <w:tcPr>
            <w:tcW w:w="0" w:type="auto"/>
          </w:tcPr>
          <w:p w14:paraId="5262DF12" w14:textId="28EF2468" w:rsidR="00444F2C" w:rsidRPr="00444F2C" w:rsidRDefault="000C1A1B" w:rsidP="00A9220E">
            <w:pPr>
              <w:jc w:val="both"/>
              <w:rPr>
                <w:sz w:val="22"/>
                <w:szCs w:val="22"/>
              </w:rPr>
            </w:pPr>
            <w:r>
              <w:rPr>
                <w:sz w:val="22"/>
                <w:szCs w:val="22"/>
              </w:rPr>
              <w:t>80%</w:t>
            </w:r>
          </w:p>
        </w:tc>
        <w:tc>
          <w:tcPr>
            <w:tcW w:w="4042" w:type="dxa"/>
          </w:tcPr>
          <w:p w14:paraId="4D4AC22D" w14:textId="574E9440" w:rsidR="00444F2C" w:rsidRPr="00444F2C" w:rsidRDefault="00444F2C" w:rsidP="00A9220E">
            <w:pPr>
              <w:jc w:val="both"/>
              <w:rPr>
                <w:sz w:val="22"/>
                <w:szCs w:val="22"/>
              </w:rPr>
            </w:pPr>
            <w:r w:rsidRPr="00444F2C">
              <w:rPr>
                <w:sz w:val="22"/>
                <w:szCs w:val="22"/>
              </w:rPr>
              <w:t>A05.</w:t>
            </w:r>
            <w:r w:rsidR="000861A4">
              <w:rPr>
                <w:sz w:val="22"/>
                <w:szCs w:val="22"/>
              </w:rPr>
              <w:t xml:space="preserve"> </w:t>
            </w:r>
            <w:r w:rsidRPr="00444F2C">
              <w:rPr>
                <w:sz w:val="22"/>
                <w:szCs w:val="22"/>
              </w:rPr>
              <w:t xml:space="preserve">Environmental protection  </w:t>
            </w:r>
          </w:p>
        </w:tc>
      </w:tr>
      <w:tr w:rsidR="00444F2C" w:rsidRPr="00444F2C" w14:paraId="2DD7127E" w14:textId="77777777" w:rsidTr="000861A4">
        <w:tc>
          <w:tcPr>
            <w:tcW w:w="0" w:type="auto"/>
          </w:tcPr>
          <w:p w14:paraId="2D76FA55" w14:textId="523473EB" w:rsidR="00444F2C" w:rsidRPr="00444F2C" w:rsidRDefault="000C1A1B" w:rsidP="00A9220E">
            <w:pPr>
              <w:jc w:val="both"/>
              <w:rPr>
                <w:sz w:val="22"/>
                <w:szCs w:val="22"/>
              </w:rPr>
            </w:pPr>
            <w:r>
              <w:rPr>
                <w:sz w:val="22"/>
                <w:szCs w:val="22"/>
              </w:rPr>
              <w:t>6</w:t>
            </w:r>
            <w:r w:rsidR="00DC363C">
              <w:rPr>
                <w:sz w:val="22"/>
                <w:szCs w:val="22"/>
              </w:rPr>
              <w:t>3</w:t>
            </w:r>
            <w:r>
              <w:rPr>
                <w:sz w:val="22"/>
                <w:szCs w:val="22"/>
              </w:rPr>
              <w:t>%</w:t>
            </w:r>
          </w:p>
        </w:tc>
        <w:tc>
          <w:tcPr>
            <w:tcW w:w="4042" w:type="dxa"/>
          </w:tcPr>
          <w:p w14:paraId="7A551A18" w14:textId="434F80E4" w:rsidR="00444F2C" w:rsidRPr="00444F2C" w:rsidRDefault="00444F2C" w:rsidP="00A9220E">
            <w:pPr>
              <w:jc w:val="both"/>
              <w:rPr>
                <w:sz w:val="22"/>
                <w:szCs w:val="22"/>
              </w:rPr>
            </w:pPr>
            <w:r w:rsidRPr="00444F2C">
              <w:rPr>
                <w:sz w:val="22"/>
                <w:szCs w:val="22"/>
              </w:rPr>
              <w:t>A06.</w:t>
            </w:r>
            <w:r w:rsidR="000861A4">
              <w:rPr>
                <w:sz w:val="22"/>
                <w:szCs w:val="22"/>
              </w:rPr>
              <w:t xml:space="preserve"> </w:t>
            </w:r>
            <w:r w:rsidRPr="00444F2C">
              <w:rPr>
                <w:sz w:val="22"/>
                <w:szCs w:val="22"/>
              </w:rPr>
              <w:t>Housing and community amenities</w:t>
            </w:r>
          </w:p>
        </w:tc>
      </w:tr>
      <w:tr w:rsidR="00444F2C" w:rsidRPr="00444F2C" w14:paraId="5A982320" w14:textId="77777777" w:rsidTr="000861A4">
        <w:tc>
          <w:tcPr>
            <w:tcW w:w="0" w:type="auto"/>
          </w:tcPr>
          <w:p w14:paraId="7338AFAC" w14:textId="3087F162" w:rsidR="00444F2C" w:rsidRPr="00444F2C" w:rsidRDefault="00911E2B" w:rsidP="00A9220E">
            <w:pPr>
              <w:jc w:val="both"/>
              <w:rPr>
                <w:sz w:val="22"/>
                <w:szCs w:val="22"/>
              </w:rPr>
            </w:pPr>
            <w:r>
              <w:rPr>
                <w:sz w:val="22"/>
                <w:szCs w:val="22"/>
              </w:rPr>
              <w:t>6</w:t>
            </w:r>
            <w:r w:rsidR="00DC363C">
              <w:rPr>
                <w:sz w:val="22"/>
                <w:szCs w:val="22"/>
              </w:rPr>
              <w:t>7</w:t>
            </w:r>
            <w:r>
              <w:rPr>
                <w:sz w:val="22"/>
                <w:szCs w:val="22"/>
              </w:rPr>
              <w:t>%</w:t>
            </w:r>
          </w:p>
        </w:tc>
        <w:tc>
          <w:tcPr>
            <w:tcW w:w="4042" w:type="dxa"/>
          </w:tcPr>
          <w:p w14:paraId="2EED2458" w14:textId="7E2F0347" w:rsidR="00444F2C" w:rsidRPr="00444F2C" w:rsidRDefault="00444F2C" w:rsidP="00A9220E">
            <w:pPr>
              <w:jc w:val="both"/>
              <w:rPr>
                <w:sz w:val="22"/>
                <w:szCs w:val="22"/>
              </w:rPr>
            </w:pPr>
            <w:r w:rsidRPr="00444F2C">
              <w:rPr>
                <w:sz w:val="22"/>
                <w:szCs w:val="22"/>
              </w:rPr>
              <w:t>A07.</w:t>
            </w:r>
            <w:r w:rsidR="000861A4">
              <w:rPr>
                <w:sz w:val="22"/>
                <w:szCs w:val="22"/>
              </w:rPr>
              <w:t xml:space="preserve"> </w:t>
            </w:r>
            <w:r w:rsidRPr="00444F2C">
              <w:rPr>
                <w:sz w:val="22"/>
                <w:szCs w:val="22"/>
              </w:rPr>
              <w:t xml:space="preserve">Health </w:t>
            </w:r>
          </w:p>
        </w:tc>
      </w:tr>
      <w:tr w:rsidR="00444F2C" w:rsidRPr="00444F2C" w14:paraId="233E25A4" w14:textId="77777777" w:rsidTr="000861A4">
        <w:tc>
          <w:tcPr>
            <w:tcW w:w="0" w:type="auto"/>
          </w:tcPr>
          <w:p w14:paraId="1C7B9B50" w14:textId="4FD32D98" w:rsidR="00444F2C" w:rsidRPr="00444F2C" w:rsidRDefault="00911E2B" w:rsidP="00A9220E">
            <w:pPr>
              <w:jc w:val="both"/>
              <w:rPr>
                <w:sz w:val="22"/>
                <w:szCs w:val="22"/>
              </w:rPr>
            </w:pPr>
            <w:r>
              <w:rPr>
                <w:sz w:val="22"/>
                <w:szCs w:val="22"/>
              </w:rPr>
              <w:t>6</w:t>
            </w:r>
            <w:r w:rsidR="00DC363C">
              <w:rPr>
                <w:sz w:val="22"/>
                <w:szCs w:val="22"/>
              </w:rPr>
              <w:t>4</w:t>
            </w:r>
            <w:r>
              <w:rPr>
                <w:sz w:val="22"/>
                <w:szCs w:val="22"/>
              </w:rPr>
              <w:t>%</w:t>
            </w:r>
          </w:p>
        </w:tc>
        <w:tc>
          <w:tcPr>
            <w:tcW w:w="4042" w:type="dxa"/>
          </w:tcPr>
          <w:p w14:paraId="198876B1" w14:textId="771EFCC8" w:rsidR="00444F2C" w:rsidRPr="00444F2C" w:rsidRDefault="00444F2C" w:rsidP="00A9220E">
            <w:pPr>
              <w:jc w:val="both"/>
              <w:rPr>
                <w:sz w:val="22"/>
                <w:szCs w:val="22"/>
              </w:rPr>
            </w:pPr>
            <w:r w:rsidRPr="00444F2C">
              <w:rPr>
                <w:sz w:val="22"/>
                <w:szCs w:val="22"/>
              </w:rPr>
              <w:t>A09.</w:t>
            </w:r>
            <w:r w:rsidR="000861A4">
              <w:rPr>
                <w:sz w:val="22"/>
                <w:szCs w:val="22"/>
              </w:rPr>
              <w:t xml:space="preserve"> </w:t>
            </w:r>
            <w:r w:rsidRPr="00444F2C">
              <w:rPr>
                <w:sz w:val="22"/>
                <w:szCs w:val="22"/>
              </w:rPr>
              <w:t xml:space="preserve">Education </w:t>
            </w:r>
          </w:p>
        </w:tc>
      </w:tr>
      <w:tr w:rsidR="00444F2C" w:rsidRPr="00444F2C" w14:paraId="2A7EA8E5" w14:textId="77777777" w:rsidTr="000861A4">
        <w:tc>
          <w:tcPr>
            <w:tcW w:w="0" w:type="auto"/>
          </w:tcPr>
          <w:p w14:paraId="4949054C" w14:textId="6AE4EC7D" w:rsidR="00444F2C" w:rsidRPr="00444F2C" w:rsidRDefault="00911E2B" w:rsidP="00A9220E">
            <w:pPr>
              <w:jc w:val="both"/>
              <w:rPr>
                <w:sz w:val="22"/>
                <w:szCs w:val="22"/>
              </w:rPr>
            </w:pPr>
            <w:r>
              <w:rPr>
                <w:sz w:val="22"/>
                <w:szCs w:val="22"/>
              </w:rPr>
              <w:t>6</w:t>
            </w:r>
            <w:r w:rsidR="00DC363C">
              <w:rPr>
                <w:sz w:val="22"/>
                <w:szCs w:val="22"/>
              </w:rPr>
              <w:t>3</w:t>
            </w:r>
            <w:r>
              <w:rPr>
                <w:sz w:val="22"/>
                <w:szCs w:val="22"/>
              </w:rPr>
              <w:t>%</w:t>
            </w:r>
          </w:p>
        </w:tc>
        <w:tc>
          <w:tcPr>
            <w:tcW w:w="4042" w:type="dxa"/>
          </w:tcPr>
          <w:p w14:paraId="2236C70B" w14:textId="44840E7B" w:rsidR="00444F2C" w:rsidRPr="00444F2C" w:rsidRDefault="00444F2C" w:rsidP="00A9220E">
            <w:pPr>
              <w:jc w:val="both"/>
              <w:rPr>
                <w:sz w:val="22"/>
                <w:szCs w:val="22"/>
              </w:rPr>
            </w:pPr>
            <w:r w:rsidRPr="00444F2C">
              <w:rPr>
                <w:sz w:val="22"/>
                <w:szCs w:val="22"/>
              </w:rPr>
              <w:t>A10.</w:t>
            </w:r>
            <w:r w:rsidR="000861A4">
              <w:rPr>
                <w:sz w:val="22"/>
                <w:szCs w:val="22"/>
              </w:rPr>
              <w:t xml:space="preserve"> </w:t>
            </w:r>
            <w:r w:rsidRPr="00444F2C">
              <w:rPr>
                <w:sz w:val="22"/>
                <w:szCs w:val="22"/>
              </w:rPr>
              <w:t xml:space="preserve">Social protection </w:t>
            </w:r>
          </w:p>
        </w:tc>
      </w:tr>
    </w:tbl>
    <w:p w14:paraId="12E7ECA1" w14:textId="77777777" w:rsidR="00AD310A" w:rsidRPr="00C7799A" w:rsidRDefault="00AD310A" w:rsidP="00936E12">
      <w:pPr>
        <w:spacing w:after="120"/>
        <w:rPr>
          <w:sz w:val="12"/>
          <w:szCs w:val="12"/>
        </w:rPr>
      </w:pPr>
    </w:p>
    <w:tbl>
      <w:tblPr>
        <w:tblStyle w:val="TableGrid"/>
        <w:tblW w:w="0" w:type="auto"/>
        <w:tblLook w:val="04A0" w:firstRow="1" w:lastRow="0" w:firstColumn="1" w:lastColumn="0" w:noHBand="0" w:noVBand="1"/>
      </w:tblPr>
      <w:tblGrid>
        <w:gridCol w:w="633"/>
        <w:gridCol w:w="4042"/>
      </w:tblGrid>
      <w:tr w:rsidR="00444F2C" w:rsidRPr="00444F2C" w14:paraId="7096E740" w14:textId="77777777" w:rsidTr="0064475B">
        <w:tc>
          <w:tcPr>
            <w:tcW w:w="0" w:type="auto"/>
          </w:tcPr>
          <w:p w14:paraId="08878E26" w14:textId="0DC1E946" w:rsidR="00444F2C" w:rsidRPr="00444F2C" w:rsidRDefault="00732694" w:rsidP="00A9220E">
            <w:pPr>
              <w:jc w:val="both"/>
              <w:rPr>
                <w:sz w:val="22"/>
                <w:szCs w:val="22"/>
              </w:rPr>
            </w:pPr>
            <w:r>
              <w:rPr>
                <w:sz w:val="22"/>
                <w:szCs w:val="22"/>
              </w:rPr>
              <w:t>60%</w:t>
            </w:r>
          </w:p>
        </w:tc>
        <w:tc>
          <w:tcPr>
            <w:tcW w:w="4042" w:type="dxa"/>
          </w:tcPr>
          <w:p w14:paraId="197675EE" w14:textId="56FC434C" w:rsidR="00444F2C" w:rsidRPr="00444F2C" w:rsidRDefault="00444F2C" w:rsidP="00A9220E">
            <w:pPr>
              <w:jc w:val="both"/>
              <w:rPr>
                <w:sz w:val="22"/>
                <w:szCs w:val="22"/>
              </w:rPr>
            </w:pPr>
            <w:r w:rsidRPr="00444F2C">
              <w:rPr>
                <w:sz w:val="22"/>
                <w:szCs w:val="22"/>
              </w:rPr>
              <w:t>A11.</w:t>
            </w:r>
            <w:r w:rsidR="000861A4">
              <w:rPr>
                <w:sz w:val="22"/>
                <w:szCs w:val="22"/>
              </w:rPr>
              <w:t xml:space="preserve"> </w:t>
            </w:r>
            <w:r w:rsidRPr="00444F2C">
              <w:rPr>
                <w:sz w:val="22"/>
                <w:szCs w:val="22"/>
              </w:rPr>
              <w:t>Cross-cutting issues</w:t>
            </w:r>
          </w:p>
        </w:tc>
      </w:tr>
      <w:tr w:rsidR="00444F2C" w:rsidRPr="00444F2C" w14:paraId="7478B13F" w14:textId="77777777" w:rsidTr="0064475B">
        <w:tc>
          <w:tcPr>
            <w:tcW w:w="0" w:type="auto"/>
          </w:tcPr>
          <w:p w14:paraId="2721218A" w14:textId="7B7921B0" w:rsidR="00444F2C" w:rsidRPr="00444F2C" w:rsidRDefault="00732694" w:rsidP="00A9220E">
            <w:pPr>
              <w:jc w:val="both"/>
              <w:rPr>
                <w:sz w:val="22"/>
                <w:szCs w:val="22"/>
              </w:rPr>
            </w:pPr>
            <w:r>
              <w:rPr>
                <w:sz w:val="22"/>
                <w:szCs w:val="22"/>
              </w:rPr>
              <w:t>6</w:t>
            </w:r>
            <w:r w:rsidR="00A05133">
              <w:rPr>
                <w:sz w:val="22"/>
                <w:szCs w:val="22"/>
              </w:rPr>
              <w:t>2</w:t>
            </w:r>
            <w:r>
              <w:rPr>
                <w:sz w:val="22"/>
                <w:szCs w:val="22"/>
              </w:rPr>
              <w:t>%</w:t>
            </w:r>
          </w:p>
        </w:tc>
        <w:tc>
          <w:tcPr>
            <w:tcW w:w="4042" w:type="dxa"/>
          </w:tcPr>
          <w:p w14:paraId="68328081" w14:textId="1533B26A" w:rsidR="00444F2C" w:rsidRPr="00444F2C" w:rsidRDefault="00444F2C" w:rsidP="00A9220E">
            <w:pPr>
              <w:jc w:val="both"/>
              <w:rPr>
                <w:sz w:val="22"/>
                <w:szCs w:val="22"/>
              </w:rPr>
            </w:pPr>
            <w:r w:rsidRPr="00444F2C">
              <w:rPr>
                <w:sz w:val="22"/>
                <w:szCs w:val="22"/>
              </w:rPr>
              <w:t>A12.</w:t>
            </w:r>
            <w:r w:rsidR="000861A4">
              <w:rPr>
                <w:sz w:val="22"/>
                <w:szCs w:val="22"/>
              </w:rPr>
              <w:t xml:space="preserve"> </w:t>
            </w:r>
            <w:r w:rsidRPr="00444F2C">
              <w:rPr>
                <w:sz w:val="22"/>
                <w:szCs w:val="22"/>
              </w:rPr>
              <w:t xml:space="preserve">R&amp;D </w:t>
            </w:r>
          </w:p>
        </w:tc>
      </w:tr>
      <w:tr w:rsidR="00444F2C" w:rsidRPr="00444F2C" w14:paraId="6336AC7C" w14:textId="77777777" w:rsidTr="0064475B">
        <w:tc>
          <w:tcPr>
            <w:tcW w:w="0" w:type="auto"/>
          </w:tcPr>
          <w:p w14:paraId="2E5B2D63" w14:textId="50629107" w:rsidR="00444F2C" w:rsidRPr="00444F2C" w:rsidRDefault="00732694" w:rsidP="00A9220E">
            <w:pPr>
              <w:jc w:val="both"/>
              <w:rPr>
                <w:sz w:val="22"/>
                <w:szCs w:val="22"/>
              </w:rPr>
            </w:pPr>
            <w:r>
              <w:rPr>
                <w:sz w:val="22"/>
                <w:szCs w:val="22"/>
              </w:rPr>
              <w:t>5</w:t>
            </w:r>
            <w:r w:rsidR="00A05133">
              <w:rPr>
                <w:sz w:val="22"/>
                <w:szCs w:val="22"/>
              </w:rPr>
              <w:t>4</w:t>
            </w:r>
            <w:r>
              <w:rPr>
                <w:sz w:val="22"/>
                <w:szCs w:val="22"/>
              </w:rPr>
              <w:t>%</w:t>
            </w:r>
          </w:p>
        </w:tc>
        <w:tc>
          <w:tcPr>
            <w:tcW w:w="4042" w:type="dxa"/>
          </w:tcPr>
          <w:p w14:paraId="5534BCAA" w14:textId="51E42A82" w:rsidR="00444F2C" w:rsidRPr="00444F2C" w:rsidRDefault="00444F2C" w:rsidP="00A9220E">
            <w:pPr>
              <w:jc w:val="both"/>
              <w:rPr>
                <w:sz w:val="22"/>
                <w:szCs w:val="22"/>
              </w:rPr>
            </w:pPr>
            <w:r w:rsidRPr="00444F2C">
              <w:rPr>
                <w:sz w:val="22"/>
                <w:szCs w:val="22"/>
              </w:rPr>
              <w:t>A13.</w:t>
            </w:r>
            <w:r w:rsidR="000861A4">
              <w:rPr>
                <w:sz w:val="22"/>
                <w:szCs w:val="22"/>
              </w:rPr>
              <w:t xml:space="preserve"> </w:t>
            </w:r>
            <w:r w:rsidRPr="00444F2C">
              <w:rPr>
                <w:sz w:val="22"/>
                <w:szCs w:val="22"/>
              </w:rPr>
              <w:t>Digitalization</w:t>
            </w:r>
          </w:p>
        </w:tc>
      </w:tr>
      <w:tr w:rsidR="00444F2C" w:rsidRPr="00444F2C" w14:paraId="3701F633" w14:textId="77777777" w:rsidTr="0064475B">
        <w:tc>
          <w:tcPr>
            <w:tcW w:w="0" w:type="auto"/>
          </w:tcPr>
          <w:p w14:paraId="78F27CD1" w14:textId="1D0A6C42" w:rsidR="00444F2C" w:rsidRPr="00444F2C" w:rsidRDefault="00A05133" w:rsidP="00A9220E">
            <w:pPr>
              <w:jc w:val="both"/>
              <w:rPr>
                <w:sz w:val="22"/>
                <w:szCs w:val="22"/>
              </w:rPr>
            </w:pPr>
            <w:r>
              <w:rPr>
                <w:sz w:val="22"/>
                <w:szCs w:val="22"/>
              </w:rPr>
              <w:t>40</w:t>
            </w:r>
            <w:r w:rsidR="006844CD">
              <w:rPr>
                <w:sz w:val="22"/>
                <w:szCs w:val="22"/>
              </w:rPr>
              <w:t>%</w:t>
            </w:r>
          </w:p>
        </w:tc>
        <w:tc>
          <w:tcPr>
            <w:tcW w:w="4042" w:type="dxa"/>
          </w:tcPr>
          <w:p w14:paraId="4383EC03" w14:textId="5B089104" w:rsidR="00444F2C" w:rsidRPr="00444F2C" w:rsidRDefault="00444F2C" w:rsidP="00A9220E">
            <w:pPr>
              <w:jc w:val="both"/>
              <w:rPr>
                <w:sz w:val="22"/>
                <w:szCs w:val="22"/>
              </w:rPr>
            </w:pPr>
            <w:r w:rsidRPr="00444F2C">
              <w:rPr>
                <w:sz w:val="22"/>
                <w:szCs w:val="22"/>
              </w:rPr>
              <w:t>A14.</w:t>
            </w:r>
            <w:r w:rsidR="000861A4">
              <w:rPr>
                <w:sz w:val="22"/>
                <w:szCs w:val="22"/>
              </w:rPr>
              <w:t xml:space="preserve"> </w:t>
            </w:r>
            <w:r w:rsidRPr="00444F2C">
              <w:rPr>
                <w:sz w:val="22"/>
                <w:szCs w:val="22"/>
              </w:rPr>
              <w:t>Gender</w:t>
            </w:r>
          </w:p>
        </w:tc>
      </w:tr>
      <w:tr w:rsidR="00444F2C" w:rsidRPr="00444F2C" w14:paraId="25D3DD14" w14:textId="77777777" w:rsidTr="0064475B">
        <w:tc>
          <w:tcPr>
            <w:tcW w:w="0" w:type="auto"/>
          </w:tcPr>
          <w:p w14:paraId="2449FE7F" w14:textId="1610A95D" w:rsidR="00444F2C" w:rsidRPr="00444F2C" w:rsidRDefault="006844CD" w:rsidP="00A9220E">
            <w:pPr>
              <w:jc w:val="both"/>
              <w:rPr>
                <w:sz w:val="22"/>
                <w:szCs w:val="22"/>
              </w:rPr>
            </w:pPr>
            <w:r>
              <w:rPr>
                <w:sz w:val="22"/>
                <w:szCs w:val="22"/>
              </w:rPr>
              <w:t>33%</w:t>
            </w:r>
          </w:p>
        </w:tc>
        <w:tc>
          <w:tcPr>
            <w:tcW w:w="4042" w:type="dxa"/>
          </w:tcPr>
          <w:p w14:paraId="614EC476" w14:textId="6943F562" w:rsidR="00444F2C" w:rsidRPr="00444F2C" w:rsidRDefault="00444F2C" w:rsidP="00A9220E">
            <w:pPr>
              <w:jc w:val="both"/>
              <w:rPr>
                <w:sz w:val="22"/>
                <w:szCs w:val="22"/>
              </w:rPr>
            </w:pPr>
            <w:r w:rsidRPr="00444F2C">
              <w:rPr>
                <w:sz w:val="22"/>
                <w:szCs w:val="22"/>
              </w:rPr>
              <w:t>A15.</w:t>
            </w:r>
            <w:r w:rsidR="000861A4">
              <w:rPr>
                <w:sz w:val="22"/>
                <w:szCs w:val="22"/>
              </w:rPr>
              <w:t xml:space="preserve"> </w:t>
            </w:r>
            <w:r w:rsidRPr="00444F2C">
              <w:rPr>
                <w:sz w:val="22"/>
                <w:szCs w:val="22"/>
              </w:rPr>
              <w:t>Indigenous peoples</w:t>
            </w:r>
          </w:p>
        </w:tc>
      </w:tr>
    </w:tbl>
    <w:p w14:paraId="183E12D4" w14:textId="37AC443C" w:rsidR="006844CD" w:rsidRPr="00C7799A" w:rsidRDefault="006844CD" w:rsidP="00936E12">
      <w:pPr>
        <w:spacing w:after="120"/>
        <w:rPr>
          <w:sz w:val="12"/>
          <w:szCs w:val="12"/>
        </w:rPr>
      </w:pPr>
    </w:p>
    <w:tbl>
      <w:tblPr>
        <w:tblStyle w:val="TableGrid"/>
        <w:tblW w:w="9175" w:type="dxa"/>
        <w:tblLook w:val="04A0" w:firstRow="1" w:lastRow="0" w:firstColumn="1" w:lastColumn="0" w:noHBand="0" w:noVBand="1"/>
      </w:tblPr>
      <w:tblGrid>
        <w:gridCol w:w="633"/>
        <w:gridCol w:w="8542"/>
      </w:tblGrid>
      <w:tr w:rsidR="00444F2C" w:rsidRPr="00E35EED" w14:paraId="4BA9A0E0" w14:textId="77777777" w:rsidTr="000861A4">
        <w:tc>
          <w:tcPr>
            <w:tcW w:w="0" w:type="auto"/>
          </w:tcPr>
          <w:p w14:paraId="2C92A91A" w14:textId="1550B1B4" w:rsidR="00444F2C" w:rsidRPr="00444F2C" w:rsidRDefault="00966635" w:rsidP="00A9220E">
            <w:pPr>
              <w:jc w:val="both"/>
              <w:rPr>
                <w:sz w:val="22"/>
                <w:szCs w:val="22"/>
                <w:lang w:val="fr-FR"/>
              </w:rPr>
            </w:pPr>
            <w:r>
              <w:rPr>
                <w:sz w:val="22"/>
                <w:szCs w:val="22"/>
                <w:lang w:val="fr-FR"/>
              </w:rPr>
              <w:t>59</w:t>
            </w:r>
            <w:r w:rsidR="00C50CEF">
              <w:rPr>
                <w:sz w:val="22"/>
                <w:szCs w:val="22"/>
                <w:lang w:val="fr-FR"/>
              </w:rPr>
              <w:t>%</w:t>
            </w:r>
          </w:p>
        </w:tc>
        <w:tc>
          <w:tcPr>
            <w:tcW w:w="8542" w:type="dxa"/>
          </w:tcPr>
          <w:p w14:paraId="14B3AABC" w14:textId="29C1CAEE" w:rsidR="00444F2C" w:rsidRPr="00444F2C" w:rsidRDefault="00444F2C" w:rsidP="00A9220E">
            <w:pPr>
              <w:jc w:val="both"/>
              <w:rPr>
                <w:sz w:val="22"/>
                <w:szCs w:val="22"/>
                <w:lang w:val="fr-FR"/>
              </w:rPr>
            </w:pPr>
            <w:r w:rsidRPr="00444F2C">
              <w:rPr>
                <w:sz w:val="22"/>
                <w:szCs w:val="22"/>
                <w:lang w:val="fr-FR"/>
              </w:rPr>
              <w:t>B1.</w:t>
            </w:r>
            <w:r w:rsidR="000861A4">
              <w:rPr>
                <w:sz w:val="22"/>
                <w:szCs w:val="22"/>
                <w:lang w:val="fr-FR"/>
              </w:rPr>
              <w:t xml:space="preserve"> </w:t>
            </w:r>
            <w:r w:rsidRPr="00444F2C">
              <w:rPr>
                <w:sz w:val="22"/>
                <w:szCs w:val="22"/>
                <w:lang w:val="fr-FR"/>
              </w:rPr>
              <w:t>COFOG structure/classification principles</w:t>
            </w:r>
          </w:p>
        </w:tc>
      </w:tr>
      <w:tr w:rsidR="00444F2C" w:rsidRPr="00444F2C" w14:paraId="5FE0C8A5" w14:textId="77777777" w:rsidTr="000861A4">
        <w:tc>
          <w:tcPr>
            <w:tcW w:w="0" w:type="auto"/>
          </w:tcPr>
          <w:p w14:paraId="52308ECB" w14:textId="616355EE" w:rsidR="00444F2C" w:rsidRPr="00444F2C" w:rsidRDefault="00966635" w:rsidP="00A9220E">
            <w:pPr>
              <w:jc w:val="both"/>
              <w:rPr>
                <w:sz w:val="22"/>
                <w:szCs w:val="22"/>
                <w:lang w:val="fr-FR"/>
              </w:rPr>
            </w:pPr>
            <w:r>
              <w:rPr>
                <w:sz w:val="22"/>
                <w:szCs w:val="22"/>
                <w:lang w:val="fr-FR"/>
              </w:rPr>
              <w:t>51</w:t>
            </w:r>
            <w:r w:rsidR="00C50CEF">
              <w:rPr>
                <w:sz w:val="22"/>
                <w:szCs w:val="22"/>
                <w:lang w:val="fr-FR"/>
              </w:rPr>
              <w:t>%</w:t>
            </w:r>
          </w:p>
        </w:tc>
        <w:tc>
          <w:tcPr>
            <w:tcW w:w="8542" w:type="dxa"/>
          </w:tcPr>
          <w:p w14:paraId="458D7C27" w14:textId="3C279CDC" w:rsidR="00444F2C" w:rsidRPr="00444F2C" w:rsidRDefault="00444F2C" w:rsidP="00A9220E">
            <w:pPr>
              <w:jc w:val="both"/>
              <w:rPr>
                <w:sz w:val="22"/>
                <w:szCs w:val="22"/>
              </w:rPr>
            </w:pPr>
            <w:r w:rsidRPr="00444F2C">
              <w:rPr>
                <w:sz w:val="22"/>
                <w:szCs w:val="22"/>
              </w:rPr>
              <w:t>B2.</w:t>
            </w:r>
            <w:r w:rsidR="000861A4">
              <w:rPr>
                <w:sz w:val="22"/>
                <w:szCs w:val="22"/>
              </w:rPr>
              <w:t xml:space="preserve"> </w:t>
            </w:r>
            <w:r w:rsidRPr="00444F2C">
              <w:rPr>
                <w:sz w:val="22"/>
                <w:szCs w:val="22"/>
              </w:rPr>
              <w:t>Primary/secondary purpose</w:t>
            </w:r>
          </w:p>
        </w:tc>
      </w:tr>
      <w:tr w:rsidR="00444F2C" w:rsidRPr="00444F2C" w14:paraId="021DF2EC" w14:textId="77777777" w:rsidTr="000861A4">
        <w:tc>
          <w:tcPr>
            <w:tcW w:w="0" w:type="auto"/>
          </w:tcPr>
          <w:p w14:paraId="206C179E" w14:textId="79B3895E" w:rsidR="00444F2C" w:rsidRPr="00444F2C" w:rsidRDefault="00C50CEF" w:rsidP="00A9220E">
            <w:pPr>
              <w:jc w:val="both"/>
              <w:rPr>
                <w:sz w:val="22"/>
                <w:szCs w:val="22"/>
              </w:rPr>
            </w:pPr>
            <w:r>
              <w:rPr>
                <w:sz w:val="22"/>
                <w:szCs w:val="22"/>
              </w:rPr>
              <w:t>56%</w:t>
            </w:r>
          </w:p>
        </w:tc>
        <w:tc>
          <w:tcPr>
            <w:tcW w:w="8542" w:type="dxa"/>
          </w:tcPr>
          <w:p w14:paraId="4D7E5209" w14:textId="2262D2D0" w:rsidR="00444F2C" w:rsidRPr="00444F2C" w:rsidRDefault="00444F2C" w:rsidP="00A9220E">
            <w:pPr>
              <w:jc w:val="both"/>
              <w:rPr>
                <w:sz w:val="22"/>
                <w:szCs w:val="22"/>
              </w:rPr>
            </w:pPr>
            <w:r w:rsidRPr="00444F2C">
              <w:rPr>
                <w:sz w:val="22"/>
                <w:szCs w:val="22"/>
              </w:rPr>
              <w:t>B3.</w:t>
            </w:r>
            <w:r w:rsidR="000861A4">
              <w:rPr>
                <w:sz w:val="22"/>
                <w:szCs w:val="22"/>
              </w:rPr>
              <w:t xml:space="preserve"> </w:t>
            </w:r>
            <w:r w:rsidRPr="00444F2C">
              <w:rPr>
                <w:sz w:val="22"/>
                <w:szCs w:val="22"/>
              </w:rPr>
              <w:t>Additional uses of COFOG</w:t>
            </w:r>
          </w:p>
        </w:tc>
      </w:tr>
      <w:tr w:rsidR="00444F2C" w:rsidRPr="00444F2C" w14:paraId="71B9B2BA" w14:textId="77777777" w:rsidTr="000861A4">
        <w:tc>
          <w:tcPr>
            <w:tcW w:w="0" w:type="auto"/>
          </w:tcPr>
          <w:p w14:paraId="35C162A9" w14:textId="6A6D65D8" w:rsidR="00444F2C" w:rsidRPr="00444F2C" w:rsidRDefault="00C50CEF" w:rsidP="00A9220E">
            <w:pPr>
              <w:jc w:val="both"/>
              <w:rPr>
                <w:sz w:val="22"/>
                <w:szCs w:val="22"/>
              </w:rPr>
            </w:pPr>
            <w:r>
              <w:rPr>
                <w:sz w:val="22"/>
                <w:szCs w:val="22"/>
              </w:rPr>
              <w:t>6</w:t>
            </w:r>
            <w:r w:rsidR="00966635">
              <w:rPr>
                <w:sz w:val="22"/>
                <w:szCs w:val="22"/>
              </w:rPr>
              <w:t>5</w:t>
            </w:r>
            <w:r>
              <w:rPr>
                <w:sz w:val="22"/>
                <w:szCs w:val="22"/>
              </w:rPr>
              <w:t>%</w:t>
            </w:r>
          </w:p>
        </w:tc>
        <w:tc>
          <w:tcPr>
            <w:tcW w:w="8542" w:type="dxa"/>
          </w:tcPr>
          <w:p w14:paraId="51FCFE6E" w14:textId="1FA23757" w:rsidR="00444F2C" w:rsidRPr="00444F2C" w:rsidRDefault="00444F2C" w:rsidP="00A9220E">
            <w:pPr>
              <w:jc w:val="both"/>
              <w:rPr>
                <w:sz w:val="22"/>
                <w:szCs w:val="22"/>
              </w:rPr>
            </w:pPr>
            <w:r w:rsidRPr="00444F2C">
              <w:rPr>
                <w:sz w:val="22"/>
                <w:szCs w:val="22"/>
              </w:rPr>
              <w:t>B4.</w:t>
            </w:r>
            <w:r w:rsidR="000861A4">
              <w:rPr>
                <w:sz w:val="22"/>
                <w:szCs w:val="22"/>
              </w:rPr>
              <w:t xml:space="preserve"> </w:t>
            </w:r>
            <w:r w:rsidRPr="00444F2C">
              <w:rPr>
                <w:sz w:val="22"/>
                <w:szCs w:val="22"/>
              </w:rPr>
              <w:t>Compilation issues</w:t>
            </w:r>
          </w:p>
        </w:tc>
      </w:tr>
      <w:tr w:rsidR="00444F2C" w:rsidRPr="00444F2C" w14:paraId="3B2644BF" w14:textId="77777777" w:rsidTr="000861A4">
        <w:tc>
          <w:tcPr>
            <w:tcW w:w="0" w:type="auto"/>
          </w:tcPr>
          <w:p w14:paraId="67C6BA21" w14:textId="02E41025" w:rsidR="00444F2C" w:rsidRPr="00444F2C" w:rsidRDefault="00C50CEF" w:rsidP="00A9220E">
            <w:pPr>
              <w:jc w:val="both"/>
              <w:rPr>
                <w:sz w:val="22"/>
                <w:szCs w:val="22"/>
              </w:rPr>
            </w:pPr>
            <w:r>
              <w:rPr>
                <w:sz w:val="22"/>
                <w:szCs w:val="22"/>
              </w:rPr>
              <w:t>64%</w:t>
            </w:r>
          </w:p>
        </w:tc>
        <w:tc>
          <w:tcPr>
            <w:tcW w:w="8542" w:type="dxa"/>
          </w:tcPr>
          <w:p w14:paraId="7C0A8892" w14:textId="6C4F572C" w:rsidR="00444F2C" w:rsidRPr="00444F2C" w:rsidRDefault="00444F2C" w:rsidP="00A9220E">
            <w:pPr>
              <w:jc w:val="both"/>
              <w:rPr>
                <w:sz w:val="22"/>
                <w:szCs w:val="22"/>
              </w:rPr>
            </w:pPr>
            <w:r w:rsidRPr="00444F2C">
              <w:rPr>
                <w:sz w:val="22"/>
                <w:szCs w:val="22"/>
              </w:rPr>
              <w:t>B5.</w:t>
            </w:r>
            <w:r w:rsidR="000861A4">
              <w:rPr>
                <w:sz w:val="22"/>
                <w:szCs w:val="22"/>
              </w:rPr>
              <w:t xml:space="preserve"> </w:t>
            </w:r>
            <w:r w:rsidRPr="00444F2C">
              <w:rPr>
                <w:sz w:val="22"/>
                <w:szCs w:val="22"/>
              </w:rPr>
              <w:t>Individual/collective expenditure</w:t>
            </w:r>
          </w:p>
        </w:tc>
      </w:tr>
      <w:tr w:rsidR="00444F2C" w:rsidRPr="00444F2C" w14:paraId="0DBAE2FD" w14:textId="77777777" w:rsidTr="000861A4">
        <w:tc>
          <w:tcPr>
            <w:tcW w:w="0" w:type="auto"/>
          </w:tcPr>
          <w:p w14:paraId="3F4BD955" w14:textId="63AC5AEF" w:rsidR="00444F2C" w:rsidRPr="00444F2C" w:rsidRDefault="00C50CEF" w:rsidP="00A9220E">
            <w:pPr>
              <w:jc w:val="both"/>
              <w:rPr>
                <w:sz w:val="22"/>
                <w:szCs w:val="22"/>
              </w:rPr>
            </w:pPr>
            <w:r>
              <w:rPr>
                <w:sz w:val="22"/>
                <w:szCs w:val="22"/>
              </w:rPr>
              <w:t>6</w:t>
            </w:r>
            <w:r w:rsidR="00966635">
              <w:rPr>
                <w:sz w:val="22"/>
                <w:szCs w:val="22"/>
              </w:rPr>
              <w:t>0</w:t>
            </w:r>
            <w:r>
              <w:rPr>
                <w:sz w:val="22"/>
                <w:szCs w:val="22"/>
              </w:rPr>
              <w:t>%</w:t>
            </w:r>
          </w:p>
        </w:tc>
        <w:tc>
          <w:tcPr>
            <w:tcW w:w="8542" w:type="dxa"/>
          </w:tcPr>
          <w:p w14:paraId="46282908" w14:textId="62F3C4BD" w:rsidR="00444F2C" w:rsidRPr="00444F2C" w:rsidRDefault="00444F2C" w:rsidP="00A9220E">
            <w:pPr>
              <w:jc w:val="both"/>
              <w:rPr>
                <w:sz w:val="22"/>
                <w:szCs w:val="22"/>
              </w:rPr>
            </w:pPr>
            <w:r w:rsidRPr="00444F2C">
              <w:rPr>
                <w:sz w:val="22"/>
                <w:szCs w:val="22"/>
              </w:rPr>
              <w:t>B6.</w:t>
            </w:r>
            <w:r w:rsidR="000861A4">
              <w:rPr>
                <w:sz w:val="22"/>
                <w:szCs w:val="22"/>
              </w:rPr>
              <w:t xml:space="preserve"> </w:t>
            </w:r>
            <w:r w:rsidRPr="00444F2C">
              <w:rPr>
                <w:sz w:val="22"/>
                <w:szCs w:val="22"/>
              </w:rPr>
              <w:t>Internal consistency with  other classifications of expenditure according to purpose</w:t>
            </w:r>
          </w:p>
        </w:tc>
      </w:tr>
      <w:tr w:rsidR="00444F2C" w:rsidRPr="00444F2C" w14:paraId="5E67E260" w14:textId="77777777" w:rsidTr="000861A4">
        <w:tc>
          <w:tcPr>
            <w:tcW w:w="0" w:type="auto"/>
          </w:tcPr>
          <w:p w14:paraId="01231E46" w14:textId="5C5EC839" w:rsidR="00444F2C" w:rsidRPr="00444F2C" w:rsidRDefault="00C50CEF" w:rsidP="00A9220E">
            <w:pPr>
              <w:jc w:val="both"/>
              <w:rPr>
                <w:sz w:val="22"/>
                <w:szCs w:val="22"/>
              </w:rPr>
            </w:pPr>
            <w:r>
              <w:rPr>
                <w:sz w:val="22"/>
                <w:szCs w:val="22"/>
              </w:rPr>
              <w:t>6</w:t>
            </w:r>
            <w:r w:rsidR="00966635">
              <w:rPr>
                <w:sz w:val="22"/>
                <w:szCs w:val="22"/>
              </w:rPr>
              <w:t>3</w:t>
            </w:r>
            <w:r>
              <w:rPr>
                <w:sz w:val="22"/>
                <w:szCs w:val="22"/>
              </w:rPr>
              <w:t>%</w:t>
            </w:r>
          </w:p>
        </w:tc>
        <w:tc>
          <w:tcPr>
            <w:tcW w:w="8542" w:type="dxa"/>
          </w:tcPr>
          <w:p w14:paraId="55A2B789" w14:textId="567CA3BB" w:rsidR="00444F2C" w:rsidRPr="00444F2C" w:rsidRDefault="00444F2C" w:rsidP="00A9220E">
            <w:pPr>
              <w:jc w:val="both"/>
              <w:rPr>
                <w:sz w:val="22"/>
                <w:szCs w:val="22"/>
              </w:rPr>
            </w:pPr>
            <w:r w:rsidRPr="00444F2C">
              <w:rPr>
                <w:sz w:val="22"/>
                <w:szCs w:val="22"/>
              </w:rPr>
              <w:t>B7.</w:t>
            </w:r>
            <w:r w:rsidR="000861A4">
              <w:rPr>
                <w:sz w:val="22"/>
                <w:szCs w:val="22"/>
              </w:rPr>
              <w:t xml:space="preserve"> </w:t>
            </w:r>
            <w:r w:rsidRPr="00444F2C">
              <w:rPr>
                <w:sz w:val="22"/>
                <w:szCs w:val="22"/>
              </w:rPr>
              <w:t>Alignment with other classifications/frameworks</w:t>
            </w:r>
          </w:p>
        </w:tc>
      </w:tr>
    </w:tbl>
    <w:p w14:paraId="0FD68EC0" w14:textId="77777777" w:rsidR="00A852D2" w:rsidRDefault="00A852D2" w:rsidP="00485B5A">
      <w:pPr>
        <w:spacing w:after="0" w:line="240" w:lineRule="auto"/>
        <w:jc w:val="both"/>
        <w:rPr>
          <w:b/>
          <w:bCs/>
          <w:sz w:val="22"/>
          <w:szCs w:val="22"/>
        </w:rPr>
      </w:pPr>
    </w:p>
    <w:p w14:paraId="50319B3C" w14:textId="616BCF82" w:rsidR="00BE7C72" w:rsidRDefault="00787B5E" w:rsidP="00787B5E">
      <w:pPr>
        <w:spacing w:after="0" w:line="240" w:lineRule="auto"/>
        <w:jc w:val="both"/>
        <w:rPr>
          <w:sz w:val="22"/>
          <w:szCs w:val="22"/>
        </w:rPr>
      </w:pPr>
      <w:r>
        <w:rPr>
          <w:sz w:val="22"/>
          <w:szCs w:val="22"/>
        </w:rPr>
        <w:t xml:space="preserve">Respondents were overall supportive of </w:t>
      </w:r>
      <w:r w:rsidR="00632030">
        <w:rPr>
          <w:sz w:val="22"/>
          <w:szCs w:val="22"/>
        </w:rPr>
        <w:t>considering</w:t>
      </w:r>
      <w:r>
        <w:rPr>
          <w:sz w:val="22"/>
          <w:szCs w:val="22"/>
        </w:rPr>
        <w:t xml:space="preserve"> the proposed issue categories </w:t>
      </w:r>
      <w:r w:rsidR="00632030">
        <w:rPr>
          <w:sz w:val="22"/>
          <w:szCs w:val="22"/>
        </w:rPr>
        <w:t xml:space="preserve">during the revision of COFOG.  </w:t>
      </w:r>
    </w:p>
    <w:p w14:paraId="49C7F2A2" w14:textId="77777777" w:rsidR="00632030" w:rsidRDefault="00632030" w:rsidP="00787B5E">
      <w:pPr>
        <w:spacing w:after="0" w:line="240" w:lineRule="auto"/>
        <w:jc w:val="both"/>
        <w:rPr>
          <w:sz w:val="22"/>
          <w:szCs w:val="22"/>
        </w:rPr>
      </w:pPr>
    </w:p>
    <w:p w14:paraId="1591F640" w14:textId="5A3EE116" w:rsidR="00632030" w:rsidRPr="00787B5E" w:rsidRDefault="00632030" w:rsidP="00787B5E">
      <w:pPr>
        <w:spacing w:after="0" w:line="240" w:lineRule="auto"/>
        <w:jc w:val="both"/>
        <w:rPr>
          <w:sz w:val="22"/>
          <w:szCs w:val="22"/>
        </w:rPr>
      </w:pPr>
      <w:r>
        <w:rPr>
          <w:sz w:val="22"/>
          <w:szCs w:val="22"/>
        </w:rPr>
        <w:t>Most likely to be selected were</w:t>
      </w:r>
      <w:r w:rsidR="00A01D83">
        <w:rPr>
          <w:sz w:val="22"/>
          <w:szCs w:val="22"/>
        </w:rPr>
        <w:t xml:space="preserve"> A05. Environmental Protection</w:t>
      </w:r>
      <w:r w:rsidR="00131FA6">
        <w:rPr>
          <w:sz w:val="22"/>
          <w:szCs w:val="22"/>
        </w:rPr>
        <w:t xml:space="preserve"> (80%)</w:t>
      </w:r>
      <w:r w:rsidR="00A01D83">
        <w:rPr>
          <w:sz w:val="22"/>
          <w:szCs w:val="22"/>
        </w:rPr>
        <w:t>, A04. Economic Affairs</w:t>
      </w:r>
      <w:r w:rsidR="00131FA6">
        <w:rPr>
          <w:sz w:val="22"/>
          <w:szCs w:val="22"/>
        </w:rPr>
        <w:t xml:space="preserve"> (71%)</w:t>
      </w:r>
      <w:r w:rsidR="00A01D83">
        <w:rPr>
          <w:sz w:val="22"/>
          <w:szCs w:val="22"/>
        </w:rPr>
        <w:t>, A01. General Public Services</w:t>
      </w:r>
      <w:r w:rsidR="00131FA6">
        <w:rPr>
          <w:sz w:val="22"/>
          <w:szCs w:val="22"/>
        </w:rPr>
        <w:t xml:space="preserve"> (69%)</w:t>
      </w:r>
      <w:r w:rsidR="00DC7441">
        <w:rPr>
          <w:sz w:val="22"/>
          <w:szCs w:val="22"/>
        </w:rPr>
        <w:t xml:space="preserve"> and A07. Health (</w:t>
      </w:r>
      <w:r w:rsidR="003530A8">
        <w:rPr>
          <w:sz w:val="22"/>
          <w:szCs w:val="22"/>
        </w:rPr>
        <w:t>6</w:t>
      </w:r>
      <w:r w:rsidR="00966635">
        <w:rPr>
          <w:sz w:val="22"/>
          <w:szCs w:val="22"/>
        </w:rPr>
        <w:t>7</w:t>
      </w:r>
      <w:r w:rsidR="003530A8">
        <w:rPr>
          <w:sz w:val="22"/>
          <w:szCs w:val="22"/>
        </w:rPr>
        <w:t xml:space="preserve">%).  </w:t>
      </w:r>
    </w:p>
    <w:p w14:paraId="4B5B65C8" w14:textId="77777777" w:rsidR="00787B5E" w:rsidRDefault="00787B5E" w:rsidP="00485B5A">
      <w:pPr>
        <w:spacing w:after="0" w:line="240" w:lineRule="auto"/>
        <w:jc w:val="both"/>
        <w:rPr>
          <w:sz w:val="22"/>
          <w:szCs w:val="22"/>
        </w:rPr>
      </w:pPr>
    </w:p>
    <w:p w14:paraId="5ABACE79" w14:textId="1C87A7D1" w:rsidR="00DD4E6D" w:rsidRDefault="00BE7C72" w:rsidP="00485B5A">
      <w:pPr>
        <w:spacing w:after="0" w:line="240" w:lineRule="auto"/>
        <w:jc w:val="both"/>
        <w:rPr>
          <w:sz w:val="22"/>
          <w:szCs w:val="22"/>
        </w:rPr>
        <w:sectPr w:rsidR="00DD4E6D" w:rsidSect="005B3DF2">
          <w:footerReference w:type="default" r:id="rId31"/>
          <w:pgSz w:w="12240" w:h="15840"/>
          <w:pgMar w:top="1440" w:right="1440" w:bottom="1440" w:left="1440" w:header="720" w:footer="720" w:gutter="0"/>
          <w:cols w:space="720"/>
          <w:titlePg/>
          <w:docGrid w:linePitch="360"/>
        </w:sectPr>
      </w:pPr>
      <w:r w:rsidRPr="00BE7C72">
        <w:rPr>
          <w:sz w:val="22"/>
          <w:szCs w:val="22"/>
        </w:rPr>
        <w:t xml:space="preserve">Only a </w:t>
      </w:r>
      <w:r>
        <w:rPr>
          <w:sz w:val="22"/>
          <w:szCs w:val="22"/>
        </w:rPr>
        <w:t>f</w:t>
      </w:r>
      <w:r w:rsidRPr="00BE7C72">
        <w:rPr>
          <w:sz w:val="22"/>
          <w:szCs w:val="22"/>
        </w:rPr>
        <w:t>ew</w:t>
      </w:r>
      <w:r>
        <w:rPr>
          <w:sz w:val="22"/>
          <w:szCs w:val="22"/>
        </w:rPr>
        <w:t xml:space="preserve"> proposed issue categories were </w:t>
      </w:r>
      <w:r w:rsidR="00A33CD4">
        <w:rPr>
          <w:sz w:val="22"/>
          <w:szCs w:val="22"/>
        </w:rPr>
        <w:t>selected by fewer than half of respondents</w:t>
      </w:r>
      <w:r w:rsidR="003530A8">
        <w:rPr>
          <w:sz w:val="22"/>
          <w:szCs w:val="22"/>
        </w:rPr>
        <w:t xml:space="preserve">, </w:t>
      </w:r>
      <w:r w:rsidR="00270BAA">
        <w:rPr>
          <w:sz w:val="22"/>
          <w:szCs w:val="22"/>
        </w:rPr>
        <w:t xml:space="preserve">namely </w:t>
      </w:r>
      <w:r w:rsidR="0086575E">
        <w:rPr>
          <w:sz w:val="22"/>
          <w:szCs w:val="22"/>
        </w:rPr>
        <w:t>A14. Gender (</w:t>
      </w:r>
      <w:r w:rsidR="00270BAA">
        <w:rPr>
          <w:sz w:val="22"/>
          <w:szCs w:val="22"/>
        </w:rPr>
        <w:t>40</w:t>
      </w:r>
      <w:r w:rsidR="0086575E">
        <w:rPr>
          <w:sz w:val="22"/>
          <w:szCs w:val="22"/>
        </w:rPr>
        <w:t xml:space="preserve">%), and A15. Indigenous peoples (33%). All other issue categories were selected by </w:t>
      </w:r>
      <w:r w:rsidR="000A13AB">
        <w:rPr>
          <w:sz w:val="22"/>
          <w:szCs w:val="22"/>
        </w:rPr>
        <w:t>5</w:t>
      </w:r>
      <w:r w:rsidR="00270BAA">
        <w:rPr>
          <w:sz w:val="22"/>
          <w:szCs w:val="22"/>
        </w:rPr>
        <w:t>1</w:t>
      </w:r>
      <w:r w:rsidR="000A13AB">
        <w:rPr>
          <w:sz w:val="22"/>
          <w:szCs w:val="22"/>
        </w:rPr>
        <w:t>-6</w:t>
      </w:r>
      <w:r w:rsidR="00862196">
        <w:rPr>
          <w:sz w:val="22"/>
          <w:szCs w:val="22"/>
        </w:rPr>
        <w:t>5</w:t>
      </w:r>
      <w:r w:rsidR="000A13AB">
        <w:rPr>
          <w:sz w:val="22"/>
          <w:szCs w:val="22"/>
        </w:rPr>
        <w:t>% of respondents</w:t>
      </w:r>
      <w:r w:rsidR="001A3832">
        <w:rPr>
          <w:sz w:val="22"/>
          <w:szCs w:val="22"/>
        </w:rPr>
        <w:t>, as also shown in the chart below</w:t>
      </w:r>
      <w:r w:rsidR="000A13AB">
        <w:rPr>
          <w:sz w:val="22"/>
          <w:szCs w:val="22"/>
        </w:rPr>
        <w:t xml:space="preserve">.  </w:t>
      </w:r>
    </w:p>
    <w:p w14:paraId="78C28D7C" w14:textId="30A9C228" w:rsidR="00DD4E6D" w:rsidRDefault="00DD4E6D" w:rsidP="00485B5A">
      <w:pPr>
        <w:spacing w:after="0" w:line="240" w:lineRule="auto"/>
        <w:jc w:val="both"/>
        <w:rPr>
          <w:sz w:val="22"/>
          <w:szCs w:val="22"/>
        </w:rPr>
      </w:pPr>
      <w:r>
        <w:rPr>
          <w:noProof/>
        </w:rPr>
        <w:lastRenderedPageBreak/>
        <w:drawing>
          <wp:inline distT="0" distB="0" distL="0" distR="0" wp14:anchorId="7B8A51B1" wp14:editId="65A63A2C">
            <wp:extent cx="8229600" cy="13441680"/>
            <wp:effectExtent l="0" t="0" r="0" b="7620"/>
            <wp:docPr id="114667058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DFE0352" w14:textId="77777777" w:rsidR="00254A10" w:rsidRDefault="00254A10" w:rsidP="00485B5A">
      <w:pPr>
        <w:spacing w:after="0" w:line="240" w:lineRule="auto"/>
        <w:jc w:val="both"/>
        <w:rPr>
          <w:sz w:val="22"/>
          <w:szCs w:val="22"/>
        </w:rPr>
        <w:sectPr w:rsidR="00254A10" w:rsidSect="00DD4E6D">
          <w:pgSz w:w="15840" w:h="12240" w:orient="landscape"/>
          <w:pgMar w:top="1440" w:right="1440" w:bottom="1440" w:left="1440" w:header="720" w:footer="720" w:gutter="0"/>
          <w:cols w:space="720"/>
          <w:docGrid w:linePitch="360"/>
        </w:sectPr>
      </w:pPr>
    </w:p>
    <w:p w14:paraId="61950675" w14:textId="57758337" w:rsidR="00DD38CB" w:rsidRDefault="00742409" w:rsidP="00843984">
      <w:pPr>
        <w:spacing w:after="0" w:line="240" w:lineRule="auto"/>
        <w:rPr>
          <w:b/>
          <w:bCs/>
          <w:sz w:val="22"/>
          <w:szCs w:val="22"/>
        </w:rPr>
      </w:pPr>
      <w:r>
        <w:rPr>
          <w:b/>
          <w:bCs/>
          <w:sz w:val="22"/>
          <w:szCs w:val="22"/>
        </w:rPr>
        <w:lastRenderedPageBreak/>
        <w:t xml:space="preserve">Q25 </w:t>
      </w:r>
      <w:r w:rsidR="00E54994">
        <w:rPr>
          <w:b/>
          <w:bCs/>
          <w:sz w:val="22"/>
          <w:szCs w:val="22"/>
        </w:rPr>
        <w:t xml:space="preserve">ii. </w:t>
      </w:r>
      <w:r w:rsidR="00677BD8" w:rsidRPr="00677BD8">
        <w:rPr>
          <w:b/>
          <w:bCs/>
          <w:sz w:val="22"/>
          <w:szCs w:val="22"/>
        </w:rPr>
        <w:t>For each issue category that you marked in Question 25</w:t>
      </w:r>
      <w:r>
        <w:rPr>
          <w:b/>
          <w:bCs/>
          <w:sz w:val="22"/>
          <w:szCs w:val="22"/>
        </w:rPr>
        <w:t xml:space="preserve"> i</w:t>
      </w:r>
      <w:r w:rsidR="00677BD8" w:rsidRPr="00677BD8">
        <w:rPr>
          <w:b/>
          <w:bCs/>
          <w:sz w:val="22"/>
          <w:szCs w:val="22"/>
        </w:rPr>
        <w:t xml:space="preserve"> above, indicate whether you consider the issue category to be high, medium or low priority </w:t>
      </w:r>
      <w:r w:rsidR="00DD38CB">
        <w:rPr>
          <w:b/>
          <w:bCs/>
          <w:sz w:val="22"/>
          <w:szCs w:val="22"/>
        </w:rPr>
        <w:t>(n=8</w:t>
      </w:r>
      <w:r w:rsidR="00466DA1">
        <w:rPr>
          <w:b/>
          <w:bCs/>
          <w:sz w:val="22"/>
          <w:szCs w:val="22"/>
        </w:rPr>
        <w:t>3</w:t>
      </w:r>
      <w:r w:rsidR="00DD38CB">
        <w:rPr>
          <w:b/>
          <w:bCs/>
          <w:sz w:val="22"/>
          <w:szCs w:val="22"/>
        </w:rPr>
        <w:t>)</w:t>
      </w:r>
    </w:p>
    <w:p w14:paraId="05CC4CCD" w14:textId="0D4C6358" w:rsidR="00677BD8" w:rsidRPr="00467F6B" w:rsidRDefault="00E85558" w:rsidP="00DD38CB">
      <w:pPr>
        <w:spacing w:after="0" w:line="240" w:lineRule="auto"/>
        <w:jc w:val="both"/>
        <w:rPr>
          <w:sz w:val="22"/>
          <w:szCs w:val="22"/>
        </w:rPr>
      </w:pPr>
      <w:r w:rsidRPr="00467F6B">
        <w:rPr>
          <w:sz w:val="22"/>
          <w:szCs w:val="22"/>
        </w:rPr>
        <w:t>(Some responses included m</w:t>
      </w:r>
      <w:r w:rsidR="00863C58" w:rsidRPr="00467F6B">
        <w:rPr>
          <w:sz w:val="22"/>
          <w:szCs w:val="22"/>
        </w:rPr>
        <w:t>ultiple selections</w:t>
      </w:r>
      <w:r w:rsidR="00521012">
        <w:rPr>
          <w:sz w:val="22"/>
          <w:szCs w:val="22"/>
        </w:rPr>
        <w:t xml:space="preserve"> </w:t>
      </w:r>
      <w:r w:rsidR="00843984">
        <w:rPr>
          <w:sz w:val="22"/>
          <w:szCs w:val="22"/>
        </w:rPr>
        <w:t>per issue</w:t>
      </w:r>
      <w:r w:rsidR="00467F6B">
        <w:rPr>
          <w:sz w:val="22"/>
          <w:szCs w:val="22"/>
        </w:rPr>
        <w:t>:  t</w:t>
      </w:r>
      <w:r w:rsidR="00863C58" w:rsidRPr="00467F6B">
        <w:rPr>
          <w:sz w:val="22"/>
          <w:szCs w:val="22"/>
        </w:rPr>
        <w:t xml:space="preserve">hose marked as both high and medium priority are included with the </w:t>
      </w:r>
      <w:r w:rsidR="00467F6B">
        <w:rPr>
          <w:sz w:val="22"/>
          <w:szCs w:val="22"/>
        </w:rPr>
        <w:t>“</w:t>
      </w:r>
      <w:r w:rsidR="00863C58" w:rsidRPr="00467F6B">
        <w:rPr>
          <w:sz w:val="22"/>
          <w:szCs w:val="22"/>
        </w:rPr>
        <w:t>high priority</w:t>
      </w:r>
      <w:r w:rsidR="00467F6B">
        <w:rPr>
          <w:sz w:val="22"/>
          <w:szCs w:val="22"/>
        </w:rPr>
        <w:t>”</w:t>
      </w:r>
      <w:r w:rsidR="00863C58" w:rsidRPr="00467F6B">
        <w:rPr>
          <w:sz w:val="22"/>
          <w:szCs w:val="22"/>
        </w:rPr>
        <w:t xml:space="preserve"> responses</w:t>
      </w:r>
      <w:r w:rsidR="00467F6B">
        <w:rPr>
          <w:sz w:val="22"/>
          <w:szCs w:val="22"/>
        </w:rPr>
        <w:t>, and t</w:t>
      </w:r>
      <w:r w:rsidR="00863C58" w:rsidRPr="00467F6B">
        <w:rPr>
          <w:sz w:val="22"/>
          <w:szCs w:val="22"/>
        </w:rPr>
        <w:t xml:space="preserve">hose marked as both medium and low </w:t>
      </w:r>
      <w:r w:rsidR="00BD32D9" w:rsidRPr="00467F6B">
        <w:rPr>
          <w:sz w:val="22"/>
          <w:szCs w:val="22"/>
        </w:rPr>
        <w:t xml:space="preserve">priority are included with the </w:t>
      </w:r>
      <w:r w:rsidR="00467F6B">
        <w:rPr>
          <w:sz w:val="22"/>
          <w:szCs w:val="22"/>
        </w:rPr>
        <w:t>“</w:t>
      </w:r>
      <w:r w:rsidR="00BD32D9" w:rsidRPr="00467F6B">
        <w:rPr>
          <w:sz w:val="22"/>
          <w:szCs w:val="22"/>
        </w:rPr>
        <w:t>low priority</w:t>
      </w:r>
      <w:r w:rsidR="00467F6B">
        <w:rPr>
          <w:sz w:val="22"/>
          <w:szCs w:val="22"/>
        </w:rPr>
        <w:t>”</w:t>
      </w:r>
      <w:r w:rsidR="00BD32D9" w:rsidRPr="00467F6B">
        <w:rPr>
          <w:sz w:val="22"/>
          <w:szCs w:val="22"/>
        </w:rPr>
        <w:t xml:space="preserve"> responses</w:t>
      </w:r>
      <w:r w:rsidR="00467F6B">
        <w:rPr>
          <w:sz w:val="22"/>
          <w:szCs w:val="22"/>
        </w:rPr>
        <w:t xml:space="preserve"> in the tables below</w:t>
      </w:r>
      <w:r w:rsidR="00467F6B" w:rsidRPr="00467F6B">
        <w:rPr>
          <w:sz w:val="22"/>
          <w:szCs w:val="22"/>
        </w:rPr>
        <w:t>)</w:t>
      </w:r>
    </w:p>
    <w:p w14:paraId="57BF510B" w14:textId="77777777" w:rsidR="00DD38CB" w:rsidRDefault="00DD38CB" w:rsidP="00485B5A">
      <w:pPr>
        <w:spacing w:after="0" w:line="240" w:lineRule="auto"/>
        <w:jc w:val="both"/>
        <w:rPr>
          <w:sz w:val="22"/>
          <w:szCs w:val="22"/>
        </w:rPr>
      </w:pPr>
    </w:p>
    <w:tbl>
      <w:tblPr>
        <w:tblStyle w:val="TableGrid"/>
        <w:tblW w:w="0" w:type="auto"/>
        <w:tblLook w:val="04A0" w:firstRow="1" w:lastRow="0" w:firstColumn="1" w:lastColumn="0" w:noHBand="0" w:noVBand="1"/>
      </w:tblPr>
      <w:tblGrid>
        <w:gridCol w:w="652"/>
        <w:gridCol w:w="633"/>
        <w:gridCol w:w="633"/>
        <w:gridCol w:w="957"/>
        <w:gridCol w:w="4230"/>
      </w:tblGrid>
      <w:tr w:rsidR="003101F6" w:rsidRPr="00444F2C" w14:paraId="4277B2DD" w14:textId="77777777" w:rsidTr="00845E8E">
        <w:tc>
          <w:tcPr>
            <w:tcW w:w="652" w:type="dxa"/>
            <w:shd w:val="clear" w:color="auto" w:fill="D9D9D9" w:themeFill="background1" w:themeFillShade="D9"/>
            <w:vAlign w:val="center"/>
          </w:tcPr>
          <w:p w14:paraId="233C81DC" w14:textId="610853CF" w:rsidR="003101F6" w:rsidRDefault="003101F6" w:rsidP="00845E8E">
            <w:pPr>
              <w:jc w:val="center"/>
              <w:rPr>
                <w:sz w:val="22"/>
                <w:szCs w:val="22"/>
              </w:rPr>
            </w:pPr>
            <w:r>
              <w:rPr>
                <w:sz w:val="22"/>
                <w:szCs w:val="22"/>
              </w:rPr>
              <w:t>High</w:t>
            </w:r>
          </w:p>
        </w:tc>
        <w:tc>
          <w:tcPr>
            <w:tcW w:w="633" w:type="dxa"/>
            <w:shd w:val="clear" w:color="auto" w:fill="D9D9D9" w:themeFill="background1" w:themeFillShade="D9"/>
            <w:vAlign w:val="center"/>
          </w:tcPr>
          <w:p w14:paraId="634EAADD" w14:textId="36D9A929" w:rsidR="003101F6" w:rsidRDefault="003101F6" w:rsidP="00845E8E">
            <w:pPr>
              <w:jc w:val="center"/>
              <w:rPr>
                <w:sz w:val="22"/>
                <w:szCs w:val="22"/>
              </w:rPr>
            </w:pPr>
            <w:r>
              <w:rPr>
                <w:sz w:val="22"/>
                <w:szCs w:val="22"/>
              </w:rPr>
              <w:t>Med</w:t>
            </w:r>
          </w:p>
        </w:tc>
        <w:tc>
          <w:tcPr>
            <w:tcW w:w="633" w:type="dxa"/>
            <w:shd w:val="clear" w:color="auto" w:fill="D9D9D9" w:themeFill="background1" w:themeFillShade="D9"/>
            <w:vAlign w:val="center"/>
          </w:tcPr>
          <w:p w14:paraId="5BFDC73C" w14:textId="0E73208B" w:rsidR="003101F6" w:rsidRDefault="003101F6" w:rsidP="00845E8E">
            <w:pPr>
              <w:jc w:val="center"/>
              <w:rPr>
                <w:sz w:val="22"/>
                <w:szCs w:val="22"/>
              </w:rPr>
            </w:pPr>
            <w:r>
              <w:rPr>
                <w:sz w:val="22"/>
                <w:szCs w:val="22"/>
              </w:rPr>
              <w:t>Low</w:t>
            </w:r>
          </w:p>
        </w:tc>
        <w:tc>
          <w:tcPr>
            <w:tcW w:w="957" w:type="dxa"/>
            <w:shd w:val="clear" w:color="auto" w:fill="D9D9D9" w:themeFill="background1" w:themeFillShade="D9"/>
            <w:vAlign w:val="center"/>
          </w:tcPr>
          <w:p w14:paraId="354FD12E" w14:textId="487EC0D4" w:rsidR="003101F6" w:rsidRPr="00223269" w:rsidRDefault="003101F6" w:rsidP="00845E8E">
            <w:pPr>
              <w:jc w:val="center"/>
              <w:rPr>
                <w:b/>
                <w:bCs/>
                <w:sz w:val="22"/>
                <w:szCs w:val="22"/>
              </w:rPr>
            </w:pPr>
            <w:r w:rsidRPr="00223269">
              <w:rPr>
                <w:b/>
                <w:bCs/>
                <w:sz w:val="22"/>
                <w:szCs w:val="22"/>
              </w:rPr>
              <w:t>H</w:t>
            </w:r>
            <w:r w:rsidR="00C9069C">
              <w:rPr>
                <w:b/>
                <w:bCs/>
                <w:sz w:val="22"/>
                <w:szCs w:val="22"/>
              </w:rPr>
              <w:t>/</w:t>
            </w:r>
            <w:r w:rsidRPr="00223269">
              <w:rPr>
                <w:b/>
                <w:bCs/>
                <w:sz w:val="22"/>
                <w:szCs w:val="22"/>
              </w:rPr>
              <w:t>M</w:t>
            </w:r>
          </w:p>
        </w:tc>
        <w:tc>
          <w:tcPr>
            <w:tcW w:w="4230" w:type="dxa"/>
            <w:shd w:val="clear" w:color="auto" w:fill="D9D9D9" w:themeFill="background1" w:themeFillShade="D9"/>
            <w:vAlign w:val="center"/>
          </w:tcPr>
          <w:p w14:paraId="31D138AA" w14:textId="08D02CB5" w:rsidR="003101F6" w:rsidRPr="00444F2C" w:rsidRDefault="003101F6" w:rsidP="009F33D2">
            <w:pPr>
              <w:rPr>
                <w:sz w:val="22"/>
                <w:szCs w:val="22"/>
              </w:rPr>
            </w:pPr>
          </w:p>
        </w:tc>
      </w:tr>
      <w:tr w:rsidR="006355EA" w:rsidRPr="00444F2C" w14:paraId="4EC89037" w14:textId="77777777" w:rsidTr="00845E8E">
        <w:tc>
          <w:tcPr>
            <w:tcW w:w="652" w:type="dxa"/>
            <w:vAlign w:val="center"/>
          </w:tcPr>
          <w:p w14:paraId="62344DBB" w14:textId="14A54504" w:rsidR="006355EA" w:rsidRDefault="006355EA" w:rsidP="00845E8E">
            <w:pPr>
              <w:jc w:val="center"/>
              <w:rPr>
                <w:sz w:val="22"/>
                <w:szCs w:val="22"/>
              </w:rPr>
            </w:pPr>
            <w:r>
              <w:rPr>
                <w:sz w:val="22"/>
                <w:szCs w:val="22"/>
              </w:rPr>
              <w:t>38%</w:t>
            </w:r>
          </w:p>
        </w:tc>
        <w:tc>
          <w:tcPr>
            <w:tcW w:w="633" w:type="dxa"/>
            <w:vAlign w:val="center"/>
          </w:tcPr>
          <w:p w14:paraId="5C220C1C" w14:textId="0B7D0722" w:rsidR="006355EA" w:rsidRDefault="006355EA" w:rsidP="00845E8E">
            <w:pPr>
              <w:jc w:val="center"/>
              <w:rPr>
                <w:sz w:val="22"/>
                <w:szCs w:val="22"/>
              </w:rPr>
            </w:pPr>
            <w:r>
              <w:rPr>
                <w:sz w:val="22"/>
                <w:szCs w:val="22"/>
              </w:rPr>
              <w:t>43%</w:t>
            </w:r>
          </w:p>
        </w:tc>
        <w:tc>
          <w:tcPr>
            <w:tcW w:w="633" w:type="dxa"/>
            <w:vAlign w:val="center"/>
          </w:tcPr>
          <w:p w14:paraId="49DB28EE" w14:textId="104C5113" w:rsidR="006355EA" w:rsidRPr="00444F2C" w:rsidRDefault="006355EA" w:rsidP="00845E8E">
            <w:pPr>
              <w:jc w:val="center"/>
              <w:rPr>
                <w:sz w:val="22"/>
                <w:szCs w:val="22"/>
              </w:rPr>
            </w:pPr>
            <w:r>
              <w:rPr>
                <w:sz w:val="22"/>
                <w:szCs w:val="22"/>
              </w:rPr>
              <w:t>20%</w:t>
            </w:r>
          </w:p>
        </w:tc>
        <w:tc>
          <w:tcPr>
            <w:tcW w:w="957" w:type="dxa"/>
            <w:vAlign w:val="center"/>
          </w:tcPr>
          <w:p w14:paraId="7C131A75" w14:textId="54B6E4D0" w:rsidR="006355EA" w:rsidRPr="006355EA" w:rsidRDefault="006355EA" w:rsidP="00845E8E">
            <w:pPr>
              <w:jc w:val="center"/>
              <w:rPr>
                <w:b/>
                <w:bCs/>
                <w:sz w:val="22"/>
                <w:szCs w:val="22"/>
              </w:rPr>
            </w:pPr>
            <w:r w:rsidRPr="006355EA">
              <w:rPr>
                <w:b/>
                <w:bCs/>
                <w:sz w:val="22"/>
                <w:szCs w:val="22"/>
              </w:rPr>
              <w:t>80%</w:t>
            </w:r>
          </w:p>
        </w:tc>
        <w:tc>
          <w:tcPr>
            <w:tcW w:w="4230" w:type="dxa"/>
            <w:vAlign w:val="center"/>
          </w:tcPr>
          <w:p w14:paraId="77BDFE0F" w14:textId="22038507" w:rsidR="006355EA" w:rsidRPr="00444F2C" w:rsidRDefault="006355EA" w:rsidP="009F33D2">
            <w:pPr>
              <w:rPr>
                <w:sz w:val="22"/>
                <w:szCs w:val="22"/>
              </w:rPr>
            </w:pPr>
            <w:r w:rsidRPr="00444F2C">
              <w:rPr>
                <w:sz w:val="22"/>
                <w:szCs w:val="22"/>
              </w:rPr>
              <w:t>A01.</w:t>
            </w:r>
            <w:r>
              <w:rPr>
                <w:sz w:val="22"/>
                <w:szCs w:val="22"/>
              </w:rPr>
              <w:t xml:space="preserve"> </w:t>
            </w:r>
            <w:r w:rsidRPr="00444F2C">
              <w:rPr>
                <w:sz w:val="22"/>
                <w:szCs w:val="22"/>
              </w:rPr>
              <w:t>General public services</w:t>
            </w:r>
          </w:p>
        </w:tc>
      </w:tr>
      <w:tr w:rsidR="006355EA" w:rsidRPr="00444F2C" w14:paraId="562F7C9A" w14:textId="77777777" w:rsidTr="00845E8E">
        <w:tc>
          <w:tcPr>
            <w:tcW w:w="652" w:type="dxa"/>
            <w:vAlign w:val="center"/>
          </w:tcPr>
          <w:p w14:paraId="2238824F" w14:textId="1BA294EA" w:rsidR="006355EA" w:rsidRPr="00FC3F3E" w:rsidRDefault="006355EA" w:rsidP="00845E8E">
            <w:pPr>
              <w:jc w:val="center"/>
              <w:rPr>
                <w:sz w:val="22"/>
                <w:szCs w:val="22"/>
              </w:rPr>
            </w:pPr>
            <w:r w:rsidRPr="00FC3F3E">
              <w:rPr>
                <w:sz w:val="22"/>
                <w:szCs w:val="22"/>
              </w:rPr>
              <w:t>4</w:t>
            </w:r>
            <w:r>
              <w:rPr>
                <w:sz w:val="22"/>
                <w:szCs w:val="22"/>
              </w:rPr>
              <w:t>0</w:t>
            </w:r>
            <w:r w:rsidRPr="00FC3F3E">
              <w:rPr>
                <w:sz w:val="22"/>
                <w:szCs w:val="22"/>
              </w:rPr>
              <w:t>%</w:t>
            </w:r>
          </w:p>
        </w:tc>
        <w:tc>
          <w:tcPr>
            <w:tcW w:w="633" w:type="dxa"/>
            <w:vAlign w:val="center"/>
          </w:tcPr>
          <w:p w14:paraId="4B915E17" w14:textId="0EA0497D" w:rsidR="006355EA" w:rsidRPr="00FC3F3E" w:rsidRDefault="006355EA" w:rsidP="00845E8E">
            <w:pPr>
              <w:jc w:val="center"/>
              <w:rPr>
                <w:sz w:val="22"/>
                <w:szCs w:val="22"/>
              </w:rPr>
            </w:pPr>
            <w:r w:rsidRPr="00FC3F3E">
              <w:rPr>
                <w:sz w:val="22"/>
                <w:szCs w:val="22"/>
              </w:rPr>
              <w:t>2</w:t>
            </w:r>
            <w:r>
              <w:rPr>
                <w:sz w:val="22"/>
                <w:szCs w:val="22"/>
              </w:rPr>
              <w:t>9</w:t>
            </w:r>
            <w:r w:rsidRPr="00FC3F3E">
              <w:rPr>
                <w:sz w:val="22"/>
                <w:szCs w:val="22"/>
              </w:rPr>
              <w:t>%</w:t>
            </w:r>
          </w:p>
        </w:tc>
        <w:tc>
          <w:tcPr>
            <w:tcW w:w="633" w:type="dxa"/>
            <w:vAlign w:val="center"/>
          </w:tcPr>
          <w:p w14:paraId="7F51771A" w14:textId="52C8BE52" w:rsidR="006355EA" w:rsidRPr="00FC3F3E" w:rsidRDefault="006355EA" w:rsidP="00845E8E">
            <w:pPr>
              <w:jc w:val="center"/>
              <w:rPr>
                <w:sz w:val="22"/>
                <w:szCs w:val="22"/>
              </w:rPr>
            </w:pPr>
            <w:r w:rsidRPr="00FC3F3E">
              <w:rPr>
                <w:sz w:val="22"/>
                <w:szCs w:val="22"/>
              </w:rPr>
              <w:t>3</w:t>
            </w:r>
            <w:r>
              <w:rPr>
                <w:sz w:val="22"/>
                <w:szCs w:val="22"/>
              </w:rPr>
              <w:t>1</w:t>
            </w:r>
            <w:r w:rsidRPr="00FC3F3E">
              <w:rPr>
                <w:sz w:val="22"/>
                <w:szCs w:val="22"/>
              </w:rPr>
              <w:t>%</w:t>
            </w:r>
          </w:p>
        </w:tc>
        <w:tc>
          <w:tcPr>
            <w:tcW w:w="957" w:type="dxa"/>
            <w:vAlign w:val="center"/>
          </w:tcPr>
          <w:p w14:paraId="76083745" w14:textId="2C099075" w:rsidR="006355EA" w:rsidRPr="006355EA" w:rsidRDefault="006355EA" w:rsidP="00845E8E">
            <w:pPr>
              <w:jc w:val="center"/>
              <w:rPr>
                <w:b/>
                <w:bCs/>
                <w:sz w:val="22"/>
                <w:szCs w:val="22"/>
              </w:rPr>
            </w:pPr>
            <w:r w:rsidRPr="006355EA">
              <w:rPr>
                <w:b/>
                <w:bCs/>
                <w:sz w:val="22"/>
                <w:szCs w:val="22"/>
              </w:rPr>
              <w:t>69%</w:t>
            </w:r>
          </w:p>
        </w:tc>
        <w:tc>
          <w:tcPr>
            <w:tcW w:w="4230" w:type="dxa"/>
            <w:vAlign w:val="center"/>
          </w:tcPr>
          <w:p w14:paraId="73531A93" w14:textId="0A86F240" w:rsidR="006355EA" w:rsidRPr="00444F2C" w:rsidRDefault="006355EA" w:rsidP="009F33D2">
            <w:pPr>
              <w:rPr>
                <w:sz w:val="22"/>
                <w:szCs w:val="22"/>
              </w:rPr>
            </w:pPr>
            <w:r w:rsidRPr="00444F2C">
              <w:rPr>
                <w:sz w:val="22"/>
                <w:szCs w:val="22"/>
              </w:rPr>
              <w:t>A02.</w:t>
            </w:r>
            <w:r>
              <w:rPr>
                <w:sz w:val="22"/>
                <w:szCs w:val="22"/>
              </w:rPr>
              <w:t xml:space="preserve"> </w:t>
            </w:r>
            <w:r w:rsidRPr="00444F2C">
              <w:rPr>
                <w:sz w:val="22"/>
                <w:szCs w:val="22"/>
              </w:rPr>
              <w:t>Defence</w:t>
            </w:r>
          </w:p>
        </w:tc>
      </w:tr>
      <w:tr w:rsidR="006355EA" w:rsidRPr="00444F2C" w14:paraId="0D0FA5C8" w14:textId="77777777" w:rsidTr="00845E8E">
        <w:tc>
          <w:tcPr>
            <w:tcW w:w="652" w:type="dxa"/>
            <w:vAlign w:val="center"/>
          </w:tcPr>
          <w:p w14:paraId="4EA96CF0" w14:textId="3905C883" w:rsidR="006355EA" w:rsidRPr="00FC3F3E" w:rsidRDefault="006355EA" w:rsidP="00845E8E">
            <w:pPr>
              <w:jc w:val="center"/>
              <w:rPr>
                <w:sz w:val="22"/>
                <w:szCs w:val="22"/>
              </w:rPr>
            </w:pPr>
            <w:r w:rsidRPr="00FC3F3E">
              <w:rPr>
                <w:sz w:val="22"/>
                <w:szCs w:val="22"/>
              </w:rPr>
              <w:t>3</w:t>
            </w:r>
            <w:r>
              <w:rPr>
                <w:sz w:val="22"/>
                <w:szCs w:val="22"/>
              </w:rPr>
              <w:t>2</w:t>
            </w:r>
            <w:r w:rsidRPr="00FC3F3E">
              <w:rPr>
                <w:sz w:val="22"/>
                <w:szCs w:val="22"/>
              </w:rPr>
              <w:t>%</w:t>
            </w:r>
          </w:p>
        </w:tc>
        <w:tc>
          <w:tcPr>
            <w:tcW w:w="633" w:type="dxa"/>
            <w:vAlign w:val="center"/>
          </w:tcPr>
          <w:p w14:paraId="2DD0BDBB" w14:textId="6C1315F3" w:rsidR="006355EA" w:rsidRPr="00FC3F3E" w:rsidRDefault="006355EA" w:rsidP="00845E8E">
            <w:pPr>
              <w:jc w:val="center"/>
              <w:rPr>
                <w:sz w:val="22"/>
                <w:szCs w:val="22"/>
              </w:rPr>
            </w:pPr>
            <w:r w:rsidRPr="00FC3F3E">
              <w:rPr>
                <w:sz w:val="22"/>
                <w:szCs w:val="22"/>
              </w:rPr>
              <w:t>4</w:t>
            </w:r>
            <w:r>
              <w:rPr>
                <w:sz w:val="22"/>
                <w:szCs w:val="22"/>
              </w:rPr>
              <w:t>3</w:t>
            </w:r>
            <w:r w:rsidRPr="00FC3F3E">
              <w:rPr>
                <w:sz w:val="22"/>
                <w:szCs w:val="22"/>
              </w:rPr>
              <w:t>%</w:t>
            </w:r>
          </w:p>
        </w:tc>
        <w:tc>
          <w:tcPr>
            <w:tcW w:w="633" w:type="dxa"/>
            <w:vAlign w:val="center"/>
          </w:tcPr>
          <w:p w14:paraId="76CBFBE1" w14:textId="26897E13" w:rsidR="006355EA" w:rsidRPr="00FC3F3E" w:rsidRDefault="006355EA" w:rsidP="00845E8E">
            <w:pPr>
              <w:jc w:val="center"/>
              <w:rPr>
                <w:sz w:val="22"/>
                <w:szCs w:val="22"/>
              </w:rPr>
            </w:pPr>
            <w:r w:rsidRPr="00FC3F3E">
              <w:rPr>
                <w:sz w:val="22"/>
                <w:szCs w:val="22"/>
              </w:rPr>
              <w:t>2</w:t>
            </w:r>
            <w:r>
              <w:rPr>
                <w:sz w:val="22"/>
                <w:szCs w:val="22"/>
              </w:rPr>
              <w:t>6</w:t>
            </w:r>
            <w:r w:rsidRPr="00FC3F3E">
              <w:rPr>
                <w:sz w:val="22"/>
                <w:szCs w:val="22"/>
              </w:rPr>
              <w:t>%</w:t>
            </w:r>
          </w:p>
        </w:tc>
        <w:tc>
          <w:tcPr>
            <w:tcW w:w="957" w:type="dxa"/>
            <w:vAlign w:val="center"/>
          </w:tcPr>
          <w:p w14:paraId="0FDACB19" w14:textId="08F21D9F" w:rsidR="006355EA" w:rsidRPr="006355EA" w:rsidRDefault="006355EA" w:rsidP="00845E8E">
            <w:pPr>
              <w:jc w:val="center"/>
              <w:rPr>
                <w:b/>
                <w:bCs/>
                <w:sz w:val="22"/>
                <w:szCs w:val="22"/>
              </w:rPr>
            </w:pPr>
            <w:r w:rsidRPr="006355EA">
              <w:rPr>
                <w:b/>
                <w:bCs/>
                <w:sz w:val="22"/>
                <w:szCs w:val="22"/>
              </w:rPr>
              <w:t>74%</w:t>
            </w:r>
          </w:p>
        </w:tc>
        <w:tc>
          <w:tcPr>
            <w:tcW w:w="4230" w:type="dxa"/>
            <w:vAlign w:val="center"/>
          </w:tcPr>
          <w:p w14:paraId="0A8AE213" w14:textId="2AF83A21" w:rsidR="006355EA" w:rsidRPr="00444F2C" w:rsidRDefault="006355EA" w:rsidP="009F33D2">
            <w:pPr>
              <w:rPr>
                <w:sz w:val="22"/>
                <w:szCs w:val="22"/>
              </w:rPr>
            </w:pPr>
            <w:r w:rsidRPr="00444F2C">
              <w:rPr>
                <w:sz w:val="22"/>
                <w:szCs w:val="22"/>
              </w:rPr>
              <w:t>A03.</w:t>
            </w:r>
            <w:r>
              <w:rPr>
                <w:sz w:val="22"/>
                <w:szCs w:val="22"/>
              </w:rPr>
              <w:t xml:space="preserve"> </w:t>
            </w:r>
            <w:r w:rsidRPr="00444F2C">
              <w:rPr>
                <w:sz w:val="22"/>
                <w:szCs w:val="22"/>
              </w:rPr>
              <w:t>Public order and safety</w:t>
            </w:r>
          </w:p>
        </w:tc>
      </w:tr>
      <w:tr w:rsidR="006355EA" w:rsidRPr="00444F2C" w14:paraId="6507C1DF" w14:textId="77777777" w:rsidTr="00845E8E">
        <w:tc>
          <w:tcPr>
            <w:tcW w:w="652" w:type="dxa"/>
            <w:vAlign w:val="center"/>
          </w:tcPr>
          <w:p w14:paraId="23094DEB" w14:textId="0966CFC2" w:rsidR="006355EA" w:rsidRPr="00FC3F3E" w:rsidRDefault="006355EA" w:rsidP="00845E8E">
            <w:pPr>
              <w:jc w:val="center"/>
              <w:rPr>
                <w:sz w:val="22"/>
                <w:szCs w:val="22"/>
              </w:rPr>
            </w:pPr>
            <w:r w:rsidRPr="00FC3F3E">
              <w:rPr>
                <w:sz w:val="22"/>
                <w:szCs w:val="22"/>
              </w:rPr>
              <w:t>3</w:t>
            </w:r>
            <w:r>
              <w:rPr>
                <w:sz w:val="22"/>
                <w:szCs w:val="22"/>
              </w:rPr>
              <w:t>5</w:t>
            </w:r>
            <w:r w:rsidRPr="00FC3F3E">
              <w:rPr>
                <w:sz w:val="22"/>
                <w:szCs w:val="22"/>
              </w:rPr>
              <w:t>%</w:t>
            </w:r>
          </w:p>
        </w:tc>
        <w:tc>
          <w:tcPr>
            <w:tcW w:w="633" w:type="dxa"/>
            <w:vAlign w:val="center"/>
          </w:tcPr>
          <w:p w14:paraId="512DB497" w14:textId="106357C1" w:rsidR="006355EA" w:rsidRPr="00FC3F3E" w:rsidRDefault="006355EA" w:rsidP="00845E8E">
            <w:pPr>
              <w:jc w:val="center"/>
              <w:rPr>
                <w:sz w:val="22"/>
                <w:szCs w:val="22"/>
              </w:rPr>
            </w:pPr>
            <w:r w:rsidRPr="00FC3F3E">
              <w:rPr>
                <w:sz w:val="22"/>
                <w:szCs w:val="22"/>
              </w:rPr>
              <w:t>48%</w:t>
            </w:r>
          </w:p>
        </w:tc>
        <w:tc>
          <w:tcPr>
            <w:tcW w:w="633" w:type="dxa"/>
            <w:vAlign w:val="center"/>
          </w:tcPr>
          <w:p w14:paraId="2C57A9F2" w14:textId="055D9B16" w:rsidR="006355EA" w:rsidRPr="00FC3F3E" w:rsidRDefault="006355EA" w:rsidP="00845E8E">
            <w:pPr>
              <w:jc w:val="center"/>
              <w:rPr>
                <w:sz w:val="22"/>
                <w:szCs w:val="22"/>
              </w:rPr>
            </w:pPr>
            <w:r w:rsidRPr="00FC3F3E">
              <w:rPr>
                <w:sz w:val="22"/>
                <w:szCs w:val="22"/>
              </w:rPr>
              <w:t>1</w:t>
            </w:r>
            <w:r>
              <w:rPr>
                <w:sz w:val="22"/>
                <w:szCs w:val="22"/>
              </w:rPr>
              <w:t>7</w:t>
            </w:r>
            <w:r w:rsidRPr="00FC3F3E">
              <w:rPr>
                <w:sz w:val="22"/>
                <w:szCs w:val="22"/>
              </w:rPr>
              <w:t>%</w:t>
            </w:r>
          </w:p>
        </w:tc>
        <w:tc>
          <w:tcPr>
            <w:tcW w:w="957" w:type="dxa"/>
            <w:vAlign w:val="center"/>
          </w:tcPr>
          <w:p w14:paraId="2CB16287" w14:textId="4B70EB22" w:rsidR="006355EA" w:rsidRPr="006355EA" w:rsidRDefault="006355EA" w:rsidP="00845E8E">
            <w:pPr>
              <w:jc w:val="center"/>
              <w:rPr>
                <w:b/>
                <w:bCs/>
                <w:sz w:val="22"/>
                <w:szCs w:val="22"/>
              </w:rPr>
            </w:pPr>
            <w:r w:rsidRPr="006355EA">
              <w:rPr>
                <w:b/>
                <w:bCs/>
                <w:sz w:val="22"/>
                <w:szCs w:val="22"/>
              </w:rPr>
              <w:t>83%</w:t>
            </w:r>
          </w:p>
        </w:tc>
        <w:tc>
          <w:tcPr>
            <w:tcW w:w="4230" w:type="dxa"/>
            <w:vAlign w:val="center"/>
          </w:tcPr>
          <w:p w14:paraId="3A1F7CE9" w14:textId="2FF6DE0D" w:rsidR="006355EA" w:rsidRPr="00444F2C" w:rsidRDefault="006355EA" w:rsidP="009F33D2">
            <w:pPr>
              <w:rPr>
                <w:sz w:val="22"/>
                <w:szCs w:val="22"/>
              </w:rPr>
            </w:pPr>
            <w:r w:rsidRPr="00444F2C">
              <w:rPr>
                <w:sz w:val="22"/>
                <w:szCs w:val="22"/>
              </w:rPr>
              <w:t>A04.</w:t>
            </w:r>
            <w:r>
              <w:rPr>
                <w:sz w:val="22"/>
                <w:szCs w:val="22"/>
              </w:rPr>
              <w:t xml:space="preserve"> </w:t>
            </w:r>
            <w:r w:rsidRPr="00444F2C">
              <w:rPr>
                <w:sz w:val="22"/>
                <w:szCs w:val="22"/>
              </w:rPr>
              <w:t>Economic affairs</w:t>
            </w:r>
          </w:p>
        </w:tc>
      </w:tr>
      <w:tr w:rsidR="006355EA" w:rsidRPr="00444F2C" w14:paraId="0D4816A3" w14:textId="77777777" w:rsidTr="00845E8E">
        <w:tc>
          <w:tcPr>
            <w:tcW w:w="652" w:type="dxa"/>
            <w:vAlign w:val="center"/>
          </w:tcPr>
          <w:p w14:paraId="6EE3E45E" w14:textId="7ABE33FA" w:rsidR="006355EA" w:rsidRPr="00CF2F4A" w:rsidRDefault="006355EA" w:rsidP="00845E8E">
            <w:pPr>
              <w:jc w:val="center"/>
              <w:rPr>
                <w:sz w:val="22"/>
                <w:szCs w:val="22"/>
              </w:rPr>
            </w:pPr>
            <w:r w:rsidRPr="00CF2F4A">
              <w:rPr>
                <w:sz w:val="22"/>
                <w:szCs w:val="22"/>
              </w:rPr>
              <w:t>73%</w:t>
            </w:r>
          </w:p>
        </w:tc>
        <w:tc>
          <w:tcPr>
            <w:tcW w:w="633" w:type="dxa"/>
            <w:vAlign w:val="center"/>
          </w:tcPr>
          <w:p w14:paraId="008F50E1" w14:textId="607B8AF0" w:rsidR="006355EA" w:rsidRPr="00FC3F3E" w:rsidRDefault="006355EA" w:rsidP="00845E8E">
            <w:pPr>
              <w:jc w:val="center"/>
              <w:rPr>
                <w:sz w:val="22"/>
                <w:szCs w:val="22"/>
              </w:rPr>
            </w:pPr>
            <w:r w:rsidRPr="00FC3F3E">
              <w:rPr>
                <w:sz w:val="22"/>
                <w:szCs w:val="22"/>
              </w:rPr>
              <w:t>21%</w:t>
            </w:r>
          </w:p>
        </w:tc>
        <w:tc>
          <w:tcPr>
            <w:tcW w:w="633" w:type="dxa"/>
            <w:vAlign w:val="center"/>
          </w:tcPr>
          <w:p w14:paraId="75A56FEF" w14:textId="45B36EE8" w:rsidR="006355EA" w:rsidRPr="00FC3F3E" w:rsidRDefault="006355EA" w:rsidP="00845E8E">
            <w:pPr>
              <w:jc w:val="center"/>
              <w:rPr>
                <w:sz w:val="22"/>
                <w:szCs w:val="22"/>
              </w:rPr>
            </w:pPr>
            <w:r>
              <w:rPr>
                <w:sz w:val="22"/>
                <w:szCs w:val="22"/>
              </w:rPr>
              <w:t>6</w:t>
            </w:r>
            <w:r w:rsidRPr="00FC3F3E">
              <w:rPr>
                <w:sz w:val="22"/>
                <w:szCs w:val="22"/>
              </w:rPr>
              <w:t>%</w:t>
            </w:r>
          </w:p>
        </w:tc>
        <w:tc>
          <w:tcPr>
            <w:tcW w:w="957" w:type="dxa"/>
            <w:vAlign w:val="center"/>
          </w:tcPr>
          <w:p w14:paraId="11D6BD4C" w14:textId="0AEE5C7B" w:rsidR="006355EA" w:rsidRPr="006355EA" w:rsidRDefault="006355EA" w:rsidP="00845E8E">
            <w:pPr>
              <w:jc w:val="center"/>
              <w:rPr>
                <w:b/>
                <w:bCs/>
                <w:sz w:val="22"/>
                <w:szCs w:val="22"/>
              </w:rPr>
            </w:pPr>
            <w:r w:rsidRPr="006355EA">
              <w:rPr>
                <w:b/>
                <w:bCs/>
                <w:sz w:val="22"/>
                <w:szCs w:val="22"/>
              </w:rPr>
              <w:t>94%</w:t>
            </w:r>
          </w:p>
        </w:tc>
        <w:tc>
          <w:tcPr>
            <w:tcW w:w="4230" w:type="dxa"/>
            <w:vAlign w:val="center"/>
          </w:tcPr>
          <w:p w14:paraId="66C4218D" w14:textId="25234B7F" w:rsidR="006355EA" w:rsidRPr="00444F2C" w:rsidRDefault="006355EA" w:rsidP="009F33D2">
            <w:pPr>
              <w:rPr>
                <w:sz w:val="22"/>
                <w:szCs w:val="22"/>
              </w:rPr>
            </w:pPr>
            <w:r w:rsidRPr="00444F2C">
              <w:rPr>
                <w:sz w:val="22"/>
                <w:szCs w:val="22"/>
              </w:rPr>
              <w:t>A05.</w:t>
            </w:r>
            <w:r>
              <w:rPr>
                <w:sz w:val="22"/>
                <w:szCs w:val="22"/>
              </w:rPr>
              <w:t xml:space="preserve"> </w:t>
            </w:r>
            <w:r w:rsidRPr="00444F2C">
              <w:rPr>
                <w:sz w:val="22"/>
                <w:szCs w:val="22"/>
              </w:rPr>
              <w:t>Environmental protection</w:t>
            </w:r>
          </w:p>
        </w:tc>
      </w:tr>
      <w:tr w:rsidR="006355EA" w:rsidRPr="00444F2C" w14:paraId="493166A4" w14:textId="77777777" w:rsidTr="00845E8E">
        <w:tc>
          <w:tcPr>
            <w:tcW w:w="652" w:type="dxa"/>
            <w:vAlign w:val="center"/>
          </w:tcPr>
          <w:p w14:paraId="2C406F4C" w14:textId="76A38FE6" w:rsidR="006355EA" w:rsidRPr="00FC3F3E" w:rsidRDefault="006355EA" w:rsidP="00845E8E">
            <w:pPr>
              <w:jc w:val="center"/>
              <w:rPr>
                <w:sz w:val="22"/>
                <w:szCs w:val="22"/>
              </w:rPr>
            </w:pPr>
            <w:r>
              <w:rPr>
                <w:sz w:val="22"/>
                <w:szCs w:val="22"/>
              </w:rPr>
              <w:t>29</w:t>
            </w:r>
            <w:r w:rsidRPr="00FC3F3E">
              <w:rPr>
                <w:sz w:val="22"/>
                <w:szCs w:val="22"/>
              </w:rPr>
              <w:t>%</w:t>
            </w:r>
          </w:p>
        </w:tc>
        <w:tc>
          <w:tcPr>
            <w:tcW w:w="633" w:type="dxa"/>
            <w:vAlign w:val="center"/>
          </w:tcPr>
          <w:p w14:paraId="6A478395" w14:textId="278B9B63" w:rsidR="006355EA" w:rsidRPr="00FC3F3E" w:rsidRDefault="006355EA" w:rsidP="00845E8E">
            <w:pPr>
              <w:jc w:val="center"/>
              <w:rPr>
                <w:sz w:val="22"/>
                <w:szCs w:val="22"/>
              </w:rPr>
            </w:pPr>
            <w:r w:rsidRPr="00FC3F3E">
              <w:rPr>
                <w:sz w:val="22"/>
                <w:szCs w:val="22"/>
              </w:rPr>
              <w:t>49%</w:t>
            </w:r>
          </w:p>
        </w:tc>
        <w:tc>
          <w:tcPr>
            <w:tcW w:w="633" w:type="dxa"/>
            <w:vAlign w:val="center"/>
          </w:tcPr>
          <w:p w14:paraId="21991AB9" w14:textId="4EEF51B2" w:rsidR="006355EA" w:rsidRPr="00FC3F3E" w:rsidRDefault="006355EA" w:rsidP="00845E8E">
            <w:pPr>
              <w:jc w:val="center"/>
              <w:rPr>
                <w:sz w:val="22"/>
                <w:szCs w:val="22"/>
              </w:rPr>
            </w:pPr>
            <w:r w:rsidRPr="00FC3F3E">
              <w:rPr>
                <w:sz w:val="22"/>
                <w:szCs w:val="22"/>
              </w:rPr>
              <w:t>2</w:t>
            </w:r>
            <w:r>
              <w:rPr>
                <w:sz w:val="22"/>
                <w:szCs w:val="22"/>
              </w:rPr>
              <w:t>2</w:t>
            </w:r>
            <w:r w:rsidRPr="00FC3F3E">
              <w:rPr>
                <w:sz w:val="22"/>
                <w:szCs w:val="22"/>
              </w:rPr>
              <w:t>%</w:t>
            </w:r>
          </w:p>
        </w:tc>
        <w:tc>
          <w:tcPr>
            <w:tcW w:w="957" w:type="dxa"/>
            <w:vAlign w:val="center"/>
          </w:tcPr>
          <w:p w14:paraId="28B81820" w14:textId="49C81250" w:rsidR="006355EA" w:rsidRPr="006355EA" w:rsidRDefault="006355EA" w:rsidP="00845E8E">
            <w:pPr>
              <w:jc w:val="center"/>
              <w:rPr>
                <w:b/>
                <w:bCs/>
                <w:sz w:val="22"/>
                <w:szCs w:val="22"/>
              </w:rPr>
            </w:pPr>
            <w:r w:rsidRPr="006355EA">
              <w:rPr>
                <w:b/>
                <w:bCs/>
                <w:sz w:val="22"/>
                <w:szCs w:val="22"/>
              </w:rPr>
              <w:t>78%</w:t>
            </w:r>
          </w:p>
        </w:tc>
        <w:tc>
          <w:tcPr>
            <w:tcW w:w="4230" w:type="dxa"/>
            <w:vAlign w:val="center"/>
          </w:tcPr>
          <w:p w14:paraId="09A2E4D5" w14:textId="5FBE75BF" w:rsidR="006355EA" w:rsidRPr="00444F2C" w:rsidRDefault="006355EA" w:rsidP="009F33D2">
            <w:pPr>
              <w:rPr>
                <w:sz w:val="22"/>
                <w:szCs w:val="22"/>
              </w:rPr>
            </w:pPr>
            <w:r w:rsidRPr="00444F2C">
              <w:rPr>
                <w:sz w:val="22"/>
                <w:szCs w:val="22"/>
              </w:rPr>
              <w:t>A06.</w:t>
            </w:r>
            <w:r>
              <w:rPr>
                <w:sz w:val="22"/>
                <w:szCs w:val="22"/>
              </w:rPr>
              <w:t xml:space="preserve"> </w:t>
            </w:r>
            <w:r w:rsidRPr="00444F2C">
              <w:rPr>
                <w:sz w:val="22"/>
                <w:szCs w:val="22"/>
              </w:rPr>
              <w:t>Housing and community amenities</w:t>
            </w:r>
          </w:p>
        </w:tc>
      </w:tr>
      <w:tr w:rsidR="006355EA" w:rsidRPr="00444F2C" w14:paraId="3AC980D4" w14:textId="77777777" w:rsidTr="00845E8E">
        <w:tc>
          <w:tcPr>
            <w:tcW w:w="652" w:type="dxa"/>
            <w:vAlign w:val="center"/>
          </w:tcPr>
          <w:p w14:paraId="42FF76C9" w14:textId="39FE23AA" w:rsidR="006355EA" w:rsidRPr="00FC3F3E" w:rsidRDefault="006355EA" w:rsidP="00845E8E">
            <w:pPr>
              <w:jc w:val="center"/>
              <w:rPr>
                <w:sz w:val="22"/>
                <w:szCs w:val="22"/>
              </w:rPr>
            </w:pPr>
            <w:r w:rsidRPr="00FC3F3E">
              <w:rPr>
                <w:sz w:val="22"/>
                <w:szCs w:val="22"/>
              </w:rPr>
              <w:t>44%</w:t>
            </w:r>
          </w:p>
        </w:tc>
        <w:tc>
          <w:tcPr>
            <w:tcW w:w="633" w:type="dxa"/>
            <w:vAlign w:val="center"/>
          </w:tcPr>
          <w:p w14:paraId="02783F6F" w14:textId="77E6ECE8" w:rsidR="006355EA" w:rsidRPr="00FC3F3E" w:rsidRDefault="006355EA" w:rsidP="00845E8E">
            <w:pPr>
              <w:jc w:val="center"/>
              <w:rPr>
                <w:sz w:val="22"/>
                <w:szCs w:val="22"/>
              </w:rPr>
            </w:pPr>
            <w:r w:rsidRPr="00FC3F3E">
              <w:rPr>
                <w:sz w:val="22"/>
                <w:szCs w:val="22"/>
              </w:rPr>
              <w:t>4</w:t>
            </w:r>
            <w:r>
              <w:rPr>
                <w:sz w:val="22"/>
                <w:szCs w:val="22"/>
              </w:rPr>
              <w:t>4</w:t>
            </w:r>
            <w:r w:rsidRPr="00FC3F3E">
              <w:rPr>
                <w:sz w:val="22"/>
                <w:szCs w:val="22"/>
              </w:rPr>
              <w:t>%</w:t>
            </w:r>
          </w:p>
        </w:tc>
        <w:tc>
          <w:tcPr>
            <w:tcW w:w="633" w:type="dxa"/>
            <w:vAlign w:val="center"/>
          </w:tcPr>
          <w:p w14:paraId="073B8250" w14:textId="6D783484" w:rsidR="006355EA" w:rsidRPr="00FC3F3E" w:rsidRDefault="006355EA" w:rsidP="00845E8E">
            <w:pPr>
              <w:jc w:val="center"/>
              <w:rPr>
                <w:sz w:val="22"/>
                <w:szCs w:val="22"/>
              </w:rPr>
            </w:pPr>
            <w:r w:rsidRPr="00FC3F3E">
              <w:rPr>
                <w:sz w:val="22"/>
                <w:szCs w:val="22"/>
              </w:rPr>
              <w:t>1</w:t>
            </w:r>
            <w:r>
              <w:rPr>
                <w:sz w:val="22"/>
                <w:szCs w:val="22"/>
              </w:rPr>
              <w:t>2</w:t>
            </w:r>
            <w:r w:rsidRPr="00FC3F3E">
              <w:rPr>
                <w:sz w:val="22"/>
                <w:szCs w:val="22"/>
              </w:rPr>
              <w:t>%</w:t>
            </w:r>
          </w:p>
        </w:tc>
        <w:tc>
          <w:tcPr>
            <w:tcW w:w="957" w:type="dxa"/>
            <w:vAlign w:val="center"/>
          </w:tcPr>
          <w:p w14:paraId="0D249A48" w14:textId="3567836F" w:rsidR="006355EA" w:rsidRPr="006355EA" w:rsidRDefault="006355EA" w:rsidP="00845E8E">
            <w:pPr>
              <w:jc w:val="center"/>
              <w:rPr>
                <w:b/>
                <w:bCs/>
                <w:sz w:val="22"/>
                <w:szCs w:val="22"/>
              </w:rPr>
            </w:pPr>
            <w:r w:rsidRPr="006355EA">
              <w:rPr>
                <w:b/>
                <w:bCs/>
                <w:sz w:val="22"/>
                <w:szCs w:val="22"/>
              </w:rPr>
              <w:t>88%</w:t>
            </w:r>
          </w:p>
        </w:tc>
        <w:tc>
          <w:tcPr>
            <w:tcW w:w="4230" w:type="dxa"/>
            <w:vAlign w:val="center"/>
          </w:tcPr>
          <w:p w14:paraId="1102FDA6" w14:textId="56141DFA" w:rsidR="006355EA" w:rsidRPr="00444F2C" w:rsidRDefault="006355EA" w:rsidP="009F33D2">
            <w:pPr>
              <w:rPr>
                <w:sz w:val="22"/>
                <w:szCs w:val="22"/>
              </w:rPr>
            </w:pPr>
            <w:r w:rsidRPr="00444F2C">
              <w:rPr>
                <w:sz w:val="22"/>
                <w:szCs w:val="22"/>
              </w:rPr>
              <w:t>A07.</w:t>
            </w:r>
            <w:r>
              <w:rPr>
                <w:sz w:val="22"/>
                <w:szCs w:val="22"/>
              </w:rPr>
              <w:t xml:space="preserve"> </w:t>
            </w:r>
            <w:r w:rsidRPr="00444F2C">
              <w:rPr>
                <w:sz w:val="22"/>
                <w:szCs w:val="22"/>
              </w:rPr>
              <w:t>Health</w:t>
            </w:r>
          </w:p>
        </w:tc>
      </w:tr>
      <w:tr w:rsidR="006355EA" w:rsidRPr="00444F2C" w14:paraId="5089D675" w14:textId="77777777" w:rsidTr="00845E8E">
        <w:tc>
          <w:tcPr>
            <w:tcW w:w="652" w:type="dxa"/>
            <w:vAlign w:val="center"/>
          </w:tcPr>
          <w:p w14:paraId="4B8670C1" w14:textId="1F2D24EF" w:rsidR="006355EA" w:rsidRPr="00FC3F3E" w:rsidRDefault="006355EA" w:rsidP="00845E8E">
            <w:pPr>
              <w:jc w:val="center"/>
              <w:rPr>
                <w:sz w:val="22"/>
                <w:szCs w:val="22"/>
              </w:rPr>
            </w:pPr>
            <w:r w:rsidRPr="00FC3F3E">
              <w:rPr>
                <w:sz w:val="22"/>
                <w:szCs w:val="22"/>
              </w:rPr>
              <w:t>4</w:t>
            </w:r>
            <w:r>
              <w:rPr>
                <w:sz w:val="22"/>
                <w:szCs w:val="22"/>
              </w:rPr>
              <w:t>2</w:t>
            </w:r>
            <w:r w:rsidRPr="00FC3F3E">
              <w:rPr>
                <w:sz w:val="22"/>
                <w:szCs w:val="22"/>
              </w:rPr>
              <w:t>%</w:t>
            </w:r>
          </w:p>
        </w:tc>
        <w:tc>
          <w:tcPr>
            <w:tcW w:w="633" w:type="dxa"/>
            <w:vAlign w:val="center"/>
          </w:tcPr>
          <w:p w14:paraId="07F189C0" w14:textId="4778E2A8" w:rsidR="006355EA" w:rsidRPr="00FC3F3E" w:rsidRDefault="006355EA" w:rsidP="00845E8E">
            <w:pPr>
              <w:jc w:val="center"/>
              <w:rPr>
                <w:sz w:val="22"/>
                <w:szCs w:val="22"/>
              </w:rPr>
            </w:pPr>
            <w:r w:rsidRPr="00FC3F3E">
              <w:rPr>
                <w:sz w:val="22"/>
                <w:szCs w:val="22"/>
              </w:rPr>
              <w:t>4</w:t>
            </w:r>
            <w:r>
              <w:rPr>
                <w:sz w:val="22"/>
                <w:szCs w:val="22"/>
              </w:rPr>
              <w:t>3</w:t>
            </w:r>
            <w:r w:rsidRPr="00FC3F3E">
              <w:rPr>
                <w:sz w:val="22"/>
                <w:szCs w:val="22"/>
              </w:rPr>
              <w:t>%</w:t>
            </w:r>
          </w:p>
        </w:tc>
        <w:tc>
          <w:tcPr>
            <w:tcW w:w="633" w:type="dxa"/>
            <w:vAlign w:val="center"/>
          </w:tcPr>
          <w:p w14:paraId="5F600F58" w14:textId="5039DA3F" w:rsidR="006355EA" w:rsidRPr="00FC3F3E" w:rsidRDefault="006355EA" w:rsidP="00845E8E">
            <w:pPr>
              <w:jc w:val="center"/>
              <w:rPr>
                <w:sz w:val="22"/>
                <w:szCs w:val="22"/>
              </w:rPr>
            </w:pPr>
            <w:r w:rsidRPr="00FC3F3E">
              <w:rPr>
                <w:sz w:val="22"/>
                <w:szCs w:val="22"/>
              </w:rPr>
              <w:t>1</w:t>
            </w:r>
            <w:r>
              <w:rPr>
                <w:sz w:val="22"/>
                <w:szCs w:val="22"/>
              </w:rPr>
              <w:t>5</w:t>
            </w:r>
            <w:r w:rsidRPr="00FC3F3E">
              <w:rPr>
                <w:sz w:val="22"/>
                <w:szCs w:val="22"/>
              </w:rPr>
              <w:t>%</w:t>
            </w:r>
          </w:p>
        </w:tc>
        <w:tc>
          <w:tcPr>
            <w:tcW w:w="957" w:type="dxa"/>
            <w:vAlign w:val="center"/>
          </w:tcPr>
          <w:p w14:paraId="486CDCA4" w14:textId="6B8D0B2B" w:rsidR="006355EA" w:rsidRPr="006355EA" w:rsidRDefault="006355EA" w:rsidP="00845E8E">
            <w:pPr>
              <w:jc w:val="center"/>
              <w:rPr>
                <w:b/>
                <w:bCs/>
                <w:sz w:val="22"/>
                <w:szCs w:val="22"/>
              </w:rPr>
            </w:pPr>
            <w:r w:rsidRPr="006355EA">
              <w:rPr>
                <w:b/>
                <w:bCs/>
                <w:sz w:val="22"/>
                <w:szCs w:val="22"/>
              </w:rPr>
              <w:t>85%</w:t>
            </w:r>
          </w:p>
        </w:tc>
        <w:tc>
          <w:tcPr>
            <w:tcW w:w="4230" w:type="dxa"/>
            <w:vAlign w:val="center"/>
          </w:tcPr>
          <w:p w14:paraId="03398401" w14:textId="5CCEEDAA" w:rsidR="006355EA" w:rsidRPr="00444F2C" w:rsidRDefault="006355EA" w:rsidP="009F33D2">
            <w:pPr>
              <w:rPr>
                <w:sz w:val="22"/>
                <w:szCs w:val="22"/>
              </w:rPr>
            </w:pPr>
            <w:r w:rsidRPr="00444F2C">
              <w:rPr>
                <w:sz w:val="22"/>
                <w:szCs w:val="22"/>
              </w:rPr>
              <w:t>A09.</w:t>
            </w:r>
            <w:r>
              <w:rPr>
                <w:sz w:val="22"/>
                <w:szCs w:val="22"/>
              </w:rPr>
              <w:t xml:space="preserve"> </w:t>
            </w:r>
            <w:r w:rsidRPr="00444F2C">
              <w:rPr>
                <w:sz w:val="22"/>
                <w:szCs w:val="22"/>
              </w:rPr>
              <w:t>Education</w:t>
            </w:r>
          </w:p>
        </w:tc>
      </w:tr>
      <w:tr w:rsidR="006355EA" w:rsidRPr="00444F2C" w14:paraId="4C9DB86A" w14:textId="77777777" w:rsidTr="00845E8E">
        <w:tc>
          <w:tcPr>
            <w:tcW w:w="652" w:type="dxa"/>
            <w:vAlign w:val="center"/>
          </w:tcPr>
          <w:p w14:paraId="7A30632B" w14:textId="3466919D" w:rsidR="006355EA" w:rsidRPr="00FC3F3E" w:rsidRDefault="006355EA" w:rsidP="00845E8E">
            <w:pPr>
              <w:jc w:val="center"/>
              <w:rPr>
                <w:sz w:val="22"/>
                <w:szCs w:val="22"/>
              </w:rPr>
            </w:pPr>
            <w:r w:rsidRPr="00FC3F3E">
              <w:rPr>
                <w:sz w:val="22"/>
                <w:szCs w:val="22"/>
              </w:rPr>
              <w:t>4</w:t>
            </w:r>
            <w:r>
              <w:rPr>
                <w:sz w:val="22"/>
                <w:szCs w:val="22"/>
              </w:rPr>
              <w:t>3</w:t>
            </w:r>
            <w:r w:rsidRPr="00FC3F3E">
              <w:rPr>
                <w:sz w:val="22"/>
                <w:szCs w:val="22"/>
              </w:rPr>
              <w:t>%</w:t>
            </w:r>
          </w:p>
        </w:tc>
        <w:tc>
          <w:tcPr>
            <w:tcW w:w="633" w:type="dxa"/>
            <w:vAlign w:val="center"/>
          </w:tcPr>
          <w:p w14:paraId="661FC6BB" w14:textId="161EEE46" w:rsidR="006355EA" w:rsidRPr="00FC3F3E" w:rsidRDefault="006355EA" w:rsidP="00845E8E">
            <w:pPr>
              <w:jc w:val="center"/>
              <w:rPr>
                <w:sz w:val="22"/>
                <w:szCs w:val="22"/>
              </w:rPr>
            </w:pPr>
            <w:r w:rsidRPr="00FC3F3E">
              <w:rPr>
                <w:sz w:val="22"/>
                <w:szCs w:val="22"/>
              </w:rPr>
              <w:t>4</w:t>
            </w:r>
            <w:r>
              <w:rPr>
                <w:sz w:val="22"/>
                <w:szCs w:val="22"/>
              </w:rPr>
              <w:t>3</w:t>
            </w:r>
            <w:r w:rsidRPr="00FC3F3E">
              <w:rPr>
                <w:sz w:val="22"/>
                <w:szCs w:val="22"/>
              </w:rPr>
              <w:t>%</w:t>
            </w:r>
          </w:p>
        </w:tc>
        <w:tc>
          <w:tcPr>
            <w:tcW w:w="633" w:type="dxa"/>
            <w:vAlign w:val="center"/>
          </w:tcPr>
          <w:p w14:paraId="52F513E8" w14:textId="41640C60" w:rsidR="006355EA" w:rsidRPr="00FC3F3E" w:rsidRDefault="006355EA" w:rsidP="00845E8E">
            <w:pPr>
              <w:jc w:val="center"/>
              <w:rPr>
                <w:sz w:val="22"/>
                <w:szCs w:val="22"/>
              </w:rPr>
            </w:pPr>
            <w:r w:rsidRPr="00FC3F3E">
              <w:rPr>
                <w:sz w:val="22"/>
                <w:szCs w:val="22"/>
              </w:rPr>
              <w:t>1</w:t>
            </w:r>
            <w:r>
              <w:rPr>
                <w:sz w:val="22"/>
                <w:szCs w:val="22"/>
              </w:rPr>
              <w:t>5</w:t>
            </w:r>
            <w:r w:rsidRPr="00FC3F3E">
              <w:rPr>
                <w:sz w:val="22"/>
                <w:szCs w:val="22"/>
              </w:rPr>
              <w:t>%</w:t>
            </w:r>
          </w:p>
        </w:tc>
        <w:tc>
          <w:tcPr>
            <w:tcW w:w="957" w:type="dxa"/>
            <w:vAlign w:val="center"/>
          </w:tcPr>
          <w:p w14:paraId="341F8278" w14:textId="1BE4E025" w:rsidR="006355EA" w:rsidRPr="006355EA" w:rsidRDefault="006355EA" w:rsidP="00845E8E">
            <w:pPr>
              <w:jc w:val="center"/>
              <w:rPr>
                <w:b/>
                <w:bCs/>
                <w:sz w:val="22"/>
                <w:szCs w:val="22"/>
              </w:rPr>
            </w:pPr>
            <w:r w:rsidRPr="006355EA">
              <w:rPr>
                <w:b/>
                <w:bCs/>
                <w:sz w:val="22"/>
                <w:szCs w:val="22"/>
              </w:rPr>
              <w:t>86%</w:t>
            </w:r>
          </w:p>
        </w:tc>
        <w:tc>
          <w:tcPr>
            <w:tcW w:w="4230" w:type="dxa"/>
            <w:vAlign w:val="center"/>
          </w:tcPr>
          <w:p w14:paraId="1F098E1D" w14:textId="0980778A" w:rsidR="006355EA" w:rsidRPr="00444F2C" w:rsidRDefault="006355EA" w:rsidP="009F33D2">
            <w:pPr>
              <w:rPr>
                <w:sz w:val="22"/>
                <w:szCs w:val="22"/>
              </w:rPr>
            </w:pPr>
            <w:r w:rsidRPr="00444F2C">
              <w:rPr>
                <w:sz w:val="22"/>
                <w:szCs w:val="22"/>
              </w:rPr>
              <w:t>A10.</w:t>
            </w:r>
            <w:r>
              <w:rPr>
                <w:sz w:val="22"/>
                <w:szCs w:val="22"/>
              </w:rPr>
              <w:t xml:space="preserve"> </w:t>
            </w:r>
            <w:r w:rsidRPr="00444F2C">
              <w:rPr>
                <w:sz w:val="22"/>
                <w:szCs w:val="22"/>
              </w:rPr>
              <w:t>Social protection</w:t>
            </w:r>
          </w:p>
        </w:tc>
      </w:tr>
    </w:tbl>
    <w:p w14:paraId="509C0090" w14:textId="77777777" w:rsidR="00677BD8" w:rsidRDefault="00677BD8" w:rsidP="00485B5A">
      <w:pPr>
        <w:spacing w:after="0" w:line="240" w:lineRule="auto"/>
        <w:jc w:val="both"/>
        <w:rPr>
          <w:sz w:val="22"/>
          <w:szCs w:val="22"/>
        </w:rPr>
      </w:pPr>
    </w:p>
    <w:p w14:paraId="2986E7DB" w14:textId="77777777" w:rsidR="008A66E4" w:rsidRDefault="008A66E4" w:rsidP="00485B5A">
      <w:pPr>
        <w:spacing w:after="0" w:line="240" w:lineRule="auto"/>
        <w:jc w:val="both"/>
        <w:rPr>
          <w:sz w:val="22"/>
          <w:szCs w:val="22"/>
        </w:rPr>
      </w:pPr>
    </w:p>
    <w:tbl>
      <w:tblPr>
        <w:tblStyle w:val="TableGrid"/>
        <w:tblW w:w="0" w:type="auto"/>
        <w:tblLook w:val="04A0" w:firstRow="1" w:lastRow="0" w:firstColumn="1" w:lastColumn="0" w:noHBand="0" w:noVBand="1"/>
      </w:tblPr>
      <w:tblGrid>
        <w:gridCol w:w="652"/>
        <w:gridCol w:w="633"/>
        <w:gridCol w:w="633"/>
        <w:gridCol w:w="957"/>
        <w:gridCol w:w="4230"/>
      </w:tblGrid>
      <w:tr w:rsidR="00223269" w:rsidRPr="00444F2C" w14:paraId="277B62E9" w14:textId="77777777" w:rsidTr="00845E8E">
        <w:tc>
          <w:tcPr>
            <w:tcW w:w="0" w:type="auto"/>
            <w:shd w:val="clear" w:color="auto" w:fill="D9D9D9" w:themeFill="background1" w:themeFillShade="D9"/>
            <w:vAlign w:val="center"/>
          </w:tcPr>
          <w:p w14:paraId="204326AD" w14:textId="225D50E0" w:rsidR="00223269" w:rsidRDefault="00223269" w:rsidP="00845E8E">
            <w:pPr>
              <w:jc w:val="center"/>
              <w:rPr>
                <w:sz w:val="22"/>
                <w:szCs w:val="22"/>
              </w:rPr>
            </w:pPr>
            <w:r>
              <w:rPr>
                <w:sz w:val="22"/>
                <w:szCs w:val="22"/>
              </w:rPr>
              <w:t>High</w:t>
            </w:r>
          </w:p>
        </w:tc>
        <w:tc>
          <w:tcPr>
            <w:tcW w:w="0" w:type="auto"/>
            <w:shd w:val="clear" w:color="auto" w:fill="D9D9D9" w:themeFill="background1" w:themeFillShade="D9"/>
            <w:vAlign w:val="center"/>
          </w:tcPr>
          <w:p w14:paraId="4B2F6B40" w14:textId="70F4682E" w:rsidR="00223269" w:rsidRDefault="00223269" w:rsidP="00845E8E">
            <w:pPr>
              <w:jc w:val="center"/>
              <w:rPr>
                <w:sz w:val="22"/>
                <w:szCs w:val="22"/>
              </w:rPr>
            </w:pPr>
            <w:r>
              <w:rPr>
                <w:sz w:val="22"/>
                <w:szCs w:val="22"/>
              </w:rPr>
              <w:t>Med</w:t>
            </w:r>
          </w:p>
        </w:tc>
        <w:tc>
          <w:tcPr>
            <w:tcW w:w="0" w:type="auto"/>
            <w:shd w:val="clear" w:color="auto" w:fill="D9D9D9" w:themeFill="background1" w:themeFillShade="D9"/>
            <w:vAlign w:val="center"/>
          </w:tcPr>
          <w:p w14:paraId="75325D20" w14:textId="6B4D9F80" w:rsidR="00223269" w:rsidRDefault="00223269" w:rsidP="00845E8E">
            <w:pPr>
              <w:jc w:val="center"/>
              <w:rPr>
                <w:sz w:val="22"/>
                <w:szCs w:val="22"/>
              </w:rPr>
            </w:pPr>
            <w:r>
              <w:rPr>
                <w:sz w:val="22"/>
                <w:szCs w:val="22"/>
              </w:rPr>
              <w:t>Low</w:t>
            </w:r>
          </w:p>
        </w:tc>
        <w:tc>
          <w:tcPr>
            <w:tcW w:w="957" w:type="dxa"/>
            <w:shd w:val="clear" w:color="auto" w:fill="D9D9D9" w:themeFill="background1" w:themeFillShade="D9"/>
            <w:vAlign w:val="center"/>
          </w:tcPr>
          <w:p w14:paraId="3AC7A5D7" w14:textId="15D89661" w:rsidR="00223269" w:rsidRPr="00444F2C" w:rsidRDefault="00C9069C" w:rsidP="00845E8E">
            <w:pPr>
              <w:jc w:val="center"/>
              <w:rPr>
                <w:sz w:val="22"/>
                <w:szCs w:val="22"/>
              </w:rPr>
            </w:pPr>
            <w:r w:rsidRPr="00223269">
              <w:rPr>
                <w:b/>
                <w:bCs/>
                <w:sz w:val="22"/>
                <w:szCs w:val="22"/>
              </w:rPr>
              <w:t>H</w:t>
            </w:r>
            <w:r>
              <w:rPr>
                <w:b/>
                <w:bCs/>
                <w:sz w:val="22"/>
                <w:szCs w:val="22"/>
              </w:rPr>
              <w:t>/</w:t>
            </w:r>
            <w:r w:rsidRPr="00223269">
              <w:rPr>
                <w:b/>
                <w:bCs/>
                <w:sz w:val="22"/>
                <w:szCs w:val="22"/>
              </w:rPr>
              <w:t>M</w:t>
            </w:r>
          </w:p>
        </w:tc>
        <w:tc>
          <w:tcPr>
            <w:tcW w:w="4230" w:type="dxa"/>
            <w:shd w:val="clear" w:color="auto" w:fill="D9D9D9" w:themeFill="background1" w:themeFillShade="D9"/>
            <w:vAlign w:val="center"/>
          </w:tcPr>
          <w:p w14:paraId="282B7D87" w14:textId="3BC9762E" w:rsidR="00223269" w:rsidRPr="00444F2C" w:rsidRDefault="00223269" w:rsidP="009F33D2">
            <w:pPr>
              <w:rPr>
                <w:sz w:val="22"/>
                <w:szCs w:val="22"/>
              </w:rPr>
            </w:pPr>
          </w:p>
        </w:tc>
      </w:tr>
      <w:tr w:rsidR="0064475B" w:rsidRPr="00444F2C" w14:paraId="2EA7B50A" w14:textId="77777777" w:rsidTr="00845E8E">
        <w:tc>
          <w:tcPr>
            <w:tcW w:w="0" w:type="auto"/>
            <w:vAlign w:val="center"/>
          </w:tcPr>
          <w:p w14:paraId="56A3CFC2" w14:textId="681234E0" w:rsidR="0064475B" w:rsidRDefault="0064475B" w:rsidP="00845E8E">
            <w:pPr>
              <w:jc w:val="center"/>
              <w:rPr>
                <w:sz w:val="22"/>
                <w:szCs w:val="22"/>
              </w:rPr>
            </w:pPr>
            <w:r>
              <w:rPr>
                <w:sz w:val="22"/>
                <w:szCs w:val="22"/>
              </w:rPr>
              <w:t>4</w:t>
            </w:r>
            <w:r w:rsidR="00401D9E">
              <w:rPr>
                <w:sz w:val="22"/>
                <w:szCs w:val="22"/>
              </w:rPr>
              <w:t>4</w:t>
            </w:r>
            <w:r>
              <w:rPr>
                <w:sz w:val="22"/>
                <w:szCs w:val="22"/>
              </w:rPr>
              <w:t>%</w:t>
            </w:r>
          </w:p>
        </w:tc>
        <w:tc>
          <w:tcPr>
            <w:tcW w:w="0" w:type="auto"/>
            <w:vAlign w:val="center"/>
          </w:tcPr>
          <w:p w14:paraId="15CBDC95" w14:textId="1D0FA688" w:rsidR="0064475B" w:rsidRDefault="0064475B" w:rsidP="00845E8E">
            <w:pPr>
              <w:jc w:val="center"/>
              <w:rPr>
                <w:sz w:val="22"/>
                <w:szCs w:val="22"/>
              </w:rPr>
            </w:pPr>
            <w:r>
              <w:rPr>
                <w:sz w:val="22"/>
                <w:szCs w:val="22"/>
              </w:rPr>
              <w:t>31%</w:t>
            </w:r>
          </w:p>
        </w:tc>
        <w:tc>
          <w:tcPr>
            <w:tcW w:w="0" w:type="auto"/>
            <w:vAlign w:val="center"/>
          </w:tcPr>
          <w:p w14:paraId="79278C9E" w14:textId="260E2549" w:rsidR="0064475B" w:rsidRPr="00444F2C" w:rsidRDefault="0064475B" w:rsidP="00845E8E">
            <w:pPr>
              <w:jc w:val="center"/>
              <w:rPr>
                <w:sz w:val="22"/>
                <w:szCs w:val="22"/>
              </w:rPr>
            </w:pPr>
            <w:r>
              <w:rPr>
                <w:sz w:val="22"/>
                <w:szCs w:val="22"/>
              </w:rPr>
              <w:t>2</w:t>
            </w:r>
            <w:r w:rsidR="00466BCF">
              <w:rPr>
                <w:sz w:val="22"/>
                <w:szCs w:val="22"/>
              </w:rPr>
              <w:t>6</w:t>
            </w:r>
            <w:r>
              <w:rPr>
                <w:sz w:val="22"/>
                <w:szCs w:val="22"/>
              </w:rPr>
              <w:t>%</w:t>
            </w:r>
          </w:p>
        </w:tc>
        <w:tc>
          <w:tcPr>
            <w:tcW w:w="957" w:type="dxa"/>
            <w:vAlign w:val="center"/>
          </w:tcPr>
          <w:p w14:paraId="33502A91" w14:textId="04B9E2A3" w:rsidR="0064475B" w:rsidRPr="0064475B" w:rsidRDefault="0064475B" w:rsidP="00845E8E">
            <w:pPr>
              <w:jc w:val="center"/>
              <w:rPr>
                <w:b/>
                <w:bCs/>
                <w:sz w:val="22"/>
                <w:szCs w:val="22"/>
              </w:rPr>
            </w:pPr>
            <w:r w:rsidRPr="0064475B">
              <w:rPr>
                <w:b/>
                <w:bCs/>
                <w:sz w:val="22"/>
                <w:szCs w:val="22"/>
              </w:rPr>
              <w:t>75%</w:t>
            </w:r>
          </w:p>
        </w:tc>
        <w:tc>
          <w:tcPr>
            <w:tcW w:w="4230" w:type="dxa"/>
            <w:vAlign w:val="center"/>
          </w:tcPr>
          <w:p w14:paraId="7D4A839A" w14:textId="2B8F4B80" w:rsidR="0064475B" w:rsidRPr="00444F2C" w:rsidRDefault="0064475B" w:rsidP="009F33D2">
            <w:pPr>
              <w:rPr>
                <w:sz w:val="22"/>
                <w:szCs w:val="22"/>
              </w:rPr>
            </w:pPr>
            <w:r w:rsidRPr="00444F2C">
              <w:rPr>
                <w:sz w:val="22"/>
                <w:szCs w:val="22"/>
              </w:rPr>
              <w:t>A11.</w:t>
            </w:r>
            <w:r>
              <w:rPr>
                <w:sz w:val="22"/>
                <w:szCs w:val="22"/>
              </w:rPr>
              <w:t xml:space="preserve"> </w:t>
            </w:r>
            <w:r w:rsidRPr="00444F2C">
              <w:rPr>
                <w:sz w:val="22"/>
                <w:szCs w:val="22"/>
              </w:rPr>
              <w:t>Cross-cutting issues</w:t>
            </w:r>
          </w:p>
        </w:tc>
      </w:tr>
      <w:tr w:rsidR="0064475B" w:rsidRPr="00444F2C" w14:paraId="371B0826" w14:textId="77777777" w:rsidTr="00845E8E">
        <w:tc>
          <w:tcPr>
            <w:tcW w:w="0" w:type="auto"/>
            <w:vAlign w:val="center"/>
          </w:tcPr>
          <w:p w14:paraId="7BE92441" w14:textId="0ABBAF89" w:rsidR="0064475B" w:rsidRDefault="0064475B" w:rsidP="00845E8E">
            <w:pPr>
              <w:jc w:val="center"/>
              <w:rPr>
                <w:sz w:val="22"/>
                <w:szCs w:val="22"/>
              </w:rPr>
            </w:pPr>
            <w:r>
              <w:rPr>
                <w:sz w:val="22"/>
                <w:szCs w:val="22"/>
              </w:rPr>
              <w:t>4</w:t>
            </w:r>
            <w:r w:rsidR="00A11989">
              <w:rPr>
                <w:sz w:val="22"/>
                <w:szCs w:val="22"/>
              </w:rPr>
              <w:t>5</w:t>
            </w:r>
            <w:r>
              <w:rPr>
                <w:sz w:val="22"/>
                <w:szCs w:val="22"/>
              </w:rPr>
              <w:t>%</w:t>
            </w:r>
          </w:p>
        </w:tc>
        <w:tc>
          <w:tcPr>
            <w:tcW w:w="0" w:type="auto"/>
            <w:vAlign w:val="center"/>
          </w:tcPr>
          <w:p w14:paraId="2D377F08" w14:textId="2D2A7C61" w:rsidR="0064475B" w:rsidRDefault="0064475B" w:rsidP="00845E8E">
            <w:pPr>
              <w:jc w:val="center"/>
              <w:rPr>
                <w:sz w:val="22"/>
                <w:szCs w:val="22"/>
              </w:rPr>
            </w:pPr>
            <w:r>
              <w:rPr>
                <w:sz w:val="22"/>
                <w:szCs w:val="22"/>
              </w:rPr>
              <w:t>3</w:t>
            </w:r>
            <w:r w:rsidR="00370376">
              <w:rPr>
                <w:sz w:val="22"/>
                <w:szCs w:val="22"/>
              </w:rPr>
              <w:t>8</w:t>
            </w:r>
            <w:r>
              <w:rPr>
                <w:sz w:val="22"/>
                <w:szCs w:val="22"/>
              </w:rPr>
              <w:t>%</w:t>
            </w:r>
          </w:p>
        </w:tc>
        <w:tc>
          <w:tcPr>
            <w:tcW w:w="0" w:type="auto"/>
            <w:vAlign w:val="center"/>
          </w:tcPr>
          <w:p w14:paraId="72D9117A" w14:textId="659A8773" w:rsidR="0064475B" w:rsidRPr="00444F2C" w:rsidRDefault="0064475B" w:rsidP="00845E8E">
            <w:pPr>
              <w:jc w:val="center"/>
              <w:rPr>
                <w:sz w:val="22"/>
                <w:szCs w:val="22"/>
              </w:rPr>
            </w:pPr>
            <w:r>
              <w:rPr>
                <w:sz w:val="22"/>
                <w:szCs w:val="22"/>
              </w:rPr>
              <w:t>1</w:t>
            </w:r>
            <w:r w:rsidR="00466BCF">
              <w:rPr>
                <w:sz w:val="22"/>
                <w:szCs w:val="22"/>
              </w:rPr>
              <w:t>7</w:t>
            </w:r>
            <w:r>
              <w:rPr>
                <w:sz w:val="22"/>
                <w:szCs w:val="22"/>
              </w:rPr>
              <w:t>%</w:t>
            </w:r>
          </w:p>
        </w:tc>
        <w:tc>
          <w:tcPr>
            <w:tcW w:w="957" w:type="dxa"/>
            <w:vAlign w:val="center"/>
          </w:tcPr>
          <w:p w14:paraId="1EAF8008" w14:textId="7A081400" w:rsidR="0064475B" w:rsidRPr="0064475B" w:rsidRDefault="0064475B" w:rsidP="00845E8E">
            <w:pPr>
              <w:jc w:val="center"/>
              <w:rPr>
                <w:b/>
                <w:bCs/>
                <w:sz w:val="22"/>
                <w:szCs w:val="22"/>
              </w:rPr>
            </w:pPr>
            <w:r w:rsidRPr="0064475B">
              <w:rPr>
                <w:b/>
                <w:bCs/>
                <w:sz w:val="22"/>
                <w:szCs w:val="22"/>
              </w:rPr>
              <w:t>8</w:t>
            </w:r>
            <w:r w:rsidR="000A0178">
              <w:rPr>
                <w:b/>
                <w:bCs/>
                <w:sz w:val="22"/>
                <w:szCs w:val="22"/>
              </w:rPr>
              <w:t>3</w:t>
            </w:r>
            <w:r w:rsidRPr="0064475B">
              <w:rPr>
                <w:b/>
                <w:bCs/>
                <w:sz w:val="22"/>
                <w:szCs w:val="22"/>
              </w:rPr>
              <w:t>%</w:t>
            </w:r>
          </w:p>
        </w:tc>
        <w:tc>
          <w:tcPr>
            <w:tcW w:w="4230" w:type="dxa"/>
            <w:vAlign w:val="center"/>
          </w:tcPr>
          <w:p w14:paraId="0C807527" w14:textId="2076A860" w:rsidR="0064475B" w:rsidRPr="00444F2C" w:rsidRDefault="0064475B" w:rsidP="009F33D2">
            <w:pPr>
              <w:rPr>
                <w:sz w:val="22"/>
                <w:szCs w:val="22"/>
              </w:rPr>
            </w:pPr>
            <w:r w:rsidRPr="00444F2C">
              <w:rPr>
                <w:sz w:val="22"/>
                <w:szCs w:val="22"/>
              </w:rPr>
              <w:t>A12.</w:t>
            </w:r>
            <w:r>
              <w:rPr>
                <w:sz w:val="22"/>
                <w:szCs w:val="22"/>
              </w:rPr>
              <w:t xml:space="preserve"> </w:t>
            </w:r>
            <w:r w:rsidRPr="00444F2C">
              <w:rPr>
                <w:sz w:val="22"/>
                <w:szCs w:val="22"/>
              </w:rPr>
              <w:t>R&amp;D</w:t>
            </w:r>
          </w:p>
        </w:tc>
      </w:tr>
      <w:tr w:rsidR="0064475B" w:rsidRPr="00444F2C" w14:paraId="6DB196A8" w14:textId="77777777" w:rsidTr="00845E8E">
        <w:tc>
          <w:tcPr>
            <w:tcW w:w="0" w:type="auto"/>
            <w:vAlign w:val="center"/>
          </w:tcPr>
          <w:p w14:paraId="491D5788" w14:textId="36A672C2" w:rsidR="0064475B" w:rsidRDefault="00A11989" w:rsidP="00845E8E">
            <w:pPr>
              <w:jc w:val="center"/>
              <w:rPr>
                <w:sz w:val="22"/>
                <w:szCs w:val="22"/>
              </w:rPr>
            </w:pPr>
            <w:r>
              <w:rPr>
                <w:sz w:val="22"/>
                <w:szCs w:val="22"/>
              </w:rPr>
              <w:t>42</w:t>
            </w:r>
            <w:r w:rsidR="0064475B">
              <w:rPr>
                <w:sz w:val="22"/>
                <w:szCs w:val="22"/>
              </w:rPr>
              <w:t>%</w:t>
            </w:r>
          </w:p>
        </w:tc>
        <w:tc>
          <w:tcPr>
            <w:tcW w:w="0" w:type="auto"/>
            <w:vAlign w:val="center"/>
          </w:tcPr>
          <w:p w14:paraId="39EFE7F4" w14:textId="5D489C2D" w:rsidR="0064475B" w:rsidRDefault="0064475B" w:rsidP="00845E8E">
            <w:pPr>
              <w:jc w:val="center"/>
              <w:rPr>
                <w:sz w:val="22"/>
                <w:szCs w:val="22"/>
              </w:rPr>
            </w:pPr>
            <w:r>
              <w:rPr>
                <w:sz w:val="22"/>
                <w:szCs w:val="22"/>
              </w:rPr>
              <w:t>4</w:t>
            </w:r>
            <w:r w:rsidR="00370376">
              <w:rPr>
                <w:sz w:val="22"/>
                <w:szCs w:val="22"/>
              </w:rPr>
              <w:t>0</w:t>
            </w:r>
            <w:r>
              <w:rPr>
                <w:sz w:val="22"/>
                <w:szCs w:val="22"/>
              </w:rPr>
              <w:t>%</w:t>
            </w:r>
          </w:p>
        </w:tc>
        <w:tc>
          <w:tcPr>
            <w:tcW w:w="0" w:type="auto"/>
            <w:vAlign w:val="center"/>
          </w:tcPr>
          <w:p w14:paraId="23146F60" w14:textId="03542660" w:rsidR="0064475B" w:rsidRPr="00444F2C" w:rsidRDefault="0064475B" w:rsidP="00845E8E">
            <w:pPr>
              <w:jc w:val="center"/>
              <w:rPr>
                <w:sz w:val="22"/>
                <w:szCs w:val="22"/>
              </w:rPr>
            </w:pPr>
            <w:r>
              <w:rPr>
                <w:sz w:val="22"/>
                <w:szCs w:val="22"/>
              </w:rPr>
              <w:t>1</w:t>
            </w:r>
            <w:r w:rsidR="00466BCF">
              <w:rPr>
                <w:sz w:val="22"/>
                <w:szCs w:val="22"/>
              </w:rPr>
              <w:t>8</w:t>
            </w:r>
            <w:r>
              <w:rPr>
                <w:sz w:val="22"/>
                <w:szCs w:val="22"/>
              </w:rPr>
              <w:t>%</w:t>
            </w:r>
          </w:p>
        </w:tc>
        <w:tc>
          <w:tcPr>
            <w:tcW w:w="957" w:type="dxa"/>
            <w:vAlign w:val="center"/>
          </w:tcPr>
          <w:p w14:paraId="3DEBA7FA" w14:textId="11845E39" w:rsidR="0064475B" w:rsidRPr="0064475B" w:rsidRDefault="0064475B" w:rsidP="00845E8E">
            <w:pPr>
              <w:jc w:val="center"/>
              <w:rPr>
                <w:b/>
                <w:bCs/>
                <w:sz w:val="22"/>
                <w:szCs w:val="22"/>
              </w:rPr>
            </w:pPr>
            <w:r w:rsidRPr="0064475B">
              <w:rPr>
                <w:b/>
                <w:bCs/>
                <w:sz w:val="22"/>
                <w:szCs w:val="22"/>
              </w:rPr>
              <w:t>8</w:t>
            </w:r>
            <w:r w:rsidR="000A0178">
              <w:rPr>
                <w:b/>
                <w:bCs/>
                <w:sz w:val="22"/>
                <w:szCs w:val="22"/>
              </w:rPr>
              <w:t>2</w:t>
            </w:r>
            <w:r w:rsidRPr="0064475B">
              <w:rPr>
                <w:b/>
                <w:bCs/>
                <w:sz w:val="22"/>
                <w:szCs w:val="22"/>
              </w:rPr>
              <w:t>%</w:t>
            </w:r>
          </w:p>
        </w:tc>
        <w:tc>
          <w:tcPr>
            <w:tcW w:w="4230" w:type="dxa"/>
            <w:vAlign w:val="center"/>
          </w:tcPr>
          <w:p w14:paraId="620179FC" w14:textId="46CCE7F6" w:rsidR="0064475B" w:rsidRPr="00444F2C" w:rsidRDefault="0064475B" w:rsidP="009F33D2">
            <w:pPr>
              <w:rPr>
                <w:sz w:val="22"/>
                <w:szCs w:val="22"/>
              </w:rPr>
            </w:pPr>
            <w:r w:rsidRPr="00444F2C">
              <w:rPr>
                <w:sz w:val="22"/>
                <w:szCs w:val="22"/>
              </w:rPr>
              <w:t>A13.</w:t>
            </w:r>
            <w:r>
              <w:rPr>
                <w:sz w:val="22"/>
                <w:szCs w:val="22"/>
              </w:rPr>
              <w:t xml:space="preserve"> </w:t>
            </w:r>
            <w:r w:rsidRPr="00444F2C">
              <w:rPr>
                <w:sz w:val="22"/>
                <w:szCs w:val="22"/>
              </w:rPr>
              <w:t>Digitalization</w:t>
            </w:r>
          </w:p>
        </w:tc>
      </w:tr>
      <w:tr w:rsidR="0064475B" w:rsidRPr="00444F2C" w14:paraId="3C9C2AF6" w14:textId="77777777" w:rsidTr="00845E8E">
        <w:tc>
          <w:tcPr>
            <w:tcW w:w="0" w:type="auto"/>
            <w:vAlign w:val="center"/>
          </w:tcPr>
          <w:p w14:paraId="15C0EC8C" w14:textId="76A4A22A" w:rsidR="0064475B" w:rsidRDefault="00A11989" w:rsidP="00845E8E">
            <w:pPr>
              <w:jc w:val="center"/>
              <w:rPr>
                <w:sz w:val="22"/>
                <w:szCs w:val="22"/>
              </w:rPr>
            </w:pPr>
            <w:r>
              <w:rPr>
                <w:sz w:val="22"/>
                <w:szCs w:val="22"/>
              </w:rPr>
              <w:t>22</w:t>
            </w:r>
            <w:r w:rsidR="0064475B">
              <w:rPr>
                <w:sz w:val="22"/>
                <w:szCs w:val="22"/>
              </w:rPr>
              <w:t>%</w:t>
            </w:r>
          </w:p>
        </w:tc>
        <w:tc>
          <w:tcPr>
            <w:tcW w:w="0" w:type="auto"/>
            <w:vAlign w:val="center"/>
          </w:tcPr>
          <w:p w14:paraId="00C8DC26" w14:textId="1A0FD329" w:rsidR="0064475B" w:rsidRDefault="0064475B" w:rsidP="00845E8E">
            <w:pPr>
              <w:jc w:val="center"/>
              <w:rPr>
                <w:sz w:val="22"/>
                <w:szCs w:val="22"/>
              </w:rPr>
            </w:pPr>
            <w:r>
              <w:rPr>
                <w:sz w:val="22"/>
                <w:szCs w:val="22"/>
              </w:rPr>
              <w:t>4</w:t>
            </w:r>
            <w:r w:rsidR="00370376">
              <w:rPr>
                <w:sz w:val="22"/>
                <w:szCs w:val="22"/>
              </w:rPr>
              <w:t>1</w:t>
            </w:r>
            <w:r>
              <w:rPr>
                <w:sz w:val="22"/>
                <w:szCs w:val="22"/>
              </w:rPr>
              <w:t>%</w:t>
            </w:r>
          </w:p>
        </w:tc>
        <w:tc>
          <w:tcPr>
            <w:tcW w:w="0" w:type="auto"/>
            <w:vAlign w:val="center"/>
          </w:tcPr>
          <w:p w14:paraId="50ED8A44" w14:textId="0D4D054A" w:rsidR="0064475B" w:rsidRPr="00444F2C" w:rsidRDefault="0064475B" w:rsidP="00845E8E">
            <w:pPr>
              <w:jc w:val="center"/>
              <w:rPr>
                <w:sz w:val="22"/>
                <w:szCs w:val="22"/>
              </w:rPr>
            </w:pPr>
            <w:r>
              <w:rPr>
                <w:sz w:val="22"/>
                <w:szCs w:val="22"/>
              </w:rPr>
              <w:t>3</w:t>
            </w:r>
            <w:r w:rsidR="00466BCF">
              <w:rPr>
                <w:sz w:val="22"/>
                <w:szCs w:val="22"/>
              </w:rPr>
              <w:t>7</w:t>
            </w:r>
            <w:r>
              <w:rPr>
                <w:sz w:val="22"/>
                <w:szCs w:val="22"/>
              </w:rPr>
              <w:t>%</w:t>
            </w:r>
          </w:p>
        </w:tc>
        <w:tc>
          <w:tcPr>
            <w:tcW w:w="957" w:type="dxa"/>
            <w:vAlign w:val="center"/>
          </w:tcPr>
          <w:p w14:paraId="5377D661" w14:textId="3544D165" w:rsidR="0064475B" w:rsidRPr="0064475B" w:rsidRDefault="0064475B" w:rsidP="00845E8E">
            <w:pPr>
              <w:jc w:val="center"/>
              <w:rPr>
                <w:b/>
                <w:bCs/>
                <w:sz w:val="22"/>
                <w:szCs w:val="22"/>
              </w:rPr>
            </w:pPr>
            <w:r w:rsidRPr="0064475B">
              <w:rPr>
                <w:b/>
                <w:bCs/>
                <w:sz w:val="22"/>
                <w:szCs w:val="22"/>
              </w:rPr>
              <w:t>6</w:t>
            </w:r>
            <w:r w:rsidR="000A0178">
              <w:rPr>
                <w:b/>
                <w:bCs/>
                <w:sz w:val="22"/>
                <w:szCs w:val="22"/>
              </w:rPr>
              <w:t>3</w:t>
            </w:r>
            <w:r w:rsidRPr="0064475B">
              <w:rPr>
                <w:b/>
                <w:bCs/>
                <w:sz w:val="22"/>
                <w:szCs w:val="22"/>
              </w:rPr>
              <w:t>%</w:t>
            </w:r>
          </w:p>
        </w:tc>
        <w:tc>
          <w:tcPr>
            <w:tcW w:w="4230" w:type="dxa"/>
            <w:vAlign w:val="center"/>
          </w:tcPr>
          <w:p w14:paraId="43DE2772" w14:textId="4E23EE3F" w:rsidR="0064475B" w:rsidRPr="00444F2C" w:rsidRDefault="0064475B" w:rsidP="009F33D2">
            <w:pPr>
              <w:rPr>
                <w:sz w:val="22"/>
                <w:szCs w:val="22"/>
              </w:rPr>
            </w:pPr>
            <w:r w:rsidRPr="00444F2C">
              <w:rPr>
                <w:sz w:val="22"/>
                <w:szCs w:val="22"/>
              </w:rPr>
              <w:t>A14.</w:t>
            </w:r>
            <w:r>
              <w:rPr>
                <w:sz w:val="22"/>
                <w:szCs w:val="22"/>
              </w:rPr>
              <w:t xml:space="preserve"> </w:t>
            </w:r>
            <w:r w:rsidRPr="00444F2C">
              <w:rPr>
                <w:sz w:val="22"/>
                <w:szCs w:val="22"/>
              </w:rPr>
              <w:t>Gender</w:t>
            </w:r>
          </w:p>
        </w:tc>
      </w:tr>
      <w:tr w:rsidR="0064475B" w:rsidRPr="00444F2C" w14:paraId="08C96417" w14:textId="77777777" w:rsidTr="00845E8E">
        <w:tc>
          <w:tcPr>
            <w:tcW w:w="0" w:type="auto"/>
            <w:vAlign w:val="center"/>
          </w:tcPr>
          <w:p w14:paraId="706840F4" w14:textId="10EF9A88" w:rsidR="0064475B" w:rsidRDefault="00A11989" w:rsidP="00845E8E">
            <w:pPr>
              <w:jc w:val="center"/>
              <w:rPr>
                <w:sz w:val="22"/>
                <w:szCs w:val="22"/>
              </w:rPr>
            </w:pPr>
            <w:r>
              <w:rPr>
                <w:sz w:val="22"/>
                <w:szCs w:val="22"/>
              </w:rPr>
              <w:t>20</w:t>
            </w:r>
            <w:r w:rsidR="0064475B">
              <w:rPr>
                <w:sz w:val="22"/>
                <w:szCs w:val="22"/>
              </w:rPr>
              <w:t>%</w:t>
            </w:r>
          </w:p>
        </w:tc>
        <w:tc>
          <w:tcPr>
            <w:tcW w:w="0" w:type="auto"/>
            <w:vAlign w:val="center"/>
          </w:tcPr>
          <w:p w14:paraId="2C298FC2" w14:textId="4FEF28E8" w:rsidR="0064475B" w:rsidRDefault="0064475B" w:rsidP="00845E8E">
            <w:pPr>
              <w:jc w:val="center"/>
              <w:rPr>
                <w:sz w:val="22"/>
                <w:szCs w:val="22"/>
              </w:rPr>
            </w:pPr>
            <w:r>
              <w:rPr>
                <w:sz w:val="22"/>
                <w:szCs w:val="22"/>
              </w:rPr>
              <w:t>3</w:t>
            </w:r>
            <w:r w:rsidR="00370376">
              <w:rPr>
                <w:sz w:val="22"/>
                <w:szCs w:val="22"/>
              </w:rPr>
              <w:t>1</w:t>
            </w:r>
            <w:r>
              <w:rPr>
                <w:sz w:val="22"/>
                <w:szCs w:val="22"/>
              </w:rPr>
              <w:t>%</w:t>
            </w:r>
          </w:p>
        </w:tc>
        <w:tc>
          <w:tcPr>
            <w:tcW w:w="0" w:type="auto"/>
            <w:vAlign w:val="center"/>
          </w:tcPr>
          <w:p w14:paraId="4E290472" w14:textId="6DC711D5" w:rsidR="0064475B" w:rsidRPr="00444F2C" w:rsidRDefault="00466BCF" w:rsidP="00845E8E">
            <w:pPr>
              <w:jc w:val="center"/>
              <w:rPr>
                <w:sz w:val="22"/>
                <w:szCs w:val="22"/>
              </w:rPr>
            </w:pPr>
            <w:r>
              <w:rPr>
                <w:sz w:val="22"/>
                <w:szCs w:val="22"/>
              </w:rPr>
              <w:t>49</w:t>
            </w:r>
            <w:r w:rsidR="0064475B">
              <w:rPr>
                <w:sz w:val="22"/>
                <w:szCs w:val="22"/>
              </w:rPr>
              <w:t>%</w:t>
            </w:r>
          </w:p>
        </w:tc>
        <w:tc>
          <w:tcPr>
            <w:tcW w:w="957" w:type="dxa"/>
            <w:vAlign w:val="center"/>
          </w:tcPr>
          <w:p w14:paraId="53769E30" w14:textId="6AF0E9FB" w:rsidR="0064475B" w:rsidRPr="0064475B" w:rsidRDefault="000A0178" w:rsidP="00845E8E">
            <w:pPr>
              <w:jc w:val="center"/>
              <w:rPr>
                <w:b/>
                <w:bCs/>
                <w:sz w:val="22"/>
                <w:szCs w:val="22"/>
              </w:rPr>
            </w:pPr>
            <w:r>
              <w:rPr>
                <w:b/>
                <w:bCs/>
                <w:sz w:val="22"/>
                <w:szCs w:val="22"/>
              </w:rPr>
              <w:t>51</w:t>
            </w:r>
            <w:r w:rsidR="0064475B" w:rsidRPr="0064475B">
              <w:rPr>
                <w:b/>
                <w:bCs/>
                <w:sz w:val="22"/>
                <w:szCs w:val="22"/>
              </w:rPr>
              <w:t>%</w:t>
            </w:r>
          </w:p>
        </w:tc>
        <w:tc>
          <w:tcPr>
            <w:tcW w:w="4230" w:type="dxa"/>
            <w:vAlign w:val="center"/>
          </w:tcPr>
          <w:p w14:paraId="169C6488" w14:textId="5089D9D5" w:rsidR="0064475B" w:rsidRPr="00444F2C" w:rsidRDefault="0064475B" w:rsidP="009F33D2">
            <w:pPr>
              <w:rPr>
                <w:sz w:val="22"/>
                <w:szCs w:val="22"/>
              </w:rPr>
            </w:pPr>
            <w:r w:rsidRPr="00444F2C">
              <w:rPr>
                <w:sz w:val="22"/>
                <w:szCs w:val="22"/>
              </w:rPr>
              <w:t>A15.</w:t>
            </w:r>
            <w:r>
              <w:rPr>
                <w:sz w:val="22"/>
                <w:szCs w:val="22"/>
              </w:rPr>
              <w:t xml:space="preserve"> </w:t>
            </w:r>
            <w:r w:rsidRPr="00444F2C">
              <w:rPr>
                <w:sz w:val="22"/>
                <w:szCs w:val="22"/>
              </w:rPr>
              <w:t>Indigenous peoples</w:t>
            </w:r>
          </w:p>
        </w:tc>
      </w:tr>
    </w:tbl>
    <w:p w14:paraId="4CC56D29" w14:textId="77777777" w:rsidR="008A66E4" w:rsidRDefault="008A66E4" w:rsidP="00485B5A">
      <w:pPr>
        <w:spacing w:after="0" w:line="240" w:lineRule="auto"/>
        <w:jc w:val="both"/>
        <w:rPr>
          <w:sz w:val="22"/>
          <w:szCs w:val="22"/>
        </w:rPr>
      </w:pPr>
    </w:p>
    <w:p w14:paraId="7395CE37" w14:textId="77777777" w:rsidR="008A66E4" w:rsidRDefault="008A66E4" w:rsidP="00485B5A">
      <w:pPr>
        <w:spacing w:after="0" w:line="240" w:lineRule="auto"/>
        <w:jc w:val="both"/>
        <w:rPr>
          <w:sz w:val="22"/>
          <w:szCs w:val="22"/>
        </w:rPr>
      </w:pPr>
    </w:p>
    <w:tbl>
      <w:tblPr>
        <w:tblStyle w:val="TableGrid"/>
        <w:tblW w:w="8095" w:type="dxa"/>
        <w:tblLook w:val="04A0" w:firstRow="1" w:lastRow="0" w:firstColumn="1" w:lastColumn="0" w:noHBand="0" w:noVBand="1"/>
      </w:tblPr>
      <w:tblGrid>
        <w:gridCol w:w="652"/>
        <w:gridCol w:w="633"/>
        <w:gridCol w:w="633"/>
        <w:gridCol w:w="957"/>
        <w:gridCol w:w="5220"/>
      </w:tblGrid>
      <w:tr w:rsidR="0064475B" w:rsidRPr="00444F2C" w14:paraId="78C78D30" w14:textId="77777777" w:rsidTr="00845E8E">
        <w:tc>
          <w:tcPr>
            <w:tcW w:w="0" w:type="auto"/>
            <w:shd w:val="clear" w:color="auto" w:fill="D9D9D9" w:themeFill="background1" w:themeFillShade="D9"/>
            <w:vAlign w:val="center"/>
          </w:tcPr>
          <w:p w14:paraId="16540853" w14:textId="32B24A83" w:rsidR="0064475B" w:rsidRDefault="0064475B" w:rsidP="00845E8E">
            <w:pPr>
              <w:jc w:val="center"/>
              <w:rPr>
                <w:sz w:val="22"/>
                <w:szCs w:val="22"/>
                <w:lang w:val="fr-FR"/>
              </w:rPr>
            </w:pPr>
            <w:r>
              <w:rPr>
                <w:sz w:val="22"/>
                <w:szCs w:val="22"/>
                <w:lang w:val="fr-FR"/>
              </w:rPr>
              <w:t>High</w:t>
            </w:r>
          </w:p>
        </w:tc>
        <w:tc>
          <w:tcPr>
            <w:tcW w:w="0" w:type="auto"/>
            <w:shd w:val="clear" w:color="auto" w:fill="D9D9D9" w:themeFill="background1" w:themeFillShade="D9"/>
            <w:vAlign w:val="center"/>
          </w:tcPr>
          <w:p w14:paraId="30D01D2A" w14:textId="78EF8149" w:rsidR="0064475B" w:rsidRDefault="0064475B" w:rsidP="00845E8E">
            <w:pPr>
              <w:jc w:val="center"/>
              <w:rPr>
                <w:sz w:val="22"/>
                <w:szCs w:val="22"/>
                <w:lang w:val="fr-FR"/>
              </w:rPr>
            </w:pPr>
            <w:r>
              <w:rPr>
                <w:sz w:val="22"/>
                <w:szCs w:val="22"/>
                <w:lang w:val="fr-FR"/>
              </w:rPr>
              <w:t>Med</w:t>
            </w:r>
          </w:p>
        </w:tc>
        <w:tc>
          <w:tcPr>
            <w:tcW w:w="0" w:type="auto"/>
            <w:shd w:val="clear" w:color="auto" w:fill="D9D9D9" w:themeFill="background1" w:themeFillShade="D9"/>
            <w:vAlign w:val="center"/>
          </w:tcPr>
          <w:p w14:paraId="3AFB92E6" w14:textId="7AD149D5" w:rsidR="0064475B" w:rsidRDefault="0064475B" w:rsidP="00845E8E">
            <w:pPr>
              <w:jc w:val="center"/>
              <w:rPr>
                <w:sz w:val="22"/>
                <w:szCs w:val="22"/>
                <w:lang w:val="fr-FR"/>
              </w:rPr>
            </w:pPr>
            <w:r>
              <w:rPr>
                <w:sz w:val="22"/>
                <w:szCs w:val="22"/>
                <w:lang w:val="fr-FR"/>
              </w:rPr>
              <w:t>Low</w:t>
            </w:r>
          </w:p>
        </w:tc>
        <w:tc>
          <w:tcPr>
            <w:tcW w:w="957" w:type="dxa"/>
            <w:shd w:val="clear" w:color="auto" w:fill="D9D9D9" w:themeFill="background1" w:themeFillShade="D9"/>
            <w:vAlign w:val="center"/>
          </w:tcPr>
          <w:p w14:paraId="25B7C2BE" w14:textId="762B56E0" w:rsidR="0064475B" w:rsidRPr="00444F2C" w:rsidRDefault="00C9069C" w:rsidP="00845E8E">
            <w:pPr>
              <w:jc w:val="center"/>
              <w:rPr>
                <w:sz w:val="22"/>
                <w:szCs w:val="22"/>
                <w:lang w:val="fr-FR"/>
              </w:rPr>
            </w:pPr>
            <w:r w:rsidRPr="00223269">
              <w:rPr>
                <w:b/>
                <w:bCs/>
                <w:sz w:val="22"/>
                <w:szCs w:val="22"/>
              </w:rPr>
              <w:t>H</w:t>
            </w:r>
            <w:r>
              <w:rPr>
                <w:b/>
                <w:bCs/>
                <w:sz w:val="22"/>
                <w:szCs w:val="22"/>
              </w:rPr>
              <w:t>/</w:t>
            </w:r>
            <w:r w:rsidRPr="00223269">
              <w:rPr>
                <w:b/>
                <w:bCs/>
                <w:sz w:val="22"/>
                <w:szCs w:val="22"/>
              </w:rPr>
              <w:t>M</w:t>
            </w:r>
          </w:p>
        </w:tc>
        <w:tc>
          <w:tcPr>
            <w:tcW w:w="5220" w:type="dxa"/>
            <w:shd w:val="clear" w:color="auto" w:fill="D9D9D9" w:themeFill="background1" w:themeFillShade="D9"/>
            <w:vAlign w:val="center"/>
          </w:tcPr>
          <w:p w14:paraId="603F55B3" w14:textId="13F47EF9" w:rsidR="0064475B" w:rsidRPr="00444F2C" w:rsidRDefault="0064475B" w:rsidP="009F33D2">
            <w:pPr>
              <w:rPr>
                <w:sz w:val="22"/>
                <w:szCs w:val="22"/>
                <w:lang w:val="fr-FR"/>
              </w:rPr>
            </w:pPr>
          </w:p>
        </w:tc>
      </w:tr>
      <w:tr w:rsidR="009275F7" w:rsidRPr="00E35EED" w14:paraId="1B616540" w14:textId="77777777" w:rsidTr="0018664A">
        <w:tc>
          <w:tcPr>
            <w:tcW w:w="0" w:type="auto"/>
            <w:vAlign w:val="center"/>
          </w:tcPr>
          <w:p w14:paraId="34195887" w14:textId="7758AE1F" w:rsidR="009275F7" w:rsidRPr="00DD643B" w:rsidRDefault="009275F7" w:rsidP="0018664A">
            <w:pPr>
              <w:jc w:val="center"/>
              <w:rPr>
                <w:sz w:val="22"/>
                <w:szCs w:val="22"/>
                <w:lang w:val="fr-FR"/>
              </w:rPr>
            </w:pPr>
            <w:r w:rsidRPr="00DD643B">
              <w:rPr>
                <w:sz w:val="22"/>
                <w:szCs w:val="22"/>
              </w:rPr>
              <w:t>5</w:t>
            </w:r>
            <w:r w:rsidR="00A11989">
              <w:rPr>
                <w:sz w:val="22"/>
                <w:szCs w:val="22"/>
              </w:rPr>
              <w:t>7</w:t>
            </w:r>
            <w:r w:rsidRPr="00DD643B">
              <w:rPr>
                <w:sz w:val="22"/>
                <w:szCs w:val="22"/>
              </w:rPr>
              <w:t>%</w:t>
            </w:r>
          </w:p>
        </w:tc>
        <w:tc>
          <w:tcPr>
            <w:tcW w:w="0" w:type="auto"/>
            <w:vAlign w:val="center"/>
          </w:tcPr>
          <w:p w14:paraId="24C99B4C" w14:textId="4FADEBE6" w:rsidR="009275F7" w:rsidRPr="00217732" w:rsidRDefault="009275F7" w:rsidP="0018664A">
            <w:pPr>
              <w:jc w:val="center"/>
              <w:rPr>
                <w:sz w:val="22"/>
                <w:szCs w:val="22"/>
                <w:lang w:val="fr-FR"/>
              </w:rPr>
            </w:pPr>
            <w:r w:rsidRPr="00217732">
              <w:rPr>
                <w:sz w:val="22"/>
                <w:szCs w:val="22"/>
              </w:rPr>
              <w:t>3</w:t>
            </w:r>
            <w:r w:rsidR="00E24963">
              <w:rPr>
                <w:sz w:val="22"/>
                <w:szCs w:val="22"/>
              </w:rPr>
              <w:t>7</w:t>
            </w:r>
            <w:r w:rsidRPr="00217732">
              <w:rPr>
                <w:sz w:val="22"/>
                <w:szCs w:val="22"/>
              </w:rPr>
              <w:t>%</w:t>
            </w:r>
          </w:p>
        </w:tc>
        <w:tc>
          <w:tcPr>
            <w:tcW w:w="0" w:type="auto"/>
            <w:vAlign w:val="center"/>
          </w:tcPr>
          <w:p w14:paraId="1A4AA329" w14:textId="528080DF" w:rsidR="009275F7" w:rsidRPr="00B71578" w:rsidRDefault="009275F7" w:rsidP="0018664A">
            <w:pPr>
              <w:jc w:val="center"/>
              <w:rPr>
                <w:sz w:val="22"/>
                <w:szCs w:val="22"/>
                <w:lang w:val="fr-FR"/>
              </w:rPr>
            </w:pPr>
            <w:r w:rsidRPr="00B71578">
              <w:rPr>
                <w:sz w:val="22"/>
                <w:szCs w:val="22"/>
              </w:rPr>
              <w:t>6%</w:t>
            </w:r>
          </w:p>
        </w:tc>
        <w:tc>
          <w:tcPr>
            <w:tcW w:w="957" w:type="dxa"/>
            <w:vAlign w:val="center"/>
          </w:tcPr>
          <w:p w14:paraId="7EAE9064" w14:textId="0048FBE5" w:rsidR="009275F7" w:rsidRPr="009275F7" w:rsidRDefault="009275F7" w:rsidP="0018664A">
            <w:pPr>
              <w:jc w:val="center"/>
              <w:rPr>
                <w:b/>
                <w:bCs/>
                <w:sz w:val="22"/>
                <w:szCs w:val="22"/>
              </w:rPr>
            </w:pPr>
            <w:r w:rsidRPr="009275F7">
              <w:rPr>
                <w:b/>
                <w:bCs/>
                <w:sz w:val="22"/>
                <w:szCs w:val="22"/>
              </w:rPr>
              <w:t>94%</w:t>
            </w:r>
          </w:p>
        </w:tc>
        <w:tc>
          <w:tcPr>
            <w:tcW w:w="5220" w:type="dxa"/>
            <w:vAlign w:val="center"/>
          </w:tcPr>
          <w:p w14:paraId="3C621F8E" w14:textId="0FE5D1CE" w:rsidR="009275F7" w:rsidRPr="00444F2C" w:rsidRDefault="009275F7" w:rsidP="009F33D2">
            <w:pPr>
              <w:rPr>
                <w:sz w:val="22"/>
                <w:szCs w:val="22"/>
                <w:lang w:val="fr-FR"/>
              </w:rPr>
            </w:pPr>
            <w:r w:rsidRPr="00444F2C">
              <w:rPr>
                <w:sz w:val="22"/>
                <w:szCs w:val="22"/>
                <w:lang w:val="fr-FR"/>
              </w:rPr>
              <w:t>B1.</w:t>
            </w:r>
            <w:r>
              <w:rPr>
                <w:sz w:val="22"/>
                <w:szCs w:val="22"/>
                <w:lang w:val="fr-FR"/>
              </w:rPr>
              <w:t xml:space="preserve"> </w:t>
            </w:r>
            <w:r w:rsidRPr="00444F2C">
              <w:rPr>
                <w:sz w:val="22"/>
                <w:szCs w:val="22"/>
                <w:lang w:val="fr-FR"/>
              </w:rPr>
              <w:t>COFOG structure/classification principles</w:t>
            </w:r>
          </w:p>
        </w:tc>
      </w:tr>
      <w:tr w:rsidR="009275F7" w:rsidRPr="00444F2C" w14:paraId="7BA7CBF5" w14:textId="77777777" w:rsidTr="0018664A">
        <w:tc>
          <w:tcPr>
            <w:tcW w:w="0" w:type="auto"/>
            <w:vAlign w:val="center"/>
          </w:tcPr>
          <w:p w14:paraId="7833975E" w14:textId="4556BFB1" w:rsidR="009275F7" w:rsidRPr="00DD643B" w:rsidRDefault="00A11989" w:rsidP="0018664A">
            <w:pPr>
              <w:jc w:val="center"/>
              <w:rPr>
                <w:sz w:val="22"/>
                <w:szCs w:val="22"/>
                <w:lang w:val="fr-FR"/>
              </w:rPr>
            </w:pPr>
            <w:r>
              <w:rPr>
                <w:sz w:val="22"/>
                <w:szCs w:val="22"/>
              </w:rPr>
              <w:t>40</w:t>
            </w:r>
            <w:r w:rsidR="009275F7" w:rsidRPr="00DD643B">
              <w:rPr>
                <w:sz w:val="22"/>
                <w:szCs w:val="22"/>
              </w:rPr>
              <w:t>%</w:t>
            </w:r>
          </w:p>
        </w:tc>
        <w:tc>
          <w:tcPr>
            <w:tcW w:w="0" w:type="auto"/>
            <w:vAlign w:val="center"/>
          </w:tcPr>
          <w:p w14:paraId="6A221369" w14:textId="4E38C094" w:rsidR="009275F7" w:rsidRPr="00217732" w:rsidRDefault="00E24963" w:rsidP="0018664A">
            <w:pPr>
              <w:jc w:val="center"/>
              <w:rPr>
                <w:sz w:val="22"/>
                <w:szCs w:val="22"/>
                <w:lang w:val="fr-FR"/>
              </w:rPr>
            </w:pPr>
            <w:r>
              <w:rPr>
                <w:sz w:val="22"/>
                <w:szCs w:val="22"/>
              </w:rPr>
              <w:t>48</w:t>
            </w:r>
            <w:r w:rsidR="009275F7" w:rsidRPr="00217732">
              <w:rPr>
                <w:sz w:val="22"/>
                <w:szCs w:val="22"/>
              </w:rPr>
              <w:t>%</w:t>
            </w:r>
          </w:p>
        </w:tc>
        <w:tc>
          <w:tcPr>
            <w:tcW w:w="0" w:type="auto"/>
            <w:vAlign w:val="center"/>
          </w:tcPr>
          <w:p w14:paraId="027619DA" w14:textId="7E7E709B" w:rsidR="009275F7" w:rsidRPr="00B71578" w:rsidRDefault="009275F7" w:rsidP="0018664A">
            <w:pPr>
              <w:jc w:val="center"/>
              <w:rPr>
                <w:sz w:val="22"/>
                <w:szCs w:val="22"/>
                <w:lang w:val="fr-FR"/>
              </w:rPr>
            </w:pPr>
            <w:r w:rsidRPr="00B71578">
              <w:rPr>
                <w:sz w:val="22"/>
                <w:szCs w:val="22"/>
              </w:rPr>
              <w:t>13%</w:t>
            </w:r>
          </w:p>
        </w:tc>
        <w:tc>
          <w:tcPr>
            <w:tcW w:w="957" w:type="dxa"/>
            <w:vAlign w:val="center"/>
          </w:tcPr>
          <w:p w14:paraId="17D012ED" w14:textId="187CEDAD" w:rsidR="009275F7" w:rsidRPr="009275F7" w:rsidRDefault="009275F7" w:rsidP="0018664A">
            <w:pPr>
              <w:jc w:val="center"/>
              <w:rPr>
                <w:b/>
                <w:bCs/>
                <w:sz w:val="22"/>
                <w:szCs w:val="22"/>
              </w:rPr>
            </w:pPr>
            <w:r w:rsidRPr="009275F7">
              <w:rPr>
                <w:b/>
                <w:bCs/>
                <w:sz w:val="22"/>
                <w:szCs w:val="22"/>
              </w:rPr>
              <w:t>8</w:t>
            </w:r>
            <w:r w:rsidR="000A1233">
              <w:rPr>
                <w:b/>
                <w:bCs/>
                <w:sz w:val="22"/>
                <w:szCs w:val="22"/>
              </w:rPr>
              <w:t>8</w:t>
            </w:r>
            <w:r w:rsidRPr="009275F7">
              <w:rPr>
                <w:b/>
                <w:bCs/>
                <w:sz w:val="22"/>
                <w:szCs w:val="22"/>
              </w:rPr>
              <w:t>%</w:t>
            </w:r>
          </w:p>
        </w:tc>
        <w:tc>
          <w:tcPr>
            <w:tcW w:w="5220" w:type="dxa"/>
            <w:vAlign w:val="center"/>
          </w:tcPr>
          <w:p w14:paraId="07CA6C42" w14:textId="41F96623" w:rsidR="009275F7" w:rsidRPr="00444F2C" w:rsidRDefault="009275F7" w:rsidP="009F33D2">
            <w:pPr>
              <w:rPr>
                <w:sz w:val="22"/>
                <w:szCs w:val="22"/>
              </w:rPr>
            </w:pPr>
            <w:r w:rsidRPr="00444F2C">
              <w:rPr>
                <w:sz w:val="22"/>
                <w:szCs w:val="22"/>
              </w:rPr>
              <w:t>B2.</w:t>
            </w:r>
            <w:r>
              <w:rPr>
                <w:sz w:val="22"/>
                <w:szCs w:val="22"/>
              </w:rPr>
              <w:t xml:space="preserve"> </w:t>
            </w:r>
            <w:r w:rsidRPr="00444F2C">
              <w:rPr>
                <w:sz w:val="22"/>
                <w:szCs w:val="22"/>
              </w:rPr>
              <w:t>Primary/secondary purpose</w:t>
            </w:r>
          </w:p>
        </w:tc>
      </w:tr>
      <w:tr w:rsidR="009275F7" w:rsidRPr="00444F2C" w14:paraId="7D1DA3C7" w14:textId="77777777" w:rsidTr="0018664A">
        <w:tc>
          <w:tcPr>
            <w:tcW w:w="0" w:type="auto"/>
            <w:vAlign w:val="center"/>
          </w:tcPr>
          <w:p w14:paraId="04001767" w14:textId="4E62E661" w:rsidR="009275F7" w:rsidRPr="00DD643B" w:rsidRDefault="009275F7" w:rsidP="0018664A">
            <w:pPr>
              <w:jc w:val="center"/>
              <w:rPr>
                <w:sz w:val="22"/>
                <w:szCs w:val="22"/>
                <w:lang w:val="fr-FR"/>
              </w:rPr>
            </w:pPr>
            <w:r w:rsidRPr="00DD643B">
              <w:rPr>
                <w:sz w:val="22"/>
                <w:szCs w:val="22"/>
              </w:rPr>
              <w:t>3</w:t>
            </w:r>
            <w:r w:rsidR="00A11989">
              <w:rPr>
                <w:sz w:val="22"/>
                <w:szCs w:val="22"/>
              </w:rPr>
              <w:t>3</w:t>
            </w:r>
            <w:r w:rsidRPr="00DD643B">
              <w:rPr>
                <w:sz w:val="22"/>
                <w:szCs w:val="22"/>
              </w:rPr>
              <w:t>%</w:t>
            </w:r>
          </w:p>
        </w:tc>
        <w:tc>
          <w:tcPr>
            <w:tcW w:w="0" w:type="auto"/>
            <w:vAlign w:val="center"/>
          </w:tcPr>
          <w:p w14:paraId="313CD0A7" w14:textId="39C07C49" w:rsidR="009275F7" w:rsidRPr="00217732" w:rsidRDefault="009275F7" w:rsidP="0018664A">
            <w:pPr>
              <w:jc w:val="center"/>
              <w:rPr>
                <w:sz w:val="22"/>
                <w:szCs w:val="22"/>
                <w:lang w:val="fr-FR"/>
              </w:rPr>
            </w:pPr>
            <w:r w:rsidRPr="00217732">
              <w:rPr>
                <w:sz w:val="22"/>
                <w:szCs w:val="22"/>
              </w:rPr>
              <w:t>4</w:t>
            </w:r>
            <w:r w:rsidR="00E24963">
              <w:rPr>
                <w:sz w:val="22"/>
                <w:szCs w:val="22"/>
              </w:rPr>
              <w:t>5</w:t>
            </w:r>
            <w:r w:rsidRPr="00217732">
              <w:rPr>
                <w:sz w:val="22"/>
                <w:szCs w:val="22"/>
              </w:rPr>
              <w:t>%</w:t>
            </w:r>
          </w:p>
        </w:tc>
        <w:tc>
          <w:tcPr>
            <w:tcW w:w="0" w:type="auto"/>
            <w:vAlign w:val="center"/>
          </w:tcPr>
          <w:p w14:paraId="6F487EBC" w14:textId="7C2489F9" w:rsidR="009275F7" w:rsidRPr="00B71578" w:rsidRDefault="009275F7" w:rsidP="0018664A">
            <w:pPr>
              <w:jc w:val="center"/>
              <w:rPr>
                <w:sz w:val="22"/>
                <w:szCs w:val="22"/>
              </w:rPr>
            </w:pPr>
            <w:r w:rsidRPr="00B71578">
              <w:rPr>
                <w:sz w:val="22"/>
                <w:szCs w:val="22"/>
              </w:rPr>
              <w:t>2</w:t>
            </w:r>
            <w:r w:rsidR="00466BCF">
              <w:rPr>
                <w:sz w:val="22"/>
                <w:szCs w:val="22"/>
              </w:rPr>
              <w:t>4</w:t>
            </w:r>
            <w:r w:rsidRPr="00B71578">
              <w:rPr>
                <w:sz w:val="22"/>
                <w:szCs w:val="22"/>
              </w:rPr>
              <w:t>%</w:t>
            </w:r>
          </w:p>
        </w:tc>
        <w:tc>
          <w:tcPr>
            <w:tcW w:w="957" w:type="dxa"/>
            <w:vAlign w:val="center"/>
          </w:tcPr>
          <w:p w14:paraId="70EA7FF3" w14:textId="55637950" w:rsidR="009275F7" w:rsidRPr="009275F7" w:rsidRDefault="009275F7" w:rsidP="0018664A">
            <w:pPr>
              <w:jc w:val="center"/>
              <w:rPr>
                <w:b/>
                <w:bCs/>
                <w:sz w:val="22"/>
                <w:szCs w:val="22"/>
              </w:rPr>
            </w:pPr>
            <w:r w:rsidRPr="009275F7">
              <w:rPr>
                <w:b/>
                <w:bCs/>
                <w:sz w:val="22"/>
                <w:szCs w:val="22"/>
              </w:rPr>
              <w:t>78%</w:t>
            </w:r>
          </w:p>
        </w:tc>
        <w:tc>
          <w:tcPr>
            <w:tcW w:w="5220" w:type="dxa"/>
            <w:vAlign w:val="center"/>
          </w:tcPr>
          <w:p w14:paraId="4B32F63F" w14:textId="7A4CD73F" w:rsidR="009275F7" w:rsidRPr="00444F2C" w:rsidRDefault="009275F7" w:rsidP="009F33D2">
            <w:pPr>
              <w:rPr>
                <w:sz w:val="22"/>
                <w:szCs w:val="22"/>
              </w:rPr>
            </w:pPr>
            <w:r w:rsidRPr="00444F2C">
              <w:rPr>
                <w:sz w:val="22"/>
                <w:szCs w:val="22"/>
              </w:rPr>
              <w:t>B3.</w:t>
            </w:r>
            <w:r>
              <w:rPr>
                <w:sz w:val="22"/>
                <w:szCs w:val="22"/>
              </w:rPr>
              <w:t xml:space="preserve"> </w:t>
            </w:r>
            <w:r w:rsidRPr="00444F2C">
              <w:rPr>
                <w:sz w:val="22"/>
                <w:szCs w:val="22"/>
              </w:rPr>
              <w:t>Additional uses of COFOG</w:t>
            </w:r>
          </w:p>
        </w:tc>
      </w:tr>
      <w:tr w:rsidR="009275F7" w:rsidRPr="00444F2C" w14:paraId="633429EC" w14:textId="77777777" w:rsidTr="0018664A">
        <w:tc>
          <w:tcPr>
            <w:tcW w:w="0" w:type="auto"/>
            <w:vAlign w:val="center"/>
          </w:tcPr>
          <w:p w14:paraId="2C7822D9" w14:textId="3395496D" w:rsidR="009275F7" w:rsidRPr="00DD643B" w:rsidRDefault="00F63719" w:rsidP="0018664A">
            <w:pPr>
              <w:jc w:val="center"/>
              <w:rPr>
                <w:sz w:val="22"/>
                <w:szCs w:val="22"/>
                <w:lang w:val="fr-FR"/>
              </w:rPr>
            </w:pPr>
            <w:r>
              <w:rPr>
                <w:sz w:val="22"/>
                <w:szCs w:val="22"/>
              </w:rPr>
              <w:t>50</w:t>
            </w:r>
            <w:r w:rsidR="009275F7" w:rsidRPr="00DD643B">
              <w:rPr>
                <w:sz w:val="22"/>
                <w:szCs w:val="22"/>
              </w:rPr>
              <w:t>%</w:t>
            </w:r>
          </w:p>
        </w:tc>
        <w:tc>
          <w:tcPr>
            <w:tcW w:w="0" w:type="auto"/>
            <w:vAlign w:val="center"/>
          </w:tcPr>
          <w:p w14:paraId="5E9A283D" w14:textId="6EED412F" w:rsidR="009275F7" w:rsidRPr="00217732" w:rsidRDefault="009275F7" w:rsidP="0018664A">
            <w:pPr>
              <w:jc w:val="center"/>
              <w:rPr>
                <w:sz w:val="22"/>
                <w:szCs w:val="22"/>
                <w:lang w:val="fr-FR"/>
              </w:rPr>
            </w:pPr>
            <w:r w:rsidRPr="00217732">
              <w:rPr>
                <w:sz w:val="22"/>
                <w:szCs w:val="22"/>
              </w:rPr>
              <w:t>3</w:t>
            </w:r>
            <w:r w:rsidR="00E24963">
              <w:rPr>
                <w:sz w:val="22"/>
                <w:szCs w:val="22"/>
              </w:rPr>
              <w:t>8</w:t>
            </w:r>
            <w:r w:rsidRPr="00217732">
              <w:rPr>
                <w:sz w:val="22"/>
                <w:szCs w:val="22"/>
              </w:rPr>
              <w:t>%</w:t>
            </w:r>
          </w:p>
        </w:tc>
        <w:tc>
          <w:tcPr>
            <w:tcW w:w="0" w:type="auto"/>
            <w:vAlign w:val="center"/>
          </w:tcPr>
          <w:p w14:paraId="752101C6" w14:textId="1F18CF96" w:rsidR="009275F7" w:rsidRPr="00B71578" w:rsidRDefault="009275F7" w:rsidP="0018664A">
            <w:pPr>
              <w:jc w:val="center"/>
              <w:rPr>
                <w:sz w:val="22"/>
                <w:szCs w:val="22"/>
              </w:rPr>
            </w:pPr>
            <w:r w:rsidRPr="00B71578">
              <w:rPr>
                <w:sz w:val="22"/>
                <w:szCs w:val="22"/>
              </w:rPr>
              <w:t>1</w:t>
            </w:r>
            <w:r w:rsidR="00466BCF">
              <w:rPr>
                <w:sz w:val="22"/>
                <w:szCs w:val="22"/>
              </w:rPr>
              <w:t>2</w:t>
            </w:r>
            <w:r w:rsidRPr="00B71578">
              <w:rPr>
                <w:sz w:val="22"/>
                <w:szCs w:val="22"/>
              </w:rPr>
              <w:t>%</w:t>
            </w:r>
          </w:p>
        </w:tc>
        <w:tc>
          <w:tcPr>
            <w:tcW w:w="957" w:type="dxa"/>
            <w:vAlign w:val="center"/>
          </w:tcPr>
          <w:p w14:paraId="245B3EAA" w14:textId="7B8EBB38" w:rsidR="009275F7" w:rsidRPr="009275F7" w:rsidRDefault="009275F7" w:rsidP="0018664A">
            <w:pPr>
              <w:jc w:val="center"/>
              <w:rPr>
                <w:b/>
                <w:bCs/>
                <w:sz w:val="22"/>
                <w:szCs w:val="22"/>
              </w:rPr>
            </w:pPr>
            <w:r w:rsidRPr="009275F7">
              <w:rPr>
                <w:b/>
                <w:bCs/>
                <w:sz w:val="22"/>
                <w:szCs w:val="22"/>
              </w:rPr>
              <w:t>8</w:t>
            </w:r>
            <w:r w:rsidR="000A1233">
              <w:rPr>
                <w:b/>
                <w:bCs/>
                <w:sz w:val="22"/>
                <w:szCs w:val="22"/>
              </w:rPr>
              <w:t>8</w:t>
            </w:r>
            <w:r w:rsidRPr="009275F7">
              <w:rPr>
                <w:b/>
                <w:bCs/>
                <w:sz w:val="22"/>
                <w:szCs w:val="22"/>
              </w:rPr>
              <w:t>%</w:t>
            </w:r>
          </w:p>
        </w:tc>
        <w:tc>
          <w:tcPr>
            <w:tcW w:w="5220" w:type="dxa"/>
            <w:vAlign w:val="center"/>
          </w:tcPr>
          <w:p w14:paraId="0E4E0C22" w14:textId="2B27790A" w:rsidR="009275F7" w:rsidRPr="00444F2C" w:rsidRDefault="009275F7" w:rsidP="009F33D2">
            <w:pPr>
              <w:rPr>
                <w:sz w:val="22"/>
                <w:szCs w:val="22"/>
              </w:rPr>
            </w:pPr>
            <w:r w:rsidRPr="00444F2C">
              <w:rPr>
                <w:sz w:val="22"/>
                <w:szCs w:val="22"/>
              </w:rPr>
              <w:t>B4.</w:t>
            </w:r>
            <w:r>
              <w:rPr>
                <w:sz w:val="22"/>
                <w:szCs w:val="22"/>
              </w:rPr>
              <w:t xml:space="preserve"> </w:t>
            </w:r>
            <w:r w:rsidRPr="00444F2C">
              <w:rPr>
                <w:sz w:val="22"/>
                <w:szCs w:val="22"/>
              </w:rPr>
              <w:t>Compilation issues</w:t>
            </w:r>
          </w:p>
        </w:tc>
      </w:tr>
      <w:tr w:rsidR="009275F7" w:rsidRPr="00444F2C" w14:paraId="2564686C" w14:textId="77777777" w:rsidTr="0018664A">
        <w:tc>
          <w:tcPr>
            <w:tcW w:w="0" w:type="auto"/>
            <w:vAlign w:val="center"/>
          </w:tcPr>
          <w:p w14:paraId="531B8099" w14:textId="347AEC26" w:rsidR="009275F7" w:rsidRPr="00DD643B" w:rsidRDefault="00F63719" w:rsidP="0018664A">
            <w:pPr>
              <w:jc w:val="center"/>
              <w:rPr>
                <w:sz w:val="22"/>
                <w:szCs w:val="22"/>
                <w:lang w:val="fr-FR"/>
              </w:rPr>
            </w:pPr>
            <w:r>
              <w:rPr>
                <w:sz w:val="22"/>
                <w:szCs w:val="22"/>
              </w:rPr>
              <w:t>50</w:t>
            </w:r>
            <w:r w:rsidR="009275F7" w:rsidRPr="00DD643B">
              <w:rPr>
                <w:sz w:val="22"/>
                <w:szCs w:val="22"/>
              </w:rPr>
              <w:t>%</w:t>
            </w:r>
          </w:p>
        </w:tc>
        <w:tc>
          <w:tcPr>
            <w:tcW w:w="0" w:type="auto"/>
            <w:vAlign w:val="center"/>
          </w:tcPr>
          <w:p w14:paraId="43759260" w14:textId="27302C9E" w:rsidR="009275F7" w:rsidRPr="00217732" w:rsidRDefault="009275F7" w:rsidP="0018664A">
            <w:pPr>
              <w:jc w:val="center"/>
              <w:rPr>
                <w:sz w:val="22"/>
                <w:szCs w:val="22"/>
                <w:lang w:val="fr-FR"/>
              </w:rPr>
            </w:pPr>
            <w:r w:rsidRPr="00217732">
              <w:rPr>
                <w:sz w:val="22"/>
                <w:szCs w:val="22"/>
              </w:rPr>
              <w:t>3</w:t>
            </w:r>
            <w:r w:rsidR="00E24963">
              <w:rPr>
                <w:sz w:val="22"/>
                <w:szCs w:val="22"/>
              </w:rPr>
              <w:t>0</w:t>
            </w:r>
            <w:r w:rsidRPr="00217732">
              <w:rPr>
                <w:sz w:val="22"/>
                <w:szCs w:val="22"/>
              </w:rPr>
              <w:t>%</w:t>
            </w:r>
          </w:p>
        </w:tc>
        <w:tc>
          <w:tcPr>
            <w:tcW w:w="0" w:type="auto"/>
            <w:vAlign w:val="center"/>
          </w:tcPr>
          <w:p w14:paraId="63393E11" w14:textId="1E8BCA82" w:rsidR="009275F7" w:rsidRPr="00B71578" w:rsidRDefault="009275F7" w:rsidP="0018664A">
            <w:pPr>
              <w:jc w:val="center"/>
              <w:rPr>
                <w:sz w:val="22"/>
                <w:szCs w:val="22"/>
              </w:rPr>
            </w:pPr>
            <w:r w:rsidRPr="00B71578">
              <w:rPr>
                <w:sz w:val="22"/>
                <w:szCs w:val="22"/>
              </w:rPr>
              <w:t>20%</w:t>
            </w:r>
          </w:p>
        </w:tc>
        <w:tc>
          <w:tcPr>
            <w:tcW w:w="957" w:type="dxa"/>
            <w:vAlign w:val="center"/>
          </w:tcPr>
          <w:p w14:paraId="78808B9F" w14:textId="3FBA01EB" w:rsidR="009275F7" w:rsidRPr="009275F7" w:rsidRDefault="000A1233" w:rsidP="0018664A">
            <w:pPr>
              <w:jc w:val="center"/>
              <w:rPr>
                <w:b/>
                <w:bCs/>
                <w:sz w:val="22"/>
                <w:szCs w:val="22"/>
              </w:rPr>
            </w:pPr>
            <w:r>
              <w:rPr>
                <w:b/>
                <w:bCs/>
                <w:sz w:val="22"/>
                <w:szCs w:val="22"/>
              </w:rPr>
              <w:t>80</w:t>
            </w:r>
            <w:r w:rsidR="009275F7" w:rsidRPr="009275F7">
              <w:rPr>
                <w:b/>
                <w:bCs/>
                <w:sz w:val="22"/>
                <w:szCs w:val="22"/>
              </w:rPr>
              <w:t>%</w:t>
            </w:r>
          </w:p>
        </w:tc>
        <w:tc>
          <w:tcPr>
            <w:tcW w:w="5220" w:type="dxa"/>
            <w:vAlign w:val="center"/>
          </w:tcPr>
          <w:p w14:paraId="260EEB44" w14:textId="0319312F" w:rsidR="009275F7" w:rsidRPr="00444F2C" w:rsidRDefault="009275F7" w:rsidP="009F33D2">
            <w:pPr>
              <w:rPr>
                <w:sz w:val="22"/>
                <w:szCs w:val="22"/>
              </w:rPr>
            </w:pPr>
            <w:r w:rsidRPr="00444F2C">
              <w:rPr>
                <w:sz w:val="22"/>
                <w:szCs w:val="22"/>
              </w:rPr>
              <w:t>B5.</w:t>
            </w:r>
            <w:r>
              <w:rPr>
                <w:sz w:val="22"/>
                <w:szCs w:val="22"/>
              </w:rPr>
              <w:t xml:space="preserve"> </w:t>
            </w:r>
            <w:r w:rsidRPr="00444F2C">
              <w:rPr>
                <w:sz w:val="22"/>
                <w:szCs w:val="22"/>
              </w:rPr>
              <w:t>Individual/collective expenditure</w:t>
            </w:r>
          </w:p>
        </w:tc>
      </w:tr>
      <w:tr w:rsidR="009275F7" w:rsidRPr="00444F2C" w14:paraId="53B03046" w14:textId="77777777" w:rsidTr="0018664A">
        <w:tc>
          <w:tcPr>
            <w:tcW w:w="0" w:type="auto"/>
            <w:vAlign w:val="center"/>
          </w:tcPr>
          <w:p w14:paraId="622A5366" w14:textId="395A8117" w:rsidR="009275F7" w:rsidRPr="00DD643B" w:rsidRDefault="009275F7" w:rsidP="0018664A">
            <w:pPr>
              <w:jc w:val="center"/>
              <w:rPr>
                <w:sz w:val="22"/>
                <w:szCs w:val="22"/>
                <w:lang w:val="fr-FR"/>
              </w:rPr>
            </w:pPr>
            <w:r w:rsidRPr="00DD643B">
              <w:rPr>
                <w:sz w:val="22"/>
                <w:szCs w:val="22"/>
              </w:rPr>
              <w:t>4</w:t>
            </w:r>
            <w:r w:rsidR="00F63719">
              <w:rPr>
                <w:sz w:val="22"/>
                <w:szCs w:val="22"/>
              </w:rPr>
              <w:t>6</w:t>
            </w:r>
            <w:r w:rsidRPr="00DD643B">
              <w:rPr>
                <w:sz w:val="22"/>
                <w:szCs w:val="22"/>
              </w:rPr>
              <w:t>%</w:t>
            </w:r>
          </w:p>
        </w:tc>
        <w:tc>
          <w:tcPr>
            <w:tcW w:w="0" w:type="auto"/>
            <w:vAlign w:val="center"/>
          </w:tcPr>
          <w:p w14:paraId="6DF84DDF" w14:textId="08835D13" w:rsidR="009275F7" w:rsidRPr="00217732" w:rsidRDefault="009275F7" w:rsidP="0018664A">
            <w:pPr>
              <w:jc w:val="center"/>
              <w:rPr>
                <w:sz w:val="22"/>
                <w:szCs w:val="22"/>
                <w:lang w:val="fr-FR"/>
              </w:rPr>
            </w:pPr>
            <w:r w:rsidRPr="00217732">
              <w:rPr>
                <w:sz w:val="22"/>
                <w:szCs w:val="22"/>
              </w:rPr>
              <w:t>4</w:t>
            </w:r>
            <w:r w:rsidR="00E24963">
              <w:rPr>
                <w:sz w:val="22"/>
                <w:szCs w:val="22"/>
              </w:rPr>
              <w:t>2</w:t>
            </w:r>
            <w:r w:rsidRPr="00217732">
              <w:rPr>
                <w:sz w:val="22"/>
                <w:szCs w:val="22"/>
              </w:rPr>
              <w:t>%</w:t>
            </w:r>
          </w:p>
        </w:tc>
        <w:tc>
          <w:tcPr>
            <w:tcW w:w="0" w:type="auto"/>
            <w:vAlign w:val="center"/>
          </w:tcPr>
          <w:p w14:paraId="1806AD1C" w14:textId="2D0647E0" w:rsidR="009275F7" w:rsidRPr="00B71578" w:rsidRDefault="009275F7" w:rsidP="0018664A">
            <w:pPr>
              <w:jc w:val="center"/>
              <w:rPr>
                <w:sz w:val="22"/>
                <w:szCs w:val="22"/>
              </w:rPr>
            </w:pPr>
            <w:r w:rsidRPr="00B71578">
              <w:rPr>
                <w:sz w:val="22"/>
                <w:szCs w:val="22"/>
              </w:rPr>
              <w:t>1</w:t>
            </w:r>
            <w:r w:rsidR="008F61AB">
              <w:rPr>
                <w:sz w:val="22"/>
                <w:szCs w:val="22"/>
              </w:rPr>
              <w:t>2</w:t>
            </w:r>
            <w:r w:rsidRPr="00B71578">
              <w:rPr>
                <w:sz w:val="22"/>
                <w:szCs w:val="22"/>
              </w:rPr>
              <w:t>%</w:t>
            </w:r>
          </w:p>
        </w:tc>
        <w:tc>
          <w:tcPr>
            <w:tcW w:w="957" w:type="dxa"/>
            <w:vAlign w:val="center"/>
          </w:tcPr>
          <w:p w14:paraId="6EA0AB7B" w14:textId="08969C4F" w:rsidR="009275F7" w:rsidRPr="009275F7" w:rsidRDefault="009275F7" w:rsidP="0018664A">
            <w:pPr>
              <w:jc w:val="center"/>
              <w:rPr>
                <w:b/>
                <w:bCs/>
                <w:sz w:val="22"/>
                <w:szCs w:val="22"/>
              </w:rPr>
            </w:pPr>
            <w:r w:rsidRPr="009275F7">
              <w:rPr>
                <w:b/>
                <w:bCs/>
                <w:sz w:val="22"/>
                <w:szCs w:val="22"/>
              </w:rPr>
              <w:t>8</w:t>
            </w:r>
            <w:r w:rsidR="000A1233">
              <w:rPr>
                <w:b/>
                <w:bCs/>
                <w:sz w:val="22"/>
                <w:szCs w:val="22"/>
              </w:rPr>
              <w:t>8</w:t>
            </w:r>
            <w:r w:rsidRPr="009275F7">
              <w:rPr>
                <w:b/>
                <w:bCs/>
                <w:sz w:val="22"/>
                <w:szCs w:val="22"/>
              </w:rPr>
              <w:t>%</w:t>
            </w:r>
          </w:p>
        </w:tc>
        <w:tc>
          <w:tcPr>
            <w:tcW w:w="5220" w:type="dxa"/>
            <w:vAlign w:val="center"/>
          </w:tcPr>
          <w:p w14:paraId="532BD5A6" w14:textId="45ABE5EE" w:rsidR="009275F7" w:rsidRPr="00444F2C" w:rsidRDefault="009275F7" w:rsidP="009F33D2">
            <w:pPr>
              <w:rPr>
                <w:sz w:val="22"/>
                <w:szCs w:val="22"/>
              </w:rPr>
            </w:pPr>
            <w:r w:rsidRPr="00444F2C">
              <w:rPr>
                <w:sz w:val="22"/>
                <w:szCs w:val="22"/>
              </w:rPr>
              <w:t>B6.</w:t>
            </w:r>
            <w:r>
              <w:rPr>
                <w:sz w:val="22"/>
                <w:szCs w:val="22"/>
              </w:rPr>
              <w:t xml:space="preserve"> </w:t>
            </w:r>
            <w:r w:rsidRPr="00444F2C">
              <w:rPr>
                <w:sz w:val="22"/>
                <w:szCs w:val="22"/>
              </w:rPr>
              <w:t>Internal consistency w</w:t>
            </w:r>
            <w:r>
              <w:rPr>
                <w:sz w:val="22"/>
                <w:szCs w:val="22"/>
              </w:rPr>
              <w:t>/</w:t>
            </w:r>
            <w:r w:rsidRPr="00444F2C">
              <w:rPr>
                <w:sz w:val="22"/>
                <w:szCs w:val="22"/>
              </w:rPr>
              <w:t>other classifications of expenditure according to purpose</w:t>
            </w:r>
          </w:p>
        </w:tc>
      </w:tr>
      <w:tr w:rsidR="009275F7" w:rsidRPr="00444F2C" w14:paraId="4B620481" w14:textId="77777777" w:rsidTr="0018664A">
        <w:tc>
          <w:tcPr>
            <w:tcW w:w="0" w:type="auto"/>
            <w:vAlign w:val="center"/>
          </w:tcPr>
          <w:p w14:paraId="66043C0A" w14:textId="71CB2965" w:rsidR="009275F7" w:rsidRPr="00DD643B" w:rsidRDefault="009275F7" w:rsidP="0018664A">
            <w:pPr>
              <w:jc w:val="center"/>
              <w:rPr>
                <w:sz w:val="22"/>
                <w:szCs w:val="22"/>
                <w:lang w:val="fr-FR"/>
              </w:rPr>
            </w:pPr>
            <w:r w:rsidRPr="00DD643B">
              <w:rPr>
                <w:sz w:val="22"/>
                <w:szCs w:val="22"/>
              </w:rPr>
              <w:t>4</w:t>
            </w:r>
            <w:r w:rsidR="00F63719">
              <w:rPr>
                <w:sz w:val="22"/>
                <w:szCs w:val="22"/>
              </w:rPr>
              <w:t>7</w:t>
            </w:r>
            <w:r w:rsidRPr="00DD643B">
              <w:rPr>
                <w:sz w:val="22"/>
                <w:szCs w:val="22"/>
              </w:rPr>
              <w:t>%</w:t>
            </w:r>
          </w:p>
        </w:tc>
        <w:tc>
          <w:tcPr>
            <w:tcW w:w="0" w:type="auto"/>
            <w:vAlign w:val="center"/>
          </w:tcPr>
          <w:p w14:paraId="679B8C39" w14:textId="4CAC7808" w:rsidR="009275F7" w:rsidRPr="00217732" w:rsidRDefault="009275F7" w:rsidP="0018664A">
            <w:pPr>
              <w:jc w:val="center"/>
              <w:rPr>
                <w:sz w:val="22"/>
                <w:szCs w:val="22"/>
                <w:lang w:val="fr-FR"/>
              </w:rPr>
            </w:pPr>
            <w:r w:rsidRPr="00217732">
              <w:rPr>
                <w:sz w:val="22"/>
                <w:szCs w:val="22"/>
              </w:rPr>
              <w:t>3</w:t>
            </w:r>
            <w:r w:rsidR="00E24963">
              <w:rPr>
                <w:sz w:val="22"/>
                <w:szCs w:val="22"/>
              </w:rPr>
              <w:t>5</w:t>
            </w:r>
            <w:r w:rsidRPr="00217732">
              <w:rPr>
                <w:sz w:val="22"/>
                <w:szCs w:val="22"/>
              </w:rPr>
              <w:t>%</w:t>
            </w:r>
          </w:p>
        </w:tc>
        <w:tc>
          <w:tcPr>
            <w:tcW w:w="0" w:type="auto"/>
            <w:vAlign w:val="center"/>
          </w:tcPr>
          <w:p w14:paraId="2938C7A5" w14:textId="4160BD29" w:rsidR="009275F7" w:rsidRPr="00B71578" w:rsidRDefault="009275F7" w:rsidP="0018664A">
            <w:pPr>
              <w:jc w:val="center"/>
              <w:rPr>
                <w:sz w:val="22"/>
                <w:szCs w:val="22"/>
              </w:rPr>
            </w:pPr>
            <w:r w:rsidRPr="00B71578">
              <w:rPr>
                <w:sz w:val="22"/>
                <w:szCs w:val="22"/>
              </w:rPr>
              <w:t>18%</w:t>
            </w:r>
          </w:p>
        </w:tc>
        <w:tc>
          <w:tcPr>
            <w:tcW w:w="957" w:type="dxa"/>
            <w:vAlign w:val="center"/>
          </w:tcPr>
          <w:p w14:paraId="2C92821D" w14:textId="0F610266" w:rsidR="009275F7" w:rsidRPr="009275F7" w:rsidRDefault="009275F7" w:rsidP="0018664A">
            <w:pPr>
              <w:jc w:val="center"/>
              <w:rPr>
                <w:b/>
                <w:bCs/>
                <w:sz w:val="22"/>
                <w:szCs w:val="22"/>
              </w:rPr>
            </w:pPr>
            <w:r w:rsidRPr="009275F7">
              <w:rPr>
                <w:b/>
                <w:bCs/>
                <w:sz w:val="22"/>
                <w:szCs w:val="22"/>
              </w:rPr>
              <w:t>8</w:t>
            </w:r>
            <w:r w:rsidR="000A1233">
              <w:rPr>
                <w:b/>
                <w:bCs/>
                <w:sz w:val="22"/>
                <w:szCs w:val="22"/>
              </w:rPr>
              <w:t>2</w:t>
            </w:r>
            <w:r w:rsidRPr="009275F7">
              <w:rPr>
                <w:b/>
                <w:bCs/>
                <w:sz w:val="22"/>
                <w:szCs w:val="22"/>
              </w:rPr>
              <w:t>%</w:t>
            </w:r>
          </w:p>
        </w:tc>
        <w:tc>
          <w:tcPr>
            <w:tcW w:w="5220" w:type="dxa"/>
            <w:vAlign w:val="center"/>
          </w:tcPr>
          <w:p w14:paraId="024FD319" w14:textId="6761C369" w:rsidR="009275F7" w:rsidRPr="00444F2C" w:rsidRDefault="009275F7" w:rsidP="009F33D2">
            <w:pPr>
              <w:rPr>
                <w:sz w:val="22"/>
                <w:szCs w:val="22"/>
              </w:rPr>
            </w:pPr>
            <w:r w:rsidRPr="00444F2C">
              <w:rPr>
                <w:sz w:val="22"/>
                <w:szCs w:val="22"/>
              </w:rPr>
              <w:t>B7.</w:t>
            </w:r>
            <w:r>
              <w:rPr>
                <w:sz w:val="22"/>
                <w:szCs w:val="22"/>
              </w:rPr>
              <w:t xml:space="preserve"> </w:t>
            </w:r>
            <w:r w:rsidRPr="00444F2C">
              <w:rPr>
                <w:sz w:val="22"/>
                <w:szCs w:val="22"/>
              </w:rPr>
              <w:t>Alignment with other classifications/frameworks</w:t>
            </w:r>
          </w:p>
        </w:tc>
      </w:tr>
    </w:tbl>
    <w:p w14:paraId="21A64400" w14:textId="77777777" w:rsidR="008A66E4" w:rsidRDefault="008A66E4" w:rsidP="00485B5A">
      <w:pPr>
        <w:spacing w:after="0" w:line="240" w:lineRule="auto"/>
        <w:jc w:val="both"/>
        <w:rPr>
          <w:sz w:val="22"/>
          <w:szCs w:val="22"/>
        </w:rPr>
      </w:pPr>
    </w:p>
    <w:p w14:paraId="3B498B42" w14:textId="399815DC" w:rsidR="008A66E4" w:rsidRDefault="00C35933" w:rsidP="00485B5A">
      <w:pPr>
        <w:spacing w:after="0" w:line="240" w:lineRule="auto"/>
        <w:jc w:val="both"/>
        <w:rPr>
          <w:sz w:val="22"/>
          <w:szCs w:val="22"/>
        </w:rPr>
      </w:pPr>
      <w:r>
        <w:rPr>
          <w:sz w:val="22"/>
          <w:szCs w:val="22"/>
        </w:rPr>
        <w:t>All 21</w:t>
      </w:r>
      <w:r w:rsidR="0072113B">
        <w:rPr>
          <w:sz w:val="22"/>
          <w:szCs w:val="22"/>
        </w:rPr>
        <w:t xml:space="preserve"> issue categories were deemed to be either high or medium priority among </w:t>
      </w:r>
      <w:r w:rsidR="0061496D">
        <w:rPr>
          <w:sz w:val="22"/>
          <w:szCs w:val="22"/>
        </w:rPr>
        <w:t xml:space="preserve">a majority of </w:t>
      </w:r>
      <w:r w:rsidR="0072113B">
        <w:rPr>
          <w:sz w:val="22"/>
          <w:szCs w:val="22"/>
        </w:rPr>
        <w:t xml:space="preserve">respondents.  </w:t>
      </w:r>
    </w:p>
    <w:p w14:paraId="5D9E0056" w14:textId="77777777" w:rsidR="008A66E4" w:rsidRDefault="008A66E4" w:rsidP="00485B5A">
      <w:pPr>
        <w:spacing w:after="0" w:line="240" w:lineRule="auto"/>
        <w:jc w:val="both"/>
        <w:rPr>
          <w:sz w:val="22"/>
          <w:szCs w:val="22"/>
        </w:rPr>
      </w:pPr>
    </w:p>
    <w:p w14:paraId="2063CE03" w14:textId="2B0BE74E" w:rsidR="00AC1390" w:rsidRDefault="00CF2F4A" w:rsidP="00AC1390">
      <w:pPr>
        <w:spacing w:after="0" w:line="240" w:lineRule="auto"/>
        <w:jc w:val="both"/>
        <w:rPr>
          <w:sz w:val="22"/>
          <w:szCs w:val="22"/>
        </w:rPr>
      </w:pPr>
      <w:bookmarkStart w:id="15" w:name="_Hlk188447815"/>
      <w:r>
        <w:rPr>
          <w:sz w:val="22"/>
          <w:szCs w:val="22"/>
        </w:rPr>
        <w:t>The issue categories most likely to be considered high</w:t>
      </w:r>
      <w:r w:rsidR="00E01067">
        <w:rPr>
          <w:sz w:val="22"/>
          <w:szCs w:val="22"/>
        </w:rPr>
        <w:t xml:space="preserve"> or medium</w:t>
      </w:r>
      <w:r>
        <w:rPr>
          <w:sz w:val="22"/>
          <w:szCs w:val="22"/>
        </w:rPr>
        <w:t xml:space="preserve"> priority were:  </w:t>
      </w:r>
      <w:r w:rsidRPr="00444F2C">
        <w:rPr>
          <w:sz w:val="22"/>
          <w:szCs w:val="22"/>
        </w:rPr>
        <w:t>A05.</w:t>
      </w:r>
      <w:r>
        <w:rPr>
          <w:sz w:val="22"/>
          <w:szCs w:val="22"/>
        </w:rPr>
        <w:t xml:space="preserve"> </w:t>
      </w:r>
      <w:r w:rsidRPr="00444F2C">
        <w:rPr>
          <w:sz w:val="22"/>
          <w:szCs w:val="22"/>
        </w:rPr>
        <w:t>Environmental protection</w:t>
      </w:r>
      <w:r>
        <w:rPr>
          <w:sz w:val="22"/>
          <w:szCs w:val="22"/>
        </w:rPr>
        <w:t xml:space="preserve"> and </w:t>
      </w:r>
      <w:r w:rsidRPr="00CF2F4A">
        <w:rPr>
          <w:sz w:val="22"/>
          <w:szCs w:val="22"/>
        </w:rPr>
        <w:t>B1. COFOG structure/classification principles (94%</w:t>
      </w:r>
      <w:r w:rsidR="00E01067">
        <w:rPr>
          <w:sz w:val="22"/>
          <w:szCs w:val="22"/>
        </w:rPr>
        <w:t xml:space="preserve"> each</w:t>
      </w:r>
      <w:r w:rsidRPr="00CF2F4A">
        <w:rPr>
          <w:sz w:val="22"/>
          <w:szCs w:val="22"/>
        </w:rPr>
        <w:t>)</w:t>
      </w:r>
      <w:r w:rsidR="00E01067">
        <w:rPr>
          <w:sz w:val="22"/>
          <w:szCs w:val="22"/>
        </w:rPr>
        <w:t xml:space="preserve">; </w:t>
      </w:r>
      <w:r w:rsidR="0018664A">
        <w:rPr>
          <w:sz w:val="22"/>
          <w:szCs w:val="22"/>
        </w:rPr>
        <w:t>plus</w:t>
      </w:r>
      <w:r w:rsidR="00E01067">
        <w:rPr>
          <w:sz w:val="22"/>
          <w:szCs w:val="22"/>
        </w:rPr>
        <w:t xml:space="preserve"> </w:t>
      </w:r>
      <w:r w:rsidR="00E01067" w:rsidRPr="00444F2C">
        <w:rPr>
          <w:sz w:val="22"/>
          <w:szCs w:val="22"/>
        </w:rPr>
        <w:t>A07.</w:t>
      </w:r>
      <w:r w:rsidR="00E01067">
        <w:rPr>
          <w:sz w:val="22"/>
          <w:szCs w:val="22"/>
        </w:rPr>
        <w:t xml:space="preserve"> </w:t>
      </w:r>
      <w:r w:rsidR="00E01067" w:rsidRPr="00444F2C">
        <w:rPr>
          <w:sz w:val="22"/>
          <w:szCs w:val="22"/>
        </w:rPr>
        <w:t>Health</w:t>
      </w:r>
      <w:r w:rsidR="00E01067">
        <w:rPr>
          <w:sz w:val="22"/>
          <w:szCs w:val="22"/>
        </w:rPr>
        <w:t xml:space="preserve">, </w:t>
      </w:r>
      <w:r w:rsidR="0048031A">
        <w:rPr>
          <w:sz w:val="22"/>
          <w:szCs w:val="22"/>
        </w:rPr>
        <w:t xml:space="preserve">B2. Primary/secondary purpose, </w:t>
      </w:r>
      <w:r w:rsidR="00E01067" w:rsidRPr="00444F2C">
        <w:rPr>
          <w:sz w:val="22"/>
          <w:szCs w:val="22"/>
        </w:rPr>
        <w:t>B4.</w:t>
      </w:r>
      <w:r w:rsidR="00E01067">
        <w:rPr>
          <w:sz w:val="22"/>
          <w:szCs w:val="22"/>
        </w:rPr>
        <w:t xml:space="preserve"> </w:t>
      </w:r>
      <w:r w:rsidR="00E01067" w:rsidRPr="00444F2C">
        <w:rPr>
          <w:sz w:val="22"/>
          <w:szCs w:val="22"/>
        </w:rPr>
        <w:t>Compilation issues</w:t>
      </w:r>
      <w:r w:rsidRPr="00CF2F4A">
        <w:rPr>
          <w:sz w:val="22"/>
          <w:szCs w:val="22"/>
        </w:rPr>
        <w:t xml:space="preserve"> </w:t>
      </w:r>
      <w:r w:rsidR="00E01067">
        <w:rPr>
          <w:sz w:val="22"/>
          <w:szCs w:val="22"/>
        </w:rPr>
        <w:t xml:space="preserve">and </w:t>
      </w:r>
      <w:r w:rsidR="00E01067" w:rsidRPr="00444F2C">
        <w:rPr>
          <w:sz w:val="22"/>
          <w:szCs w:val="22"/>
        </w:rPr>
        <w:t>B6.</w:t>
      </w:r>
      <w:r w:rsidR="00E01067">
        <w:rPr>
          <w:sz w:val="22"/>
          <w:szCs w:val="22"/>
        </w:rPr>
        <w:t xml:space="preserve"> </w:t>
      </w:r>
      <w:r w:rsidR="00E01067" w:rsidRPr="00444F2C">
        <w:rPr>
          <w:sz w:val="22"/>
          <w:szCs w:val="22"/>
        </w:rPr>
        <w:t>Internal consistency w</w:t>
      </w:r>
      <w:r w:rsidR="00E01067">
        <w:rPr>
          <w:sz w:val="22"/>
          <w:szCs w:val="22"/>
        </w:rPr>
        <w:t>/</w:t>
      </w:r>
      <w:r w:rsidR="00E01067" w:rsidRPr="00444F2C">
        <w:rPr>
          <w:sz w:val="22"/>
          <w:szCs w:val="22"/>
        </w:rPr>
        <w:t>other classifications of expenditure according to purpose</w:t>
      </w:r>
      <w:r w:rsidR="00E01067">
        <w:rPr>
          <w:sz w:val="22"/>
          <w:szCs w:val="22"/>
        </w:rPr>
        <w:t xml:space="preserve"> (88% each). </w:t>
      </w:r>
      <w:bookmarkEnd w:id="15"/>
      <w:r w:rsidR="00E01067">
        <w:rPr>
          <w:sz w:val="22"/>
          <w:szCs w:val="22"/>
        </w:rPr>
        <w:t xml:space="preserve"> The issue categories most likely to be considered low priority were:  </w:t>
      </w:r>
      <w:r w:rsidR="00E01067" w:rsidRPr="00444F2C">
        <w:rPr>
          <w:sz w:val="22"/>
          <w:szCs w:val="22"/>
        </w:rPr>
        <w:t>A15.</w:t>
      </w:r>
      <w:r w:rsidR="00E01067">
        <w:rPr>
          <w:sz w:val="22"/>
          <w:szCs w:val="22"/>
        </w:rPr>
        <w:t xml:space="preserve"> </w:t>
      </w:r>
      <w:r w:rsidR="00E01067" w:rsidRPr="00444F2C">
        <w:rPr>
          <w:sz w:val="22"/>
          <w:szCs w:val="22"/>
        </w:rPr>
        <w:t>Indigenous peoples</w:t>
      </w:r>
      <w:r w:rsidR="00E01067">
        <w:rPr>
          <w:sz w:val="22"/>
          <w:szCs w:val="22"/>
        </w:rPr>
        <w:t xml:space="preserve"> (49%), </w:t>
      </w:r>
      <w:r w:rsidR="00E01067" w:rsidRPr="00444F2C">
        <w:rPr>
          <w:sz w:val="22"/>
          <w:szCs w:val="22"/>
        </w:rPr>
        <w:t>A14.</w:t>
      </w:r>
      <w:r w:rsidR="00E01067">
        <w:rPr>
          <w:sz w:val="22"/>
          <w:szCs w:val="22"/>
        </w:rPr>
        <w:t xml:space="preserve"> </w:t>
      </w:r>
      <w:r w:rsidR="00E01067" w:rsidRPr="00444F2C">
        <w:rPr>
          <w:sz w:val="22"/>
          <w:szCs w:val="22"/>
        </w:rPr>
        <w:t>Gender</w:t>
      </w:r>
      <w:r w:rsidR="00E01067">
        <w:rPr>
          <w:sz w:val="22"/>
          <w:szCs w:val="22"/>
        </w:rPr>
        <w:t xml:space="preserve"> (37%) and </w:t>
      </w:r>
      <w:r w:rsidR="00E01067" w:rsidRPr="00444F2C">
        <w:rPr>
          <w:sz w:val="22"/>
          <w:szCs w:val="22"/>
        </w:rPr>
        <w:t>A02.</w:t>
      </w:r>
      <w:r w:rsidR="00E01067">
        <w:rPr>
          <w:sz w:val="22"/>
          <w:szCs w:val="22"/>
        </w:rPr>
        <w:t xml:space="preserve"> </w:t>
      </w:r>
      <w:r w:rsidR="00E01067" w:rsidRPr="00444F2C">
        <w:rPr>
          <w:sz w:val="22"/>
          <w:szCs w:val="22"/>
        </w:rPr>
        <w:t>Defence</w:t>
      </w:r>
      <w:r w:rsidR="00E01067">
        <w:rPr>
          <w:sz w:val="22"/>
          <w:szCs w:val="22"/>
        </w:rPr>
        <w:t xml:space="preserve"> (31%).    </w:t>
      </w:r>
    </w:p>
    <w:p w14:paraId="52A58EB4" w14:textId="77777777" w:rsidR="00C9069C" w:rsidRDefault="00C9069C" w:rsidP="00AC1390">
      <w:pPr>
        <w:spacing w:after="0" w:line="240" w:lineRule="auto"/>
        <w:jc w:val="both"/>
        <w:rPr>
          <w:sz w:val="22"/>
          <w:szCs w:val="22"/>
        </w:rPr>
      </w:pPr>
    </w:p>
    <w:p w14:paraId="7515E70C" w14:textId="77777777" w:rsidR="00C9069C" w:rsidRDefault="00C9069C" w:rsidP="00AC1390">
      <w:pPr>
        <w:spacing w:after="0" w:line="240" w:lineRule="auto"/>
        <w:jc w:val="both"/>
        <w:rPr>
          <w:sz w:val="22"/>
          <w:szCs w:val="22"/>
        </w:rPr>
      </w:pPr>
    </w:p>
    <w:p w14:paraId="7088B73F" w14:textId="3B709E5A" w:rsidR="008A66E4" w:rsidRDefault="00742409" w:rsidP="00AC1390">
      <w:pPr>
        <w:spacing w:after="0" w:line="240" w:lineRule="auto"/>
        <w:jc w:val="both"/>
        <w:rPr>
          <w:sz w:val="22"/>
          <w:szCs w:val="22"/>
        </w:rPr>
      </w:pPr>
      <w:r>
        <w:rPr>
          <w:b/>
          <w:bCs/>
          <w:sz w:val="22"/>
          <w:szCs w:val="22"/>
        </w:rPr>
        <w:lastRenderedPageBreak/>
        <w:t xml:space="preserve">Q25 </w:t>
      </w:r>
      <w:r w:rsidR="00E54994">
        <w:rPr>
          <w:b/>
          <w:bCs/>
          <w:sz w:val="22"/>
          <w:szCs w:val="22"/>
        </w:rPr>
        <w:t xml:space="preserve">iii. </w:t>
      </w:r>
      <w:r w:rsidR="002A5B11">
        <w:rPr>
          <w:b/>
          <w:bCs/>
          <w:sz w:val="22"/>
          <w:szCs w:val="22"/>
        </w:rPr>
        <w:t xml:space="preserve">For </w:t>
      </w:r>
      <w:r w:rsidR="002A5B11" w:rsidRPr="002A5B11">
        <w:rPr>
          <w:b/>
          <w:bCs/>
          <w:sz w:val="22"/>
          <w:szCs w:val="22"/>
          <w:u w:val="single"/>
        </w:rPr>
        <w:t>compilers</w:t>
      </w:r>
      <w:r w:rsidR="002A5B11">
        <w:rPr>
          <w:b/>
          <w:bCs/>
          <w:sz w:val="22"/>
          <w:szCs w:val="22"/>
        </w:rPr>
        <w:t xml:space="preserve"> only:  </w:t>
      </w:r>
      <w:r w:rsidR="00721721" w:rsidRPr="00721721">
        <w:rPr>
          <w:b/>
          <w:bCs/>
          <w:sz w:val="22"/>
          <w:szCs w:val="22"/>
        </w:rPr>
        <w:t>Please note whether you consider implementing a revision of COFOG stemming from this issue category to be easy, moderate or difficult</w:t>
      </w:r>
      <w:r w:rsidR="00F42E60" w:rsidRPr="00F42E60">
        <w:rPr>
          <w:b/>
          <w:bCs/>
          <w:sz w:val="22"/>
          <w:szCs w:val="22"/>
        </w:rPr>
        <w:t xml:space="preserve"> (n=6</w:t>
      </w:r>
      <w:r w:rsidR="00AC1390">
        <w:rPr>
          <w:b/>
          <w:bCs/>
          <w:sz w:val="22"/>
          <w:szCs w:val="22"/>
        </w:rPr>
        <w:t>4</w:t>
      </w:r>
      <w:r w:rsidR="00F42E60" w:rsidRPr="00F42E60">
        <w:rPr>
          <w:b/>
          <w:bCs/>
          <w:sz w:val="22"/>
          <w:szCs w:val="22"/>
        </w:rPr>
        <w:t>)</w:t>
      </w:r>
    </w:p>
    <w:p w14:paraId="78FA07D5" w14:textId="64CB78ED" w:rsidR="004E5BA3" w:rsidRPr="00467F6B" w:rsidRDefault="004E5BA3" w:rsidP="004E5BA3">
      <w:pPr>
        <w:spacing w:after="0" w:line="240" w:lineRule="auto"/>
        <w:jc w:val="both"/>
        <w:rPr>
          <w:sz w:val="22"/>
          <w:szCs w:val="22"/>
        </w:rPr>
      </w:pPr>
      <w:r w:rsidRPr="00467F6B">
        <w:rPr>
          <w:sz w:val="22"/>
          <w:szCs w:val="22"/>
        </w:rPr>
        <w:t>(Some responses included multiple selections</w:t>
      </w:r>
      <w:r w:rsidR="00CD60C4">
        <w:rPr>
          <w:sz w:val="22"/>
          <w:szCs w:val="22"/>
        </w:rPr>
        <w:t xml:space="preserve"> per issue</w:t>
      </w:r>
      <w:r>
        <w:rPr>
          <w:sz w:val="22"/>
          <w:szCs w:val="22"/>
        </w:rPr>
        <w:t>:  t</w:t>
      </w:r>
      <w:r w:rsidRPr="00467F6B">
        <w:rPr>
          <w:sz w:val="22"/>
          <w:szCs w:val="22"/>
        </w:rPr>
        <w:t xml:space="preserve">hose marked as both </w:t>
      </w:r>
      <w:r>
        <w:rPr>
          <w:sz w:val="22"/>
          <w:szCs w:val="22"/>
        </w:rPr>
        <w:t>difficult</w:t>
      </w:r>
      <w:r w:rsidRPr="00467F6B">
        <w:rPr>
          <w:sz w:val="22"/>
          <w:szCs w:val="22"/>
        </w:rPr>
        <w:t xml:space="preserve"> and m</w:t>
      </w:r>
      <w:r>
        <w:rPr>
          <w:sz w:val="22"/>
          <w:szCs w:val="22"/>
        </w:rPr>
        <w:t>oderate</w:t>
      </w:r>
      <w:r w:rsidRPr="00467F6B">
        <w:rPr>
          <w:sz w:val="22"/>
          <w:szCs w:val="22"/>
        </w:rPr>
        <w:t xml:space="preserve"> </w:t>
      </w:r>
      <w:r>
        <w:rPr>
          <w:sz w:val="22"/>
          <w:szCs w:val="22"/>
        </w:rPr>
        <w:t>difficulty</w:t>
      </w:r>
      <w:r w:rsidRPr="00467F6B">
        <w:rPr>
          <w:sz w:val="22"/>
          <w:szCs w:val="22"/>
        </w:rPr>
        <w:t xml:space="preserve"> are included with the </w:t>
      </w:r>
      <w:r>
        <w:rPr>
          <w:sz w:val="22"/>
          <w:szCs w:val="22"/>
        </w:rPr>
        <w:t>“difficult”</w:t>
      </w:r>
      <w:r w:rsidRPr="00467F6B">
        <w:rPr>
          <w:sz w:val="22"/>
          <w:szCs w:val="22"/>
        </w:rPr>
        <w:t xml:space="preserve"> responses</w:t>
      </w:r>
      <w:r>
        <w:rPr>
          <w:sz w:val="22"/>
          <w:szCs w:val="22"/>
        </w:rPr>
        <w:t>, and t</w:t>
      </w:r>
      <w:r w:rsidRPr="00467F6B">
        <w:rPr>
          <w:sz w:val="22"/>
          <w:szCs w:val="22"/>
        </w:rPr>
        <w:t>hose marked as both m</w:t>
      </w:r>
      <w:r>
        <w:rPr>
          <w:sz w:val="22"/>
          <w:szCs w:val="22"/>
        </w:rPr>
        <w:t>oderate</w:t>
      </w:r>
      <w:r w:rsidRPr="00467F6B">
        <w:rPr>
          <w:sz w:val="22"/>
          <w:szCs w:val="22"/>
        </w:rPr>
        <w:t xml:space="preserve"> and </w:t>
      </w:r>
      <w:r>
        <w:rPr>
          <w:sz w:val="22"/>
          <w:szCs w:val="22"/>
        </w:rPr>
        <w:t>easy</w:t>
      </w:r>
      <w:r w:rsidRPr="00467F6B">
        <w:rPr>
          <w:sz w:val="22"/>
          <w:szCs w:val="22"/>
        </w:rPr>
        <w:t xml:space="preserve"> </w:t>
      </w:r>
      <w:r>
        <w:rPr>
          <w:sz w:val="22"/>
          <w:szCs w:val="22"/>
        </w:rPr>
        <w:t>difficult</w:t>
      </w:r>
      <w:r w:rsidRPr="00467F6B">
        <w:rPr>
          <w:sz w:val="22"/>
          <w:szCs w:val="22"/>
        </w:rPr>
        <w:t xml:space="preserve">y are included with the </w:t>
      </w:r>
      <w:r>
        <w:rPr>
          <w:sz w:val="22"/>
          <w:szCs w:val="22"/>
        </w:rPr>
        <w:t>“easy”</w:t>
      </w:r>
      <w:r w:rsidRPr="00467F6B">
        <w:rPr>
          <w:sz w:val="22"/>
          <w:szCs w:val="22"/>
        </w:rPr>
        <w:t xml:space="preserve"> responses</w:t>
      </w:r>
      <w:r>
        <w:rPr>
          <w:sz w:val="22"/>
          <w:szCs w:val="22"/>
        </w:rPr>
        <w:t xml:space="preserve"> in the tables below</w:t>
      </w:r>
      <w:r w:rsidRPr="00467F6B">
        <w:rPr>
          <w:sz w:val="22"/>
          <w:szCs w:val="22"/>
        </w:rPr>
        <w:t>)</w:t>
      </w:r>
    </w:p>
    <w:p w14:paraId="6FA5045F" w14:textId="77777777" w:rsidR="008A66E4" w:rsidRDefault="008A66E4" w:rsidP="00485B5A">
      <w:pPr>
        <w:spacing w:after="0" w:line="240" w:lineRule="auto"/>
        <w:jc w:val="both"/>
        <w:rPr>
          <w:sz w:val="22"/>
          <w:szCs w:val="22"/>
        </w:rPr>
      </w:pPr>
    </w:p>
    <w:tbl>
      <w:tblPr>
        <w:tblStyle w:val="TableGrid"/>
        <w:tblW w:w="0" w:type="auto"/>
        <w:tblLook w:val="04A0" w:firstRow="1" w:lastRow="0" w:firstColumn="1" w:lastColumn="0" w:noHBand="0" w:noVBand="1"/>
      </w:tblPr>
      <w:tblGrid>
        <w:gridCol w:w="777"/>
        <w:gridCol w:w="815"/>
        <w:gridCol w:w="751"/>
        <w:gridCol w:w="3968"/>
      </w:tblGrid>
      <w:tr w:rsidR="005F20E1" w:rsidRPr="00444F2C" w14:paraId="744499B4" w14:textId="77777777" w:rsidTr="008F00A0">
        <w:tc>
          <w:tcPr>
            <w:tcW w:w="777" w:type="dxa"/>
            <w:shd w:val="clear" w:color="auto" w:fill="D9D9D9" w:themeFill="background1" w:themeFillShade="D9"/>
            <w:vAlign w:val="center"/>
          </w:tcPr>
          <w:p w14:paraId="770C005D" w14:textId="09BF8A71" w:rsidR="005F20E1" w:rsidRDefault="004E5BA3" w:rsidP="008F00A0">
            <w:pPr>
              <w:jc w:val="center"/>
              <w:rPr>
                <w:sz w:val="22"/>
                <w:szCs w:val="22"/>
              </w:rPr>
            </w:pPr>
            <w:r>
              <w:rPr>
                <w:sz w:val="22"/>
                <w:szCs w:val="22"/>
              </w:rPr>
              <w:t>E</w:t>
            </w:r>
            <w:r w:rsidR="00AC1390">
              <w:rPr>
                <w:sz w:val="22"/>
                <w:szCs w:val="22"/>
              </w:rPr>
              <w:t>asy</w:t>
            </w:r>
          </w:p>
        </w:tc>
        <w:tc>
          <w:tcPr>
            <w:tcW w:w="815" w:type="dxa"/>
            <w:shd w:val="clear" w:color="auto" w:fill="D9D9D9" w:themeFill="background1" w:themeFillShade="D9"/>
            <w:vAlign w:val="center"/>
          </w:tcPr>
          <w:p w14:paraId="2276F397" w14:textId="48FD65EE" w:rsidR="005F20E1" w:rsidRDefault="004E5BA3" w:rsidP="008F00A0">
            <w:pPr>
              <w:jc w:val="center"/>
              <w:rPr>
                <w:sz w:val="22"/>
                <w:szCs w:val="22"/>
              </w:rPr>
            </w:pPr>
            <w:r>
              <w:rPr>
                <w:sz w:val="22"/>
                <w:szCs w:val="22"/>
              </w:rPr>
              <w:t>M</w:t>
            </w:r>
            <w:r w:rsidR="00AC1390">
              <w:rPr>
                <w:sz w:val="22"/>
                <w:szCs w:val="22"/>
              </w:rPr>
              <w:t>od.</w:t>
            </w:r>
          </w:p>
        </w:tc>
        <w:tc>
          <w:tcPr>
            <w:tcW w:w="751" w:type="dxa"/>
            <w:shd w:val="clear" w:color="auto" w:fill="D9D9D9" w:themeFill="background1" w:themeFillShade="D9"/>
            <w:vAlign w:val="center"/>
          </w:tcPr>
          <w:p w14:paraId="486B9F61" w14:textId="7D109D3C" w:rsidR="005F20E1" w:rsidRDefault="00AC1390" w:rsidP="008F00A0">
            <w:pPr>
              <w:jc w:val="center"/>
              <w:rPr>
                <w:sz w:val="22"/>
                <w:szCs w:val="22"/>
              </w:rPr>
            </w:pPr>
            <w:r>
              <w:rPr>
                <w:sz w:val="22"/>
                <w:szCs w:val="22"/>
              </w:rPr>
              <w:t>Diff.</w:t>
            </w:r>
          </w:p>
        </w:tc>
        <w:tc>
          <w:tcPr>
            <w:tcW w:w="3968" w:type="dxa"/>
            <w:shd w:val="clear" w:color="auto" w:fill="D9D9D9" w:themeFill="background1" w:themeFillShade="D9"/>
          </w:tcPr>
          <w:p w14:paraId="63CE1691" w14:textId="77777777" w:rsidR="005F20E1" w:rsidRPr="00444F2C" w:rsidRDefault="005F20E1" w:rsidP="00A9220E">
            <w:pPr>
              <w:jc w:val="both"/>
              <w:rPr>
                <w:sz w:val="22"/>
                <w:szCs w:val="22"/>
              </w:rPr>
            </w:pPr>
          </w:p>
        </w:tc>
      </w:tr>
      <w:tr w:rsidR="008F00A0" w:rsidRPr="00444F2C" w14:paraId="23200060" w14:textId="77777777" w:rsidTr="008F00A0">
        <w:tc>
          <w:tcPr>
            <w:tcW w:w="777" w:type="dxa"/>
            <w:vAlign w:val="center"/>
          </w:tcPr>
          <w:p w14:paraId="06C99737" w14:textId="4356D7E8" w:rsidR="008F00A0" w:rsidRPr="005E0B3C" w:rsidRDefault="008F00A0" w:rsidP="008F00A0">
            <w:pPr>
              <w:jc w:val="center"/>
              <w:rPr>
                <w:sz w:val="22"/>
                <w:szCs w:val="22"/>
              </w:rPr>
            </w:pPr>
            <w:r w:rsidRPr="005E0B3C">
              <w:rPr>
                <w:sz w:val="22"/>
                <w:szCs w:val="22"/>
              </w:rPr>
              <w:t>31%</w:t>
            </w:r>
          </w:p>
        </w:tc>
        <w:tc>
          <w:tcPr>
            <w:tcW w:w="815" w:type="dxa"/>
            <w:vAlign w:val="center"/>
          </w:tcPr>
          <w:p w14:paraId="7EBAC02A" w14:textId="5910F249" w:rsidR="008F00A0" w:rsidRDefault="008F00A0" w:rsidP="008F00A0">
            <w:pPr>
              <w:jc w:val="center"/>
              <w:rPr>
                <w:sz w:val="22"/>
                <w:szCs w:val="22"/>
              </w:rPr>
            </w:pPr>
            <w:r w:rsidRPr="00BE7AFC">
              <w:rPr>
                <w:sz w:val="22"/>
                <w:szCs w:val="22"/>
              </w:rPr>
              <w:t>50%</w:t>
            </w:r>
          </w:p>
        </w:tc>
        <w:tc>
          <w:tcPr>
            <w:tcW w:w="751" w:type="dxa"/>
            <w:vAlign w:val="center"/>
          </w:tcPr>
          <w:p w14:paraId="5D6B0B62" w14:textId="15B67DF8" w:rsidR="008F00A0" w:rsidRPr="00444F2C" w:rsidRDefault="008F00A0" w:rsidP="008F00A0">
            <w:pPr>
              <w:jc w:val="center"/>
              <w:rPr>
                <w:sz w:val="22"/>
                <w:szCs w:val="22"/>
              </w:rPr>
            </w:pPr>
            <w:r w:rsidRPr="008F00A0">
              <w:rPr>
                <w:sz w:val="22"/>
                <w:szCs w:val="22"/>
              </w:rPr>
              <w:t>19%</w:t>
            </w:r>
          </w:p>
        </w:tc>
        <w:tc>
          <w:tcPr>
            <w:tcW w:w="3968" w:type="dxa"/>
          </w:tcPr>
          <w:p w14:paraId="6EA09FD1" w14:textId="77777777" w:rsidR="008F00A0" w:rsidRPr="00444F2C" w:rsidRDefault="008F00A0" w:rsidP="008F00A0">
            <w:pPr>
              <w:jc w:val="both"/>
              <w:rPr>
                <w:sz w:val="22"/>
                <w:szCs w:val="22"/>
              </w:rPr>
            </w:pPr>
            <w:r w:rsidRPr="00444F2C">
              <w:rPr>
                <w:sz w:val="22"/>
                <w:szCs w:val="22"/>
              </w:rPr>
              <w:t>A01.</w:t>
            </w:r>
            <w:r>
              <w:rPr>
                <w:sz w:val="22"/>
                <w:szCs w:val="22"/>
              </w:rPr>
              <w:t xml:space="preserve"> </w:t>
            </w:r>
            <w:r w:rsidRPr="00444F2C">
              <w:rPr>
                <w:sz w:val="22"/>
                <w:szCs w:val="22"/>
              </w:rPr>
              <w:t>General public services</w:t>
            </w:r>
          </w:p>
        </w:tc>
      </w:tr>
      <w:tr w:rsidR="008F00A0" w:rsidRPr="00444F2C" w14:paraId="659D0A35" w14:textId="77777777" w:rsidTr="008F00A0">
        <w:tc>
          <w:tcPr>
            <w:tcW w:w="777" w:type="dxa"/>
            <w:vAlign w:val="center"/>
          </w:tcPr>
          <w:p w14:paraId="1DBB28A3" w14:textId="72FD9D72" w:rsidR="008F00A0" w:rsidRPr="005E0B3C" w:rsidRDefault="008F00A0" w:rsidP="008F00A0">
            <w:pPr>
              <w:jc w:val="center"/>
              <w:rPr>
                <w:sz w:val="22"/>
                <w:szCs w:val="22"/>
              </w:rPr>
            </w:pPr>
            <w:r w:rsidRPr="005E0B3C">
              <w:rPr>
                <w:sz w:val="22"/>
                <w:szCs w:val="22"/>
              </w:rPr>
              <w:t>20%</w:t>
            </w:r>
          </w:p>
        </w:tc>
        <w:tc>
          <w:tcPr>
            <w:tcW w:w="815" w:type="dxa"/>
            <w:vAlign w:val="center"/>
          </w:tcPr>
          <w:p w14:paraId="3012ACD0" w14:textId="7AB89352" w:rsidR="008F00A0" w:rsidRDefault="008F00A0" w:rsidP="008F00A0">
            <w:pPr>
              <w:jc w:val="center"/>
              <w:rPr>
                <w:sz w:val="22"/>
                <w:szCs w:val="22"/>
              </w:rPr>
            </w:pPr>
            <w:r w:rsidRPr="00BE7AFC">
              <w:rPr>
                <w:sz w:val="22"/>
                <w:szCs w:val="22"/>
              </w:rPr>
              <w:t>29%</w:t>
            </w:r>
          </w:p>
        </w:tc>
        <w:tc>
          <w:tcPr>
            <w:tcW w:w="751" w:type="dxa"/>
            <w:vAlign w:val="center"/>
          </w:tcPr>
          <w:p w14:paraId="577C78DC" w14:textId="6E1A8FA3" w:rsidR="008F00A0" w:rsidRPr="00444F2C" w:rsidRDefault="008F00A0" w:rsidP="008F00A0">
            <w:pPr>
              <w:jc w:val="center"/>
              <w:rPr>
                <w:sz w:val="22"/>
                <w:szCs w:val="22"/>
              </w:rPr>
            </w:pPr>
            <w:r w:rsidRPr="008F00A0">
              <w:rPr>
                <w:sz w:val="22"/>
                <w:szCs w:val="22"/>
              </w:rPr>
              <w:t>51%</w:t>
            </w:r>
          </w:p>
        </w:tc>
        <w:tc>
          <w:tcPr>
            <w:tcW w:w="3968" w:type="dxa"/>
          </w:tcPr>
          <w:p w14:paraId="5D356CD5" w14:textId="77777777" w:rsidR="008F00A0" w:rsidRPr="00444F2C" w:rsidRDefault="008F00A0" w:rsidP="008F00A0">
            <w:pPr>
              <w:jc w:val="both"/>
              <w:rPr>
                <w:sz w:val="22"/>
                <w:szCs w:val="22"/>
              </w:rPr>
            </w:pPr>
            <w:r w:rsidRPr="00444F2C">
              <w:rPr>
                <w:sz w:val="22"/>
                <w:szCs w:val="22"/>
              </w:rPr>
              <w:t>A02.</w:t>
            </w:r>
            <w:r>
              <w:rPr>
                <w:sz w:val="22"/>
                <w:szCs w:val="22"/>
              </w:rPr>
              <w:t xml:space="preserve"> </w:t>
            </w:r>
            <w:r w:rsidRPr="00444F2C">
              <w:rPr>
                <w:sz w:val="22"/>
                <w:szCs w:val="22"/>
              </w:rPr>
              <w:t>Defence</w:t>
            </w:r>
          </w:p>
        </w:tc>
      </w:tr>
      <w:tr w:rsidR="008F00A0" w:rsidRPr="00444F2C" w14:paraId="389A929F" w14:textId="77777777" w:rsidTr="008F00A0">
        <w:tc>
          <w:tcPr>
            <w:tcW w:w="777" w:type="dxa"/>
            <w:vAlign w:val="center"/>
          </w:tcPr>
          <w:p w14:paraId="549D837F" w14:textId="14FFE7BC" w:rsidR="008F00A0" w:rsidRPr="005E0B3C" w:rsidRDefault="008F00A0" w:rsidP="008F00A0">
            <w:pPr>
              <w:jc w:val="center"/>
              <w:rPr>
                <w:sz w:val="22"/>
                <w:szCs w:val="22"/>
              </w:rPr>
            </w:pPr>
            <w:r w:rsidRPr="005E0B3C">
              <w:rPr>
                <w:sz w:val="22"/>
                <w:szCs w:val="22"/>
              </w:rPr>
              <w:t>28%</w:t>
            </w:r>
          </w:p>
        </w:tc>
        <w:tc>
          <w:tcPr>
            <w:tcW w:w="815" w:type="dxa"/>
            <w:vAlign w:val="center"/>
          </w:tcPr>
          <w:p w14:paraId="39CA7CB9" w14:textId="01E703CC" w:rsidR="008F00A0" w:rsidRDefault="008F00A0" w:rsidP="008F00A0">
            <w:pPr>
              <w:jc w:val="center"/>
              <w:rPr>
                <w:sz w:val="22"/>
                <w:szCs w:val="22"/>
              </w:rPr>
            </w:pPr>
            <w:r w:rsidRPr="00BE7AFC">
              <w:rPr>
                <w:sz w:val="22"/>
                <w:szCs w:val="22"/>
              </w:rPr>
              <w:t>41%</w:t>
            </w:r>
          </w:p>
        </w:tc>
        <w:tc>
          <w:tcPr>
            <w:tcW w:w="751" w:type="dxa"/>
            <w:vAlign w:val="center"/>
          </w:tcPr>
          <w:p w14:paraId="281F9A07" w14:textId="4437074B" w:rsidR="008F00A0" w:rsidRPr="00444F2C" w:rsidRDefault="008F00A0" w:rsidP="008F00A0">
            <w:pPr>
              <w:jc w:val="center"/>
              <w:rPr>
                <w:sz w:val="22"/>
                <w:szCs w:val="22"/>
              </w:rPr>
            </w:pPr>
            <w:r w:rsidRPr="008F00A0">
              <w:rPr>
                <w:sz w:val="22"/>
                <w:szCs w:val="22"/>
              </w:rPr>
              <w:t>30%</w:t>
            </w:r>
          </w:p>
        </w:tc>
        <w:tc>
          <w:tcPr>
            <w:tcW w:w="3968" w:type="dxa"/>
          </w:tcPr>
          <w:p w14:paraId="5F64C9B2" w14:textId="77777777" w:rsidR="008F00A0" w:rsidRPr="00444F2C" w:rsidRDefault="008F00A0" w:rsidP="008F00A0">
            <w:pPr>
              <w:jc w:val="both"/>
              <w:rPr>
                <w:sz w:val="22"/>
                <w:szCs w:val="22"/>
              </w:rPr>
            </w:pPr>
            <w:r w:rsidRPr="00444F2C">
              <w:rPr>
                <w:sz w:val="22"/>
                <w:szCs w:val="22"/>
              </w:rPr>
              <w:t>A03.</w:t>
            </w:r>
            <w:r>
              <w:rPr>
                <w:sz w:val="22"/>
                <w:szCs w:val="22"/>
              </w:rPr>
              <w:t xml:space="preserve"> </w:t>
            </w:r>
            <w:r w:rsidRPr="00444F2C">
              <w:rPr>
                <w:sz w:val="22"/>
                <w:szCs w:val="22"/>
              </w:rPr>
              <w:t>Public order and safety</w:t>
            </w:r>
          </w:p>
        </w:tc>
      </w:tr>
      <w:tr w:rsidR="008F00A0" w:rsidRPr="00444F2C" w14:paraId="3382ABB1" w14:textId="77777777" w:rsidTr="008F00A0">
        <w:tc>
          <w:tcPr>
            <w:tcW w:w="777" w:type="dxa"/>
            <w:vAlign w:val="center"/>
          </w:tcPr>
          <w:p w14:paraId="1CF7B940" w14:textId="4F696A85" w:rsidR="008F00A0" w:rsidRPr="005E0B3C" w:rsidRDefault="008F00A0" w:rsidP="008F00A0">
            <w:pPr>
              <w:jc w:val="center"/>
              <w:rPr>
                <w:sz w:val="22"/>
                <w:szCs w:val="22"/>
              </w:rPr>
            </w:pPr>
            <w:r w:rsidRPr="005E0B3C">
              <w:rPr>
                <w:sz w:val="22"/>
                <w:szCs w:val="22"/>
              </w:rPr>
              <w:t>12%</w:t>
            </w:r>
          </w:p>
        </w:tc>
        <w:tc>
          <w:tcPr>
            <w:tcW w:w="815" w:type="dxa"/>
            <w:vAlign w:val="center"/>
          </w:tcPr>
          <w:p w14:paraId="668A9DC5" w14:textId="30BA00C2" w:rsidR="008F00A0" w:rsidRDefault="008F00A0" w:rsidP="008F00A0">
            <w:pPr>
              <w:jc w:val="center"/>
              <w:rPr>
                <w:sz w:val="22"/>
                <w:szCs w:val="22"/>
              </w:rPr>
            </w:pPr>
            <w:r w:rsidRPr="00BE7AFC">
              <w:rPr>
                <w:sz w:val="22"/>
                <w:szCs w:val="22"/>
              </w:rPr>
              <w:t>57%</w:t>
            </w:r>
          </w:p>
        </w:tc>
        <w:tc>
          <w:tcPr>
            <w:tcW w:w="751" w:type="dxa"/>
            <w:vAlign w:val="center"/>
          </w:tcPr>
          <w:p w14:paraId="6ED38061" w14:textId="6CDC6BB5" w:rsidR="008F00A0" w:rsidRPr="00444F2C" w:rsidRDefault="008F00A0" w:rsidP="008F00A0">
            <w:pPr>
              <w:jc w:val="center"/>
              <w:rPr>
                <w:sz w:val="22"/>
                <w:szCs w:val="22"/>
              </w:rPr>
            </w:pPr>
            <w:r w:rsidRPr="008F00A0">
              <w:rPr>
                <w:sz w:val="22"/>
                <w:szCs w:val="22"/>
              </w:rPr>
              <w:t>31%</w:t>
            </w:r>
          </w:p>
        </w:tc>
        <w:tc>
          <w:tcPr>
            <w:tcW w:w="3968" w:type="dxa"/>
          </w:tcPr>
          <w:p w14:paraId="42F10612" w14:textId="77777777" w:rsidR="008F00A0" w:rsidRPr="00444F2C" w:rsidRDefault="008F00A0" w:rsidP="008F00A0">
            <w:pPr>
              <w:jc w:val="both"/>
              <w:rPr>
                <w:sz w:val="22"/>
                <w:szCs w:val="22"/>
              </w:rPr>
            </w:pPr>
            <w:r w:rsidRPr="00444F2C">
              <w:rPr>
                <w:sz w:val="22"/>
                <w:szCs w:val="22"/>
              </w:rPr>
              <w:t>A04.</w:t>
            </w:r>
            <w:r>
              <w:rPr>
                <w:sz w:val="22"/>
                <w:szCs w:val="22"/>
              </w:rPr>
              <w:t xml:space="preserve"> </w:t>
            </w:r>
            <w:r w:rsidRPr="00444F2C">
              <w:rPr>
                <w:sz w:val="22"/>
                <w:szCs w:val="22"/>
              </w:rPr>
              <w:t>Economic affairs</w:t>
            </w:r>
          </w:p>
        </w:tc>
      </w:tr>
      <w:tr w:rsidR="008F00A0" w:rsidRPr="00444F2C" w14:paraId="6EE48324" w14:textId="77777777" w:rsidTr="008F00A0">
        <w:tc>
          <w:tcPr>
            <w:tcW w:w="777" w:type="dxa"/>
            <w:vAlign w:val="center"/>
          </w:tcPr>
          <w:p w14:paraId="37018642" w14:textId="10B35A36" w:rsidR="008F00A0" w:rsidRPr="005E0B3C" w:rsidRDefault="008F00A0" w:rsidP="008F00A0">
            <w:pPr>
              <w:jc w:val="center"/>
              <w:rPr>
                <w:sz w:val="22"/>
                <w:szCs w:val="22"/>
              </w:rPr>
            </w:pPr>
            <w:r>
              <w:rPr>
                <w:sz w:val="22"/>
                <w:szCs w:val="22"/>
              </w:rPr>
              <w:t xml:space="preserve">  </w:t>
            </w:r>
            <w:r w:rsidRPr="005E0B3C">
              <w:rPr>
                <w:sz w:val="22"/>
                <w:szCs w:val="22"/>
              </w:rPr>
              <w:t>4%</w:t>
            </w:r>
          </w:p>
        </w:tc>
        <w:tc>
          <w:tcPr>
            <w:tcW w:w="815" w:type="dxa"/>
            <w:vAlign w:val="center"/>
          </w:tcPr>
          <w:p w14:paraId="50886D77" w14:textId="473A6787" w:rsidR="008F00A0" w:rsidRDefault="008F00A0" w:rsidP="008F00A0">
            <w:pPr>
              <w:jc w:val="center"/>
              <w:rPr>
                <w:sz w:val="22"/>
                <w:szCs w:val="22"/>
              </w:rPr>
            </w:pPr>
            <w:r w:rsidRPr="00BE7AFC">
              <w:rPr>
                <w:sz w:val="22"/>
                <w:szCs w:val="22"/>
              </w:rPr>
              <w:t>43%</w:t>
            </w:r>
          </w:p>
        </w:tc>
        <w:tc>
          <w:tcPr>
            <w:tcW w:w="751" w:type="dxa"/>
            <w:vAlign w:val="center"/>
          </w:tcPr>
          <w:p w14:paraId="1CDC3FC1" w14:textId="745A06BF" w:rsidR="008F00A0" w:rsidRPr="00444F2C" w:rsidRDefault="008F00A0" w:rsidP="008F00A0">
            <w:pPr>
              <w:jc w:val="center"/>
              <w:rPr>
                <w:sz w:val="22"/>
                <w:szCs w:val="22"/>
              </w:rPr>
            </w:pPr>
            <w:r w:rsidRPr="008F00A0">
              <w:rPr>
                <w:sz w:val="22"/>
                <w:szCs w:val="22"/>
              </w:rPr>
              <w:t>50%</w:t>
            </w:r>
          </w:p>
        </w:tc>
        <w:tc>
          <w:tcPr>
            <w:tcW w:w="3968" w:type="dxa"/>
          </w:tcPr>
          <w:p w14:paraId="48869A91" w14:textId="77777777" w:rsidR="008F00A0" w:rsidRPr="00444F2C" w:rsidRDefault="008F00A0" w:rsidP="008F00A0">
            <w:pPr>
              <w:jc w:val="both"/>
              <w:rPr>
                <w:sz w:val="22"/>
                <w:szCs w:val="22"/>
              </w:rPr>
            </w:pPr>
            <w:r w:rsidRPr="00444F2C">
              <w:rPr>
                <w:sz w:val="22"/>
                <w:szCs w:val="22"/>
              </w:rPr>
              <w:t>A05.</w:t>
            </w:r>
            <w:r>
              <w:rPr>
                <w:sz w:val="22"/>
                <w:szCs w:val="22"/>
              </w:rPr>
              <w:t xml:space="preserve"> </w:t>
            </w:r>
            <w:r w:rsidRPr="00444F2C">
              <w:rPr>
                <w:sz w:val="22"/>
                <w:szCs w:val="22"/>
              </w:rPr>
              <w:t xml:space="preserve">Environmental protection  </w:t>
            </w:r>
          </w:p>
        </w:tc>
      </w:tr>
      <w:tr w:rsidR="008F00A0" w:rsidRPr="00444F2C" w14:paraId="14BFFAA0" w14:textId="77777777" w:rsidTr="008F00A0">
        <w:tc>
          <w:tcPr>
            <w:tcW w:w="777" w:type="dxa"/>
            <w:vAlign w:val="center"/>
          </w:tcPr>
          <w:p w14:paraId="4F87ED72" w14:textId="79E6B00E" w:rsidR="008F00A0" w:rsidRPr="005E0B3C" w:rsidRDefault="008F00A0" w:rsidP="008F00A0">
            <w:pPr>
              <w:jc w:val="center"/>
              <w:rPr>
                <w:sz w:val="22"/>
                <w:szCs w:val="22"/>
              </w:rPr>
            </w:pPr>
            <w:r w:rsidRPr="005E0B3C">
              <w:rPr>
                <w:sz w:val="22"/>
                <w:szCs w:val="22"/>
              </w:rPr>
              <w:t>35%</w:t>
            </w:r>
          </w:p>
        </w:tc>
        <w:tc>
          <w:tcPr>
            <w:tcW w:w="815" w:type="dxa"/>
            <w:vAlign w:val="center"/>
          </w:tcPr>
          <w:p w14:paraId="2CAD0183" w14:textId="434A5030" w:rsidR="008F00A0" w:rsidRDefault="008F00A0" w:rsidP="008F00A0">
            <w:pPr>
              <w:jc w:val="center"/>
              <w:rPr>
                <w:sz w:val="22"/>
                <w:szCs w:val="22"/>
              </w:rPr>
            </w:pPr>
            <w:r w:rsidRPr="00BE7AFC">
              <w:rPr>
                <w:sz w:val="22"/>
                <w:szCs w:val="22"/>
              </w:rPr>
              <w:t>43%</w:t>
            </w:r>
          </w:p>
        </w:tc>
        <w:tc>
          <w:tcPr>
            <w:tcW w:w="751" w:type="dxa"/>
            <w:vAlign w:val="center"/>
          </w:tcPr>
          <w:p w14:paraId="041FC2EE" w14:textId="73437CCD" w:rsidR="008F00A0" w:rsidRPr="00444F2C" w:rsidRDefault="008F00A0" w:rsidP="008F00A0">
            <w:pPr>
              <w:jc w:val="center"/>
              <w:rPr>
                <w:sz w:val="22"/>
                <w:szCs w:val="22"/>
              </w:rPr>
            </w:pPr>
            <w:r w:rsidRPr="008F00A0">
              <w:rPr>
                <w:sz w:val="22"/>
                <w:szCs w:val="22"/>
              </w:rPr>
              <w:t>22%</w:t>
            </w:r>
          </w:p>
        </w:tc>
        <w:tc>
          <w:tcPr>
            <w:tcW w:w="3968" w:type="dxa"/>
          </w:tcPr>
          <w:p w14:paraId="5185CAC0" w14:textId="77777777" w:rsidR="008F00A0" w:rsidRPr="00444F2C" w:rsidRDefault="008F00A0" w:rsidP="008F00A0">
            <w:pPr>
              <w:jc w:val="both"/>
              <w:rPr>
                <w:sz w:val="22"/>
                <w:szCs w:val="22"/>
              </w:rPr>
            </w:pPr>
            <w:r w:rsidRPr="00444F2C">
              <w:rPr>
                <w:sz w:val="22"/>
                <w:szCs w:val="22"/>
              </w:rPr>
              <w:t>A06.</w:t>
            </w:r>
            <w:r>
              <w:rPr>
                <w:sz w:val="22"/>
                <w:szCs w:val="22"/>
              </w:rPr>
              <w:t xml:space="preserve"> </w:t>
            </w:r>
            <w:r w:rsidRPr="00444F2C">
              <w:rPr>
                <w:sz w:val="22"/>
                <w:szCs w:val="22"/>
              </w:rPr>
              <w:t>Housing and community amenities</w:t>
            </w:r>
          </w:p>
        </w:tc>
      </w:tr>
      <w:tr w:rsidR="008F00A0" w:rsidRPr="00444F2C" w14:paraId="32C6E372" w14:textId="77777777" w:rsidTr="008F00A0">
        <w:tc>
          <w:tcPr>
            <w:tcW w:w="777" w:type="dxa"/>
            <w:vAlign w:val="center"/>
          </w:tcPr>
          <w:p w14:paraId="23FE7B8F" w14:textId="042C041E" w:rsidR="008F00A0" w:rsidRPr="005E0B3C" w:rsidRDefault="008F00A0" w:rsidP="008F00A0">
            <w:pPr>
              <w:jc w:val="center"/>
              <w:rPr>
                <w:sz w:val="22"/>
                <w:szCs w:val="22"/>
              </w:rPr>
            </w:pPr>
            <w:r w:rsidRPr="005E0B3C">
              <w:rPr>
                <w:sz w:val="22"/>
                <w:szCs w:val="22"/>
              </w:rPr>
              <w:t>16%</w:t>
            </w:r>
          </w:p>
        </w:tc>
        <w:tc>
          <w:tcPr>
            <w:tcW w:w="815" w:type="dxa"/>
            <w:vAlign w:val="center"/>
          </w:tcPr>
          <w:p w14:paraId="74D6CF99" w14:textId="4C7E8F12" w:rsidR="008F00A0" w:rsidRDefault="008F00A0" w:rsidP="008F00A0">
            <w:pPr>
              <w:jc w:val="center"/>
              <w:rPr>
                <w:sz w:val="22"/>
                <w:szCs w:val="22"/>
              </w:rPr>
            </w:pPr>
            <w:r w:rsidRPr="00BE7AFC">
              <w:rPr>
                <w:sz w:val="22"/>
                <w:szCs w:val="22"/>
              </w:rPr>
              <w:t>42%</w:t>
            </w:r>
          </w:p>
        </w:tc>
        <w:tc>
          <w:tcPr>
            <w:tcW w:w="751" w:type="dxa"/>
            <w:vAlign w:val="center"/>
          </w:tcPr>
          <w:p w14:paraId="6FE718B1" w14:textId="4DDE12CC" w:rsidR="008F00A0" w:rsidRPr="00444F2C" w:rsidRDefault="008F00A0" w:rsidP="008F00A0">
            <w:pPr>
              <w:jc w:val="center"/>
              <w:rPr>
                <w:sz w:val="22"/>
                <w:szCs w:val="22"/>
              </w:rPr>
            </w:pPr>
            <w:r w:rsidRPr="008F00A0">
              <w:rPr>
                <w:sz w:val="22"/>
                <w:szCs w:val="22"/>
              </w:rPr>
              <w:t>42%</w:t>
            </w:r>
          </w:p>
        </w:tc>
        <w:tc>
          <w:tcPr>
            <w:tcW w:w="3968" w:type="dxa"/>
          </w:tcPr>
          <w:p w14:paraId="0FAB1EBD" w14:textId="77777777" w:rsidR="008F00A0" w:rsidRPr="00444F2C" w:rsidRDefault="008F00A0" w:rsidP="008F00A0">
            <w:pPr>
              <w:jc w:val="both"/>
              <w:rPr>
                <w:sz w:val="22"/>
                <w:szCs w:val="22"/>
              </w:rPr>
            </w:pPr>
            <w:r w:rsidRPr="00444F2C">
              <w:rPr>
                <w:sz w:val="22"/>
                <w:szCs w:val="22"/>
              </w:rPr>
              <w:t>A07.</w:t>
            </w:r>
            <w:r>
              <w:rPr>
                <w:sz w:val="22"/>
                <w:szCs w:val="22"/>
              </w:rPr>
              <w:t xml:space="preserve"> </w:t>
            </w:r>
            <w:r w:rsidRPr="00444F2C">
              <w:rPr>
                <w:sz w:val="22"/>
                <w:szCs w:val="22"/>
              </w:rPr>
              <w:t xml:space="preserve">Health </w:t>
            </w:r>
          </w:p>
        </w:tc>
      </w:tr>
      <w:tr w:rsidR="008F00A0" w:rsidRPr="00444F2C" w14:paraId="0961F444" w14:textId="77777777" w:rsidTr="008F00A0">
        <w:tc>
          <w:tcPr>
            <w:tcW w:w="777" w:type="dxa"/>
            <w:vAlign w:val="center"/>
          </w:tcPr>
          <w:p w14:paraId="13105B64" w14:textId="402118D9" w:rsidR="008F00A0" w:rsidRPr="005E0B3C" w:rsidRDefault="008F00A0" w:rsidP="008F00A0">
            <w:pPr>
              <w:jc w:val="center"/>
              <w:rPr>
                <w:sz w:val="22"/>
                <w:szCs w:val="22"/>
              </w:rPr>
            </w:pPr>
            <w:r w:rsidRPr="005E0B3C">
              <w:rPr>
                <w:sz w:val="22"/>
                <w:szCs w:val="22"/>
              </w:rPr>
              <w:t>15%</w:t>
            </w:r>
          </w:p>
        </w:tc>
        <w:tc>
          <w:tcPr>
            <w:tcW w:w="815" w:type="dxa"/>
            <w:vAlign w:val="center"/>
          </w:tcPr>
          <w:p w14:paraId="758ED009" w14:textId="6D4F8B5C" w:rsidR="008F00A0" w:rsidRDefault="008F00A0" w:rsidP="008F00A0">
            <w:pPr>
              <w:jc w:val="center"/>
              <w:rPr>
                <w:sz w:val="22"/>
                <w:szCs w:val="22"/>
              </w:rPr>
            </w:pPr>
            <w:r w:rsidRPr="00BE7AFC">
              <w:rPr>
                <w:sz w:val="22"/>
                <w:szCs w:val="22"/>
              </w:rPr>
              <w:t>45%</w:t>
            </w:r>
          </w:p>
        </w:tc>
        <w:tc>
          <w:tcPr>
            <w:tcW w:w="751" w:type="dxa"/>
            <w:vAlign w:val="center"/>
          </w:tcPr>
          <w:p w14:paraId="02CFD8C4" w14:textId="73259E6D" w:rsidR="008F00A0" w:rsidRPr="00444F2C" w:rsidRDefault="008F00A0" w:rsidP="008F00A0">
            <w:pPr>
              <w:jc w:val="center"/>
              <w:rPr>
                <w:sz w:val="22"/>
                <w:szCs w:val="22"/>
              </w:rPr>
            </w:pPr>
            <w:r w:rsidRPr="008F00A0">
              <w:rPr>
                <w:sz w:val="22"/>
                <w:szCs w:val="22"/>
              </w:rPr>
              <w:t>40%</w:t>
            </w:r>
          </w:p>
        </w:tc>
        <w:tc>
          <w:tcPr>
            <w:tcW w:w="3968" w:type="dxa"/>
          </w:tcPr>
          <w:p w14:paraId="7ABB9577" w14:textId="77777777" w:rsidR="008F00A0" w:rsidRPr="00444F2C" w:rsidRDefault="008F00A0" w:rsidP="008F00A0">
            <w:pPr>
              <w:jc w:val="both"/>
              <w:rPr>
                <w:sz w:val="22"/>
                <w:szCs w:val="22"/>
              </w:rPr>
            </w:pPr>
            <w:r w:rsidRPr="00444F2C">
              <w:rPr>
                <w:sz w:val="22"/>
                <w:szCs w:val="22"/>
              </w:rPr>
              <w:t>A09.</w:t>
            </w:r>
            <w:r>
              <w:rPr>
                <w:sz w:val="22"/>
                <w:szCs w:val="22"/>
              </w:rPr>
              <w:t xml:space="preserve"> </w:t>
            </w:r>
            <w:r w:rsidRPr="00444F2C">
              <w:rPr>
                <w:sz w:val="22"/>
                <w:szCs w:val="22"/>
              </w:rPr>
              <w:t xml:space="preserve">Education </w:t>
            </w:r>
          </w:p>
        </w:tc>
      </w:tr>
      <w:tr w:rsidR="008F00A0" w:rsidRPr="00444F2C" w14:paraId="72662721" w14:textId="77777777" w:rsidTr="008F00A0">
        <w:tc>
          <w:tcPr>
            <w:tcW w:w="777" w:type="dxa"/>
            <w:vAlign w:val="center"/>
          </w:tcPr>
          <w:p w14:paraId="0DE48CD4" w14:textId="66E4FAAE" w:rsidR="008F00A0" w:rsidRPr="005E0B3C" w:rsidRDefault="008F00A0" w:rsidP="008F00A0">
            <w:pPr>
              <w:jc w:val="center"/>
              <w:rPr>
                <w:sz w:val="22"/>
                <w:szCs w:val="22"/>
              </w:rPr>
            </w:pPr>
            <w:r w:rsidRPr="005E0B3C">
              <w:rPr>
                <w:sz w:val="22"/>
                <w:szCs w:val="22"/>
              </w:rPr>
              <w:t>10%</w:t>
            </w:r>
          </w:p>
        </w:tc>
        <w:tc>
          <w:tcPr>
            <w:tcW w:w="815" w:type="dxa"/>
            <w:vAlign w:val="center"/>
          </w:tcPr>
          <w:p w14:paraId="13FB565E" w14:textId="2AF4EB7C" w:rsidR="008F00A0" w:rsidRDefault="008F00A0" w:rsidP="008F00A0">
            <w:pPr>
              <w:jc w:val="center"/>
              <w:rPr>
                <w:sz w:val="22"/>
                <w:szCs w:val="22"/>
              </w:rPr>
            </w:pPr>
            <w:r w:rsidRPr="00BE7AFC">
              <w:rPr>
                <w:sz w:val="22"/>
                <w:szCs w:val="22"/>
              </w:rPr>
              <w:t>52%</w:t>
            </w:r>
          </w:p>
        </w:tc>
        <w:tc>
          <w:tcPr>
            <w:tcW w:w="751" w:type="dxa"/>
            <w:vAlign w:val="center"/>
          </w:tcPr>
          <w:p w14:paraId="2C2D1437" w14:textId="5D89D146" w:rsidR="008F00A0" w:rsidRPr="00444F2C" w:rsidRDefault="008F00A0" w:rsidP="008F00A0">
            <w:pPr>
              <w:jc w:val="center"/>
              <w:rPr>
                <w:sz w:val="22"/>
                <w:szCs w:val="22"/>
              </w:rPr>
            </w:pPr>
            <w:r w:rsidRPr="008F00A0">
              <w:rPr>
                <w:sz w:val="22"/>
                <w:szCs w:val="22"/>
              </w:rPr>
              <w:t>35%</w:t>
            </w:r>
          </w:p>
        </w:tc>
        <w:tc>
          <w:tcPr>
            <w:tcW w:w="3968" w:type="dxa"/>
          </w:tcPr>
          <w:p w14:paraId="586D4112" w14:textId="77777777" w:rsidR="008F00A0" w:rsidRPr="00444F2C" w:rsidRDefault="008F00A0" w:rsidP="008F00A0">
            <w:pPr>
              <w:jc w:val="both"/>
              <w:rPr>
                <w:sz w:val="22"/>
                <w:szCs w:val="22"/>
              </w:rPr>
            </w:pPr>
            <w:r w:rsidRPr="00444F2C">
              <w:rPr>
                <w:sz w:val="22"/>
                <w:szCs w:val="22"/>
              </w:rPr>
              <w:t>A10.</w:t>
            </w:r>
            <w:r>
              <w:rPr>
                <w:sz w:val="22"/>
                <w:szCs w:val="22"/>
              </w:rPr>
              <w:t xml:space="preserve"> </w:t>
            </w:r>
            <w:r w:rsidRPr="00444F2C">
              <w:rPr>
                <w:sz w:val="22"/>
                <w:szCs w:val="22"/>
              </w:rPr>
              <w:t xml:space="preserve">Social protection </w:t>
            </w:r>
          </w:p>
        </w:tc>
      </w:tr>
    </w:tbl>
    <w:p w14:paraId="03197B7A" w14:textId="77777777" w:rsidR="008A66E4" w:rsidRDefault="008A66E4" w:rsidP="00485B5A">
      <w:pPr>
        <w:spacing w:after="0" w:line="240" w:lineRule="auto"/>
        <w:jc w:val="both"/>
        <w:rPr>
          <w:sz w:val="22"/>
          <w:szCs w:val="22"/>
        </w:rPr>
      </w:pPr>
    </w:p>
    <w:tbl>
      <w:tblPr>
        <w:tblStyle w:val="TableGrid"/>
        <w:tblW w:w="0" w:type="auto"/>
        <w:tblLayout w:type="fixed"/>
        <w:tblLook w:val="04A0" w:firstRow="1" w:lastRow="0" w:firstColumn="1" w:lastColumn="0" w:noHBand="0" w:noVBand="1"/>
      </w:tblPr>
      <w:tblGrid>
        <w:gridCol w:w="777"/>
        <w:gridCol w:w="815"/>
        <w:gridCol w:w="751"/>
        <w:gridCol w:w="3960"/>
      </w:tblGrid>
      <w:tr w:rsidR="00AC1390" w:rsidRPr="00444F2C" w14:paraId="18D2547B" w14:textId="77777777" w:rsidTr="00CD60C4">
        <w:tc>
          <w:tcPr>
            <w:tcW w:w="777" w:type="dxa"/>
            <w:shd w:val="clear" w:color="auto" w:fill="D9D9D9" w:themeFill="background1" w:themeFillShade="D9"/>
            <w:vAlign w:val="center"/>
          </w:tcPr>
          <w:p w14:paraId="792C96D5" w14:textId="67F2AD4A" w:rsidR="00AC1390" w:rsidRPr="004E5BA3" w:rsidRDefault="00AC1390" w:rsidP="008F00A0">
            <w:pPr>
              <w:jc w:val="center"/>
              <w:rPr>
                <w:sz w:val="22"/>
                <w:szCs w:val="22"/>
                <w:lang w:val="fr-FR"/>
              </w:rPr>
            </w:pPr>
            <w:r>
              <w:rPr>
                <w:sz w:val="22"/>
                <w:szCs w:val="22"/>
              </w:rPr>
              <w:t>Easy</w:t>
            </w:r>
          </w:p>
        </w:tc>
        <w:tc>
          <w:tcPr>
            <w:tcW w:w="815" w:type="dxa"/>
            <w:shd w:val="clear" w:color="auto" w:fill="D9D9D9" w:themeFill="background1" w:themeFillShade="D9"/>
            <w:vAlign w:val="center"/>
          </w:tcPr>
          <w:p w14:paraId="3EA36649" w14:textId="5ECE2110" w:rsidR="00AC1390" w:rsidRDefault="00AC1390" w:rsidP="008F00A0">
            <w:pPr>
              <w:jc w:val="center"/>
              <w:rPr>
                <w:sz w:val="22"/>
                <w:szCs w:val="22"/>
              </w:rPr>
            </w:pPr>
            <w:r>
              <w:rPr>
                <w:sz w:val="22"/>
                <w:szCs w:val="22"/>
              </w:rPr>
              <w:t>Mod.</w:t>
            </w:r>
          </w:p>
        </w:tc>
        <w:tc>
          <w:tcPr>
            <w:tcW w:w="751" w:type="dxa"/>
            <w:shd w:val="clear" w:color="auto" w:fill="D9D9D9" w:themeFill="background1" w:themeFillShade="D9"/>
            <w:vAlign w:val="center"/>
          </w:tcPr>
          <w:p w14:paraId="1D97D092" w14:textId="70D41D9D" w:rsidR="00AC1390" w:rsidRDefault="00AC1390" w:rsidP="008F00A0">
            <w:pPr>
              <w:jc w:val="center"/>
              <w:rPr>
                <w:sz w:val="22"/>
                <w:szCs w:val="22"/>
              </w:rPr>
            </w:pPr>
            <w:r>
              <w:rPr>
                <w:sz w:val="22"/>
                <w:szCs w:val="22"/>
              </w:rPr>
              <w:t>Diff.</w:t>
            </w:r>
          </w:p>
        </w:tc>
        <w:tc>
          <w:tcPr>
            <w:tcW w:w="3960" w:type="dxa"/>
            <w:shd w:val="clear" w:color="auto" w:fill="D9D9D9" w:themeFill="background1" w:themeFillShade="D9"/>
          </w:tcPr>
          <w:p w14:paraId="6429208B" w14:textId="77777777" w:rsidR="00AC1390" w:rsidRPr="00444F2C" w:rsidRDefault="00AC1390" w:rsidP="00AC1390">
            <w:pPr>
              <w:jc w:val="both"/>
              <w:rPr>
                <w:sz w:val="22"/>
                <w:szCs w:val="22"/>
              </w:rPr>
            </w:pPr>
          </w:p>
        </w:tc>
      </w:tr>
      <w:tr w:rsidR="008F00A0" w:rsidRPr="00444F2C" w14:paraId="0ECB10F4" w14:textId="77777777" w:rsidTr="00CD60C4">
        <w:tc>
          <w:tcPr>
            <w:tcW w:w="777" w:type="dxa"/>
            <w:vAlign w:val="center"/>
          </w:tcPr>
          <w:p w14:paraId="57FFC04F" w14:textId="6FB5E846" w:rsidR="008F00A0" w:rsidRDefault="008F00A0" w:rsidP="008F00A0">
            <w:pPr>
              <w:jc w:val="center"/>
              <w:rPr>
                <w:sz w:val="22"/>
                <w:szCs w:val="22"/>
              </w:rPr>
            </w:pPr>
            <w:r>
              <w:rPr>
                <w:sz w:val="22"/>
                <w:szCs w:val="22"/>
              </w:rPr>
              <w:t xml:space="preserve">  </w:t>
            </w:r>
            <w:r w:rsidRPr="00882123">
              <w:rPr>
                <w:sz w:val="22"/>
                <w:szCs w:val="22"/>
              </w:rPr>
              <w:t>4%</w:t>
            </w:r>
          </w:p>
        </w:tc>
        <w:tc>
          <w:tcPr>
            <w:tcW w:w="815" w:type="dxa"/>
            <w:vAlign w:val="center"/>
          </w:tcPr>
          <w:p w14:paraId="0981776F" w14:textId="0D299AB1" w:rsidR="008F00A0" w:rsidRDefault="008F00A0" w:rsidP="008F00A0">
            <w:pPr>
              <w:jc w:val="center"/>
              <w:rPr>
                <w:sz w:val="22"/>
                <w:szCs w:val="22"/>
              </w:rPr>
            </w:pPr>
            <w:r w:rsidRPr="008F00A0">
              <w:rPr>
                <w:sz w:val="22"/>
                <w:szCs w:val="22"/>
              </w:rPr>
              <w:t>27%</w:t>
            </w:r>
          </w:p>
        </w:tc>
        <w:tc>
          <w:tcPr>
            <w:tcW w:w="751" w:type="dxa"/>
            <w:vAlign w:val="center"/>
          </w:tcPr>
          <w:p w14:paraId="46CFA3E8" w14:textId="4A5A5BB0" w:rsidR="008F00A0" w:rsidRPr="00444F2C" w:rsidRDefault="008F00A0" w:rsidP="008F00A0">
            <w:pPr>
              <w:jc w:val="center"/>
              <w:rPr>
                <w:sz w:val="22"/>
                <w:szCs w:val="22"/>
              </w:rPr>
            </w:pPr>
            <w:r w:rsidRPr="008F00A0">
              <w:rPr>
                <w:sz w:val="22"/>
                <w:szCs w:val="22"/>
              </w:rPr>
              <w:t>67%</w:t>
            </w:r>
          </w:p>
        </w:tc>
        <w:tc>
          <w:tcPr>
            <w:tcW w:w="3960" w:type="dxa"/>
          </w:tcPr>
          <w:p w14:paraId="26CFD92B" w14:textId="77777777" w:rsidR="008F00A0" w:rsidRPr="00444F2C" w:rsidRDefault="008F00A0" w:rsidP="008F00A0">
            <w:pPr>
              <w:jc w:val="both"/>
              <w:rPr>
                <w:sz w:val="22"/>
                <w:szCs w:val="22"/>
              </w:rPr>
            </w:pPr>
            <w:r w:rsidRPr="00444F2C">
              <w:rPr>
                <w:sz w:val="22"/>
                <w:szCs w:val="22"/>
              </w:rPr>
              <w:t>A11.</w:t>
            </w:r>
            <w:r>
              <w:rPr>
                <w:sz w:val="22"/>
                <w:szCs w:val="22"/>
              </w:rPr>
              <w:t xml:space="preserve"> </w:t>
            </w:r>
            <w:r w:rsidRPr="00444F2C">
              <w:rPr>
                <w:sz w:val="22"/>
                <w:szCs w:val="22"/>
              </w:rPr>
              <w:t>Cross-cutting issues</w:t>
            </w:r>
          </w:p>
        </w:tc>
      </w:tr>
      <w:tr w:rsidR="008F00A0" w:rsidRPr="00444F2C" w14:paraId="36C3909D" w14:textId="77777777" w:rsidTr="00CD60C4">
        <w:tc>
          <w:tcPr>
            <w:tcW w:w="777" w:type="dxa"/>
            <w:vAlign w:val="center"/>
          </w:tcPr>
          <w:p w14:paraId="1F561B50" w14:textId="440AFDD5" w:rsidR="008F00A0" w:rsidRDefault="008F00A0" w:rsidP="008F00A0">
            <w:pPr>
              <w:jc w:val="center"/>
              <w:rPr>
                <w:sz w:val="22"/>
                <w:szCs w:val="22"/>
              </w:rPr>
            </w:pPr>
            <w:r w:rsidRPr="00882123">
              <w:rPr>
                <w:sz w:val="22"/>
                <w:szCs w:val="22"/>
              </w:rPr>
              <w:t>14%</w:t>
            </w:r>
          </w:p>
        </w:tc>
        <w:tc>
          <w:tcPr>
            <w:tcW w:w="815" w:type="dxa"/>
            <w:vAlign w:val="center"/>
          </w:tcPr>
          <w:p w14:paraId="45628828" w14:textId="3B64D82D" w:rsidR="008F00A0" w:rsidRDefault="008F00A0" w:rsidP="008F00A0">
            <w:pPr>
              <w:jc w:val="center"/>
              <w:rPr>
                <w:sz w:val="22"/>
                <w:szCs w:val="22"/>
              </w:rPr>
            </w:pPr>
            <w:r w:rsidRPr="008F00A0">
              <w:rPr>
                <w:sz w:val="22"/>
                <w:szCs w:val="22"/>
              </w:rPr>
              <w:t>39%</w:t>
            </w:r>
          </w:p>
        </w:tc>
        <w:tc>
          <w:tcPr>
            <w:tcW w:w="751" w:type="dxa"/>
            <w:vAlign w:val="center"/>
          </w:tcPr>
          <w:p w14:paraId="700E33EE" w14:textId="46A61491" w:rsidR="008F00A0" w:rsidRPr="00444F2C" w:rsidRDefault="008F00A0" w:rsidP="008F00A0">
            <w:pPr>
              <w:jc w:val="center"/>
              <w:rPr>
                <w:sz w:val="22"/>
                <w:szCs w:val="22"/>
              </w:rPr>
            </w:pPr>
            <w:r w:rsidRPr="008F00A0">
              <w:rPr>
                <w:sz w:val="22"/>
                <w:szCs w:val="22"/>
              </w:rPr>
              <w:t>47%</w:t>
            </w:r>
          </w:p>
        </w:tc>
        <w:tc>
          <w:tcPr>
            <w:tcW w:w="3960" w:type="dxa"/>
          </w:tcPr>
          <w:p w14:paraId="6BEB23A6" w14:textId="77777777" w:rsidR="008F00A0" w:rsidRPr="00444F2C" w:rsidRDefault="008F00A0" w:rsidP="008F00A0">
            <w:pPr>
              <w:jc w:val="both"/>
              <w:rPr>
                <w:sz w:val="22"/>
                <w:szCs w:val="22"/>
              </w:rPr>
            </w:pPr>
            <w:r w:rsidRPr="00444F2C">
              <w:rPr>
                <w:sz w:val="22"/>
                <w:szCs w:val="22"/>
              </w:rPr>
              <w:t>A12.</w:t>
            </w:r>
            <w:r>
              <w:rPr>
                <w:sz w:val="22"/>
                <w:szCs w:val="22"/>
              </w:rPr>
              <w:t xml:space="preserve"> </w:t>
            </w:r>
            <w:r w:rsidRPr="00444F2C">
              <w:rPr>
                <w:sz w:val="22"/>
                <w:szCs w:val="22"/>
              </w:rPr>
              <w:t xml:space="preserve">R&amp;D </w:t>
            </w:r>
          </w:p>
        </w:tc>
      </w:tr>
      <w:tr w:rsidR="008F00A0" w:rsidRPr="00444F2C" w14:paraId="31EF7C55" w14:textId="77777777" w:rsidTr="00CD60C4">
        <w:tc>
          <w:tcPr>
            <w:tcW w:w="777" w:type="dxa"/>
            <w:vAlign w:val="center"/>
          </w:tcPr>
          <w:p w14:paraId="078FB3E0" w14:textId="374B2DA1" w:rsidR="008F00A0" w:rsidRDefault="008F00A0" w:rsidP="008F00A0">
            <w:pPr>
              <w:jc w:val="center"/>
              <w:rPr>
                <w:sz w:val="22"/>
                <w:szCs w:val="22"/>
              </w:rPr>
            </w:pPr>
            <w:r>
              <w:rPr>
                <w:sz w:val="22"/>
                <w:szCs w:val="22"/>
              </w:rPr>
              <w:t xml:space="preserve">  </w:t>
            </w:r>
            <w:r w:rsidRPr="00882123">
              <w:rPr>
                <w:sz w:val="22"/>
                <w:szCs w:val="22"/>
              </w:rPr>
              <w:t>6%</w:t>
            </w:r>
          </w:p>
        </w:tc>
        <w:tc>
          <w:tcPr>
            <w:tcW w:w="815" w:type="dxa"/>
            <w:vAlign w:val="center"/>
          </w:tcPr>
          <w:p w14:paraId="2EF44DE0" w14:textId="15232D3C" w:rsidR="008F00A0" w:rsidRDefault="008F00A0" w:rsidP="008F00A0">
            <w:pPr>
              <w:jc w:val="center"/>
              <w:rPr>
                <w:sz w:val="22"/>
                <w:szCs w:val="22"/>
              </w:rPr>
            </w:pPr>
            <w:r w:rsidRPr="008F00A0">
              <w:rPr>
                <w:sz w:val="22"/>
                <w:szCs w:val="22"/>
              </w:rPr>
              <w:t>24%</w:t>
            </w:r>
          </w:p>
        </w:tc>
        <w:tc>
          <w:tcPr>
            <w:tcW w:w="751" w:type="dxa"/>
            <w:vAlign w:val="center"/>
          </w:tcPr>
          <w:p w14:paraId="6D5C585F" w14:textId="19425818" w:rsidR="008F00A0" w:rsidRPr="00444F2C" w:rsidRDefault="008F00A0" w:rsidP="008F00A0">
            <w:pPr>
              <w:jc w:val="center"/>
              <w:rPr>
                <w:sz w:val="22"/>
                <w:szCs w:val="22"/>
              </w:rPr>
            </w:pPr>
            <w:r w:rsidRPr="008F00A0">
              <w:rPr>
                <w:sz w:val="22"/>
                <w:szCs w:val="22"/>
              </w:rPr>
              <w:t>70%</w:t>
            </w:r>
          </w:p>
        </w:tc>
        <w:tc>
          <w:tcPr>
            <w:tcW w:w="3960" w:type="dxa"/>
          </w:tcPr>
          <w:p w14:paraId="0AB73817" w14:textId="77777777" w:rsidR="008F00A0" w:rsidRPr="00444F2C" w:rsidRDefault="008F00A0" w:rsidP="008F00A0">
            <w:pPr>
              <w:jc w:val="both"/>
              <w:rPr>
                <w:sz w:val="22"/>
                <w:szCs w:val="22"/>
              </w:rPr>
            </w:pPr>
            <w:r w:rsidRPr="00444F2C">
              <w:rPr>
                <w:sz w:val="22"/>
                <w:szCs w:val="22"/>
              </w:rPr>
              <w:t>A13.</w:t>
            </w:r>
            <w:r>
              <w:rPr>
                <w:sz w:val="22"/>
                <w:szCs w:val="22"/>
              </w:rPr>
              <w:t xml:space="preserve"> </w:t>
            </w:r>
            <w:r w:rsidRPr="00444F2C">
              <w:rPr>
                <w:sz w:val="22"/>
                <w:szCs w:val="22"/>
              </w:rPr>
              <w:t>Digitalization</w:t>
            </w:r>
          </w:p>
        </w:tc>
      </w:tr>
      <w:tr w:rsidR="008F00A0" w:rsidRPr="00444F2C" w14:paraId="6C44A511" w14:textId="77777777" w:rsidTr="00CD60C4">
        <w:tc>
          <w:tcPr>
            <w:tcW w:w="777" w:type="dxa"/>
            <w:vAlign w:val="center"/>
          </w:tcPr>
          <w:p w14:paraId="4B81A8A3" w14:textId="10129143" w:rsidR="008F00A0" w:rsidRDefault="008F00A0" w:rsidP="008F00A0">
            <w:pPr>
              <w:jc w:val="center"/>
              <w:rPr>
                <w:sz w:val="22"/>
                <w:szCs w:val="22"/>
              </w:rPr>
            </w:pPr>
            <w:r w:rsidRPr="00882123">
              <w:rPr>
                <w:sz w:val="22"/>
                <w:szCs w:val="22"/>
              </w:rPr>
              <w:t>13%</w:t>
            </w:r>
          </w:p>
        </w:tc>
        <w:tc>
          <w:tcPr>
            <w:tcW w:w="815" w:type="dxa"/>
            <w:vAlign w:val="center"/>
          </w:tcPr>
          <w:p w14:paraId="482F544C" w14:textId="5209C394" w:rsidR="008F00A0" w:rsidRDefault="008F00A0" w:rsidP="008F00A0">
            <w:pPr>
              <w:jc w:val="center"/>
              <w:rPr>
                <w:sz w:val="22"/>
                <w:szCs w:val="22"/>
              </w:rPr>
            </w:pPr>
            <w:r w:rsidRPr="008F00A0">
              <w:rPr>
                <w:sz w:val="22"/>
                <w:szCs w:val="22"/>
              </w:rPr>
              <w:t>17%</w:t>
            </w:r>
          </w:p>
        </w:tc>
        <w:tc>
          <w:tcPr>
            <w:tcW w:w="751" w:type="dxa"/>
            <w:vAlign w:val="center"/>
          </w:tcPr>
          <w:p w14:paraId="5AC1D4B4" w14:textId="5567EC0A" w:rsidR="008F00A0" w:rsidRPr="00444F2C" w:rsidRDefault="008F00A0" w:rsidP="008F00A0">
            <w:pPr>
              <w:jc w:val="center"/>
              <w:rPr>
                <w:sz w:val="22"/>
                <w:szCs w:val="22"/>
              </w:rPr>
            </w:pPr>
            <w:r w:rsidRPr="008F00A0">
              <w:rPr>
                <w:sz w:val="22"/>
                <w:szCs w:val="22"/>
              </w:rPr>
              <w:t>70%</w:t>
            </w:r>
          </w:p>
        </w:tc>
        <w:tc>
          <w:tcPr>
            <w:tcW w:w="3960" w:type="dxa"/>
          </w:tcPr>
          <w:p w14:paraId="5909E936" w14:textId="77777777" w:rsidR="008F00A0" w:rsidRPr="00444F2C" w:rsidRDefault="008F00A0" w:rsidP="008F00A0">
            <w:pPr>
              <w:jc w:val="both"/>
              <w:rPr>
                <w:sz w:val="22"/>
                <w:szCs w:val="22"/>
              </w:rPr>
            </w:pPr>
            <w:r w:rsidRPr="00444F2C">
              <w:rPr>
                <w:sz w:val="22"/>
                <w:szCs w:val="22"/>
              </w:rPr>
              <w:t>A14.</w:t>
            </w:r>
            <w:r>
              <w:rPr>
                <w:sz w:val="22"/>
                <w:szCs w:val="22"/>
              </w:rPr>
              <w:t xml:space="preserve"> </w:t>
            </w:r>
            <w:r w:rsidRPr="00444F2C">
              <w:rPr>
                <w:sz w:val="22"/>
                <w:szCs w:val="22"/>
              </w:rPr>
              <w:t>Gender</w:t>
            </w:r>
          </w:p>
        </w:tc>
      </w:tr>
      <w:tr w:rsidR="008F00A0" w:rsidRPr="00444F2C" w14:paraId="19107248" w14:textId="77777777" w:rsidTr="00CD60C4">
        <w:tc>
          <w:tcPr>
            <w:tcW w:w="777" w:type="dxa"/>
            <w:vAlign w:val="center"/>
          </w:tcPr>
          <w:p w14:paraId="207D5EF6" w14:textId="543D6FAF" w:rsidR="008F00A0" w:rsidRDefault="008F00A0" w:rsidP="008F00A0">
            <w:pPr>
              <w:jc w:val="center"/>
              <w:rPr>
                <w:sz w:val="22"/>
                <w:szCs w:val="22"/>
              </w:rPr>
            </w:pPr>
            <w:r w:rsidRPr="00882123">
              <w:rPr>
                <w:sz w:val="22"/>
                <w:szCs w:val="22"/>
              </w:rPr>
              <w:t>10%</w:t>
            </w:r>
          </w:p>
        </w:tc>
        <w:tc>
          <w:tcPr>
            <w:tcW w:w="815" w:type="dxa"/>
            <w:vAlign w:val="center"/>
          </w:tcPr>
          <w:p w14:paraId="04B0B87F" w14:textId="468B71CE" w:rsidR="008F00A0" w:rsidRDefault="008F00A0" w:rsidP="008F00A0">
            <w:pPr>
              <w:jc w:val="center"/>
              <w:rPr>
                <w:sz w:val="22"/>
                <w:szCs w:val="22"/>
              </w:rPr>
            </w:pPr>
            <w:r w:rsidRPr="008F00A0">
              <w:rPr>
                <w:sz w:val="22"/>
                <w:szCs w:val="22"/>
              </w:rPr>
              <w:t>21%</w:t>
            </w:r>
          </w:p>
        </w:tc>
        <w:tc>
          <w:tcPr>
            <w:tcW w:w="751" w:type="dxa"/>
            <w:vAlign w:val="center"/>
          </w:tcPr>
          <w:p w14:paraId="0AA28B4D" w14:textId="6DA745E2" w:rsidR="008F00A0" w:rsidRPr="00444F2C" w:rsidRDefault="008F00A0" w:rsidP="008F00A0">
            <w:pPr>
              <w:jc w:val="center"/>
              <w:rPr>
                <w:sz w:val="22"/>
                <w:szCs w:val="22"/>
              </w:rPr>
            </w:pPr>
            <w:r w:rsidRPr="008F00A0">
              <w:rPr>
                <w:sz w:val="22"/>
                <w:szCs w:val="22"/>
              </w:rPr>
              <w:t>69%</w:t>
            </w:r>
          </w:p>
        </w:tc>
        <w:tc>
          <w:tcPr>
            <w:tcW w:w="3960" w:type="dxa"/>
          </w:tcPr>
          <w:p w14:paraId="18C6AE11" w14:textId="77777777" w:rsidR="008F00A0" w:rsidRPr="00444F2C" w:rsidRDefault="008F00A0" w:rsidP="008F00A0">
            <w:pPr>
              <w:jc w:val="both"/>
              <w:rPr>
                <w:sz w:val="22"/>
                <w:szCs w:val="22"/>
              </w:rPr>
            </w:pPr>
            <w:r w:rsidRPr="00444F2C">
              <w:rPr>
                <w:sz w:val="22"/>
                <w:szCs w:val="22"/>
              </w:rPr>
              <w:t>A15.</w:t>
            </w:r>
            <w:r>
              <w:rPr>
                <w:sz w:val="22"/>
                <w:szCs w:val="22"/>
              </w:rPr>
              <w:t xml:space="preserve"> </w:t>
            </w:r>
            <w:r w:rsidRPr="00444F2C">
              <w:rPr>
                <w:sz w:val="22"/>
                <w:szCs w:val="22"/>
              </w:rPr>
              <w:t>Indigenous peoples</w:t>
            </w:r>
          </w:p>
        </w:tc>
      </w:tr>
    </w:tbl>
    <w:p w14:paraId="1772BD49" w14:textId="77777777" w:rsidR="008A66E4" w:rsidRDefault="008A66E4" w:rsidP="00485B5A">
      <w:pPr>
        <w:spacing w:after="0" w:line="240" w:lineRule="auto"/>
        <w:jc w:val="both"/>
        <w:rPr>
          <w:sz w:val="22"/>
          <w:szCs w:val="22"/>
        </w:rPr>
      </w:pPr>
    </w:p>
    <w:tbl>
      <w:tblPr>
        <w:tblStyle w:val="TableGrid"/>
        <w:tblW w:w="9463" w:type="dxa"/>
        <w:tblLook w:val="04A0" w:firstRow="1" w:lastRow="0" w:firstColumn="1" w:lastColumn="0" w:noHBand="0" w:noVBand="1"/>
      </w:tblPr>
      <w:tblGrid>
        <w:gridCol w:w="805"/>
        <w:gridCol w:w="810"/>
        <w:gridCol w:w="720"/>
        <w:gridCol w:w="7128"/>
      </w:tblGrid>
      <w:tr w:rsidR="00AC1390" w:rsidRPr="00444F2C" w14:paraId="78A25AD0" w14:textId="77777777" w:rsidTr="00CD60C4">
        <w:tc>
          <w:tcPr>
            <w:tcW w:w="805" w:type="dxa"/>
            <w:shd w:val="clear" w:color="auto" w:fill="D9D9D9" w:themeFill="background1" w:themeFillShade="D9"/>
          </w:tcPr>
          <w:p w14:paraId="7836B31A" w14:textId="25F688C3" w:rsidR="00AC1390" w:rsidRDefault="00AC1390" w:rsidP="00AC1390">
            <w:pPr>
              <w:jc w:val="both"/>
              <w:rPr>
                <w:sz w:val="22"/>
                <w:szCs w:val="22"/>
                <w:lang w:val="fr-FR"/>
              </w:rPr>
            </w:pPr>
            <w:r>
              <w:rPr>
                <w:sz w:val="22"/>
                <w:szCs w:val="22"/>
              </w:rPr>
              <w:t>Easy</w:t>
            </w:r>
          </w:p>
        </w:tc>
        <w:tc>
          <w:tcPr>
            <w:tcW w:w="810" w:type="dxa"/>
            <w:shd w:val="clear" w:color="auto" w:fill="D9D9D9" w:themeFill="background1" w:themeFillShade="D9"/>
          </w:tcPr>
          <w:p w14:paraId="6581EEE5" w14:textId="7E739524" w:rsidR="00AC1390" w:rsidRDefault="00AC1390" w:rsidP="00AC1390">
            <w:pPr>
              <w:jc w:val="both"/>
              <w:rPr>
                <w:sz w:val="22"/>
                <w:szCs w:val="22"/>
                <w:lang w:val="fr-FR"/>
              </w:rPr>
            </w:pPr>
            <w:r>
              <w:rPr>
                <w:sz w:val="22"/>
                <w:szCs w:val="22"/>
              </w:rPr>
              <w:t>Mod.</w:t>
            </w:r>
          </w:p>
        </w:tc>
        <w:tc>
          <w:tcPr>
            <w:tcW w:w="720" w:type="dxa"/>
            <w:shd w:val="clear" w:color="auto" w:fill="D9D9D9" w:themeFill="background1" w:themeFillShade="D9"/>
          </w:tcPr>
          <w:p w14:paraId="44B6AA2C" w14:textId="753D41A0" w:rsidR="00AC1390" w:rsidRDefault="00AC1390" w:rsidP="00AC1390">
            <w:pPr>
              <w:jc w:val="both"/>
              <w:rPr>
                <w:sz w:val="22"/>
                <w:szCs w:val="22"/>
                <w:lang w:val="fr-FR"/>
              </w:rPr>
            </w:pPr>
            <w:r>
              <w:rPr>
                <w:sz w:val="22"/>
                <w:szCs w:val="22"/>
              </w:rPr>
              <w:t>Diff.</w:t>
            </w:r>
          </w:p>
        </w:tc>
        <w:tc>
          <w:tcPr>
            <w:tcW w:w="7128" w:type="dxa"/>
            <w:shd w:val="clear" w:color="auto" w:fill="D9D9D9" w:themeFill="background1" w:themeFillShade="D9"/>
          </w:tcPr>
          <w:p w14:paraId="2EAB31CD" w14:textId="77777777" w:rsidR="00AC1390" w:rsidRPr="00444F2C" w:rsidRDefault="00AC1390" w:rsidP="00AC1390">
            <w:pPr>
              <w:jc w:val="both"/>
              <w:rPr>
                <w:sz w:val="22"/>
                <w:szCs w:val="22"/>
                <w:lang w:val="fr-FR"/>
              </w:rPr>
            </w:pPr>
          </w:p>
        </w:tc>
      </w:tr>
      <w:tr w:rsidR="008F00A0" w:rsidRPr="00E35EED" w14:paraId="70ADE415" w14:textId="77777777" w:rsidTr="00CD60C4">
        <w:tc>
          <w:tcPr>
            <w:tcW w:w="805" w:type="dxa"/>
            <w:vAlign w:val="center"/>
          </w:tcPr>
          <w:p w14:paraId="0782D97F" w14:textId="3782A3B2" w:rsidR="008F00A0" w:rsidRPr="008F29A2" w:rsidRDefault="008F00A0" w:rsidP="008F00A0">
            <w:pPr>
              <w:jc w:val="center"/>
              <w:rPr>
                <w:sz w:val="22"/>
                <w:szCs w:val="22"/>
              </w:rPr>
            </w:pPr>
            <w:r w:rsidRPr="008F29A2">
              <w:rPr>
                <w:sz w:val="22"/>
                <w:szCs w:val="22"/>
              </w:rPr>
              <w:t>11%</w:t>
            </w:r>
          </w:p>
        </w:tc>
        <w:tc>
          <w:tcPr>
            <w:tcW w:w="810" w:type="dxa"/>
            <w:vAlign w:val="center"/>
          </w:tcPr>
          <w:p w14:paraId="41DEA166" w14:textId="7B89A4ED" w:rsidR="008F00A0" w:rsidRPr="008F00A0" w:rsidRDefault="008F00A0" w:rsidP="008F00A0">
            <w:pPr>
              <w:jc w:val="center"/>
              <w:rPr>
                <w:sz w:val="22"/>
                <w:szCs w:val="22"/>
              </w:rPr>
            </w:pPr>
            <w:r w:rsidRPr="008F00A0">
              <w:rPr>
                <w:sz w:val="22"/>
                <w:szCs w:val="22"/>
              </w:rPr>
              <w:t>62%</w:t>
            </w:r>
          </w:p>
        </w:tc>
        <w:tc>
          <w:tcPr>
            <w:tcW w:w="720" w:type="dxa"/>
            <w:vAlign w:val="center"/>
          </w:tcPr>
          <w:p w14:paraId="14E28BBE" w14:textId="68F953A3" w:rsidR="008F00A0" w:rsidRPr="008F00A0" w:rsidRDefault="008F00A0" w:rsidP="008F00A0">
            <w:pPr>
              <w:jc w:val="center"/>
              <w:rPr>
                <w:sz w:val="22"/>
                <w:szCs w:val="22"/>
              </w:rPr>
            </w:pPr>
            <w:r w:rsidRPr="008F00A0">
              <w:rPr>
                <w:sz w:val="22"/>
                <w:szCs w:val="22"/>
              </w:rPr>
              <w:t>26%</w:t>
            </w:r>
          </w:p>
        </w:tc>
        <w:tc>
          <w:tcPr>
            <w:tcW w:w="7128" w:type="dxa"/>
          </w:tcPr>
          <w:p w14:paraId="5217A8A7" w14:textId="77777777" w:rsidR="008F00A0" w:rsidRPr="00444F2C" w:rsidRDefault="008F00A0" w:rsidP="008F00A0">
            <w:pPr>
              <w:jc w:val="both"/>
              <w:rPr>
                <w:sz w:val="22"/>
                <w:szCs w:val="22"/>
                <w:lang w:val="fr-FR"/>
              </w:rPr>
            </w:pPr>
            <w:r w:rsidRPr="00444F2C">
              <w:rPr>
                <w:sz w:val="22"/>
                <w:szCs w:val="22"/>
                <w:lang w:val="fr-FR"/>
              </w:rPr>
              <w:t>B1.</w:t>
            </w:r>
            <w:r>
              <w:rPr>
                <w:sz w:val="22"/>
                <w:szCs w:val="22"/>
                <w:lang w:val="fr-FR"/>
              </w:rPr>
              <w:t xml:space="preserve"> </w:t>
            </w:r>
            <w:r w:rsidRPr="00444F2C">
              <w:rPr>
                <w:sz w:val="22"/>
                <w:szCs w:val="22"/>
                <w:lang w:val="fr-FR"/>
              </w:rPr>
              <w:t>COFOG structure/classification principles</w:t>
            </w:r>
          </w:p>
        </w:tc>
      </w:tr>
      <w:tr w:rsidR="008F00A0" w:rsidRPr="00444F2C" w14:paraId="43329214" w14:textId="77777777" w:rsidTr="00CD60C4">
        <w:tc>
          <w:tcPr>
            <w:tcW w:w="805" w:type="dxa"/>
            <w:vAlign w:val="center"/>
          </w:tcPr>
          <w:p w14:paraId="5A13FC87" w14:textId="193A9B75" w:rsidR="008F00A0" w:rsidRPr="008F29A2" w:rsidRDefault="008F00A0" w:rsidP="008F00A0">
            <w:pPr>
              <w:jc w:val="center"/>
              <w:rPr>
                <w:sz w:val="22"/>
                <w:szCs w:val="22"/>
              </w:rPr>
            </w:pPr>
            <w:r w:rsidRPr="001A783D">
              <w:rPr>
                <w:sz w:val="22"/>
                <w:szCs w:val="22"/>
                <w:lang w:val="fr-FR"/>
              </w:rPr>
              <w:t xml:space="preserve">  </w:t>
            </w:r>
            <w:r w:rsidRPr="008F29A2">
              <w:rPr>
                <w:sz w:val="22"/>
                <w:szCs w:val="22"/>
              </w:rPr>
              <w:t>4%</w:t>
            </w:r>
          </w:p>
        </w:tc>
        <w:tc>
          <w:tcPr>
            <w:tcW w:w="810" w:type="dxa"/>
            <w:vAlign w:val="center"/>
          </w:tcPr>
          <w:p w14:paraId="4BCBAD78" w14:textId="28CF2FC9" w:rsidR="008F00A0" w:rsidRPr="008F00A0" w:rsidRDefault="008F00A0" w:rsidP="008F00A0">
            <w:pPr>
              <w:jc w:val="center"/>
              <w:rPr>
                <w:sz w:val="22"/>
                <w:szCs w:val="22"/>
              </w:rPr>
            </w:pPr>
            <w:r w:rsidRPr="008F00A0">
              <w:rPr>
                <w:sz w:val="22"/>
                <w:szCs w:val="22"/>
              </w:rPr>
              <w:t>35%</w:t>
            </w:r>
          </w:p>
        </w:tc>
        <w:tc>
          <w:tcPr>
            <w:tcW w:w="720" w:type="dxa"/>
            <w:vAlign w:val="center"/>
          </w:tcPr>
          <w:p w14:paraId="5FCABA0C" w14:textId="7012285E" w:rsidR="008F00A0" w:rsidRPr="008F00A0" w:rsidRDefault="008F00A0" w:rsidP="008F00A0">
            <w:pPr>
              <w:jc w:val="center"/>
              <w:rPr>
                <w:sz w:val="22"/>
                <w:szCs w:val="22"/>
              </w:rPr>
            </w:pPr>
            <w:r w:rsidRPr="008F00A0">
              <w:rPr>
                <w:sz w:val="22"/>
                <w:szCs w:val="22"/>
              </w:rPr>
              <w:t>58%</w:t>
            </w:r>
          </w:p>
        </w:tc>
        <w:tc>
          <w:tcPr>
            <w:tcW w:w="7128" w:type="dxa"/>
          </w:tcPr>
          <w:p w14:paraId="7F5035F2" w14:textId="77777777" w:rsidR="008F00A0" w:rsidRPr="00444F2C" w:rsidRDefault="008F00A0" w:rsidP="008F00A0">
            <w:pPr>
              <w:jc w:val="both"/>
              <w:rPr>
                <w:sz w:val="22"/>
                <w:szCs w:val="22"/>
              </w:rPr>
            </w:pPr>
            <w:r w:rsidRPr="00444F2C">
              <w:rPr>
                <w:sz w:val="22"/>
                <w:szCs w:val="22"/>
              </w:rPr>
              <w:t>B2.</w:t>
            </w:r>
            <w:r>
              <w:rPr>
                <w:sz w:val="22"/>
                <w:szCs w:val="22"/>
              </w:rPr>
              <w:t xml:space="preserve"> </w:t>
            </w:r>
            <w:r w:rsidRPr="00444F2C">
              <w:rPr>
                <w:sz w:val="22"/>
                <w:szCs w:val="22"/>
              </w:rPr>
              <w:t>Primary/secondary purpose</w:t>
            </w:r>
          </w:p>
        </w:tc>
      </w:tr>
      <w:tr w:rsidR="008F00A0" w:rsidRPr="00444F2C" w14:paraId="32627098" w14:textId="77777777" w:rsidTr="00CD60C4">
        <w:tc>
          <w:tcPr>
            <w:tcW w:w="805" w:type="dxa"/>
            <w:vAlign w:val="center"/>
          </w:tcPr>
          <w:p w14:paraId="061AEB33" w14:textId="615DDECE" w:rsidR="008F00A0" w:rsidRPr="008F29A2" w:rsidRDefault="008F00A0" w:rsidP="008F00A0">
            <w:pPr>
              <w:jc w:val="center"/>
              <w:rPr>
                <w:sz w:val="22"/>
                <w:szCs w:val="22"/>
              </w:rPr>
            </w:pPr>
            <w:r w:rsidRPr="008F29A2">
              <w:rPr>
                <w:sz w:val="22"/>
                <w:szCs w:val="22"/>
              </w:rPr>
              <w:t>11%</w:t>
            </w:r>
          </w:p>
        </w:tc>
        <w:tc>
          <w:tcPr>
            <w:tcW w:w="810" w:type="dxa"/>
            <w:vAlign w:val="center"/>
          </w:tcPr>
          <w:p w14:paraId="51BDC683" w14:textId="6C18672B" w:rsidR="008F00A0" w:rsidRPr="008F00A0" w:rsidRDefault="008F00A0" w:rsidP="008F00A0">
            <w:pPr>
              <w:jc w:val="center"/>
              <w:rPr>
                <w:sz w:val="22"/>
                <w:szCs w:val="22"/>
              </w:rPr>
            </w:pPr>
            <w:r w:rsidRPr="008F00A0">
              <w:rPr>
                <w:sz w:val="22"/>
                <w:szCs w:val="22"/>
              </w:rPr>
              <w:t>52%</w:t>
            </w:r>
          </w:p>
        </w:tc>
        <w:tc>
          <w:tcPr>
            <w:tcW w:w="720" w:type="dxa"/>
            <w:vAlign w:val="center"/>
          </w:tcPr>
          <w:p w14:paraId="78757843" w14:textId="37DEEA5B" w:rsidR="008F00A0" w:rsidRPr="00444F2C" w:rsidRDefault="008F00A0" w:rsidP="008F00A0">
            <w:pPr>
              <w:jc w:val="center"/>
              <w:rPr>
                <w:sz w:val="22"/>
                <w:szCs w:val="22"/>
              </w:rPr>
            </w:pPr>
            <w:r w:rsidRPr="008F00A0">
              <w:rPr>
                <w:sz w:val="22"/>
                <w:szCs w:val="22"/>
              </w:rPr>
              <w:t>37%</w:t>
            </w:r>
          </w:p>
        </w:tc>
        <w:tc>
          <w:tcPr>
            <w:tcW w:w="7128" w:type="dxa"/>
          </w:tcPr>
          <w:p w14:paraId="4D939907" w14:textId="77777777" w:rsidR="008F00A0" w:rsidRPr="00444F2C" w:rsidRDefault="008F00A0" w:rsidP="008F00A0">
            <w:pPr>
              <w:jc w:val="both"/>
              <w:rPr>
                <w:sz w:val="22"/>
                <w:szCs w:val="22"/>
              </w:rPr>
            </w:pPr>
            <w:r w:rsidRPr="00444F2C">
              <w:rPr>
                <w:sz w:val="22"/>
                <w:szCs w:val="22"/>
              </w:rPr>
              <w:t>B3.</w:t>
            </w:r>
            <w:r>
              <w:rPr>
                <w:sz w:val="22"/>
                <w:szCs w:val="22"/>
              </w:rPr>
              <w:t xml:space="preserve"> </w:t>
            </w:r>
            <w:r w:rsidRPr="00444F2C">
              <w:rPr>
                <w:sz w:val="22"/>
                <w:szCs w:val="22"/>
              </w:rPr>
              <w:t>Additional uses of COFOG</w:t>
            </w:r>
          </w:p>
        </w:tc>
      </w:tr>
      <w:tr w:rsidR="008F00A0" w:rsidRPr="00444F2C" w14:paraId="5A3A8434" w14:textId="77777777" w:rsidTr="00CD60C4">
        <w:tc>
          <w:tcPr>
            <w:tcW w:w="805" w:type="dxa"/>
            <w:vAlign w:val="center"/>
          </w:tcPr>
          <w:p w14:paraId="058642E6" w14:textId="5B396A44" w:rsidR="008F00A0" w:rsidRPr="008F29A2" w:rsidRDefault="008F00A0" w:rsidP="008F00A0">
            <w:pPr>
              <w:jc w:val="center"/>
              <w:rPr>
                <w:sz w:val="22"/>
                <w:szCs w:val="22"/>
              </w:rPr>
            </w:pPr>
            <w:r w:rsidRPr="008F29A2">
              <w:rPr>
                <w:sz w:val="22"/>
                <w:szCs w:val="22"/>
              </w:rPr>
              <w:t>19%</w:t>
            </w:r>
          </w:p>
        </w:tc>
        <w:tc>
          <w:tcPr>
            <w:tcW w:w="810" w:type="dxa"/>
            <w:vAlign w:val="center"/>
          </w:tcPr>
          <w:p w14:paraId="0AC13691" w14:textId="0F19C921" w:rsidR="008F00A0" w:rsidRPr="008F00A0" w:rsidRDefault="008F00A0" w:rsidP="008F00A0">
            <w:pPr>
              <w:jc w:val="center"/>
              <w:rPr>
                <w:sz w:val="22"/>
                <w:szCs w:val="22"/>
              </w:rPr>
            </w:pPr>
            <w:r w:rsidRPr="008F00A0">
              <w:rPr>
                <w:sz w:val="22"/>
                <w:szCs w:val="22"/>
              </w:rPr>
              <w:t>53%</w:t>
            </w:r>
          </w:p>
        </w:tc>
        <w:tc>
          <w:tcPr>
            <w:tcW w:w="720" w:type="dxa"/>
            <w:vAlign w:val="center"/>
          </w:tcPr>
          <w:p w14:paraId="31571751" w14:textId="67CA7D10" w:rsidR="008F00A0" w:rsidRPr="00444F2C" w:rsidRDefault="008F00A0" w:rsidP="008F00A0">
            <w:pPr>
              <w:jc w:val="center"/>
              <w:rPr>
                <w:sz w:val="22"/>
                <w:szCs w:val="22"/>
              </w:rPr>
            </w:pPr>
            <w:r w:rsidRPr="008F00A0">
              <w:rPr>
                <w:sz w:val="22"/>
                <w:szCs w:val="22"/>
              </w:rPr>
              <w:t>28%</w:t>
            </w:r>
          </w:p>
        </w:tc>
        <w:tc>
          <w:tcPr>
            <w:tcW w:w="7128" w:type="dxa"/>
          </w:tcPr>
          <w:p w14:paraId="75265291" w14:textId="77777777" w:rsidR="008F00A0" w:rsidRPr="00444F2C" w:rsidRDefault="008F00A0" w:rsidP="008F00A0">
            <w:pPr>
              <w:jc w:val="both"/>
              <w:rPr>
                <w:sz w:val="22"/>
                <w:szCs w:val="22"/>
              </w:rPr>
            </w:pPr>
            <w:r w:rsidRPr="00444F2C">
              <w:rPr>
                <w:sz w:val="22"/>
                <w:szCs w:val="22"/>
              </w:rPr>
              <w:t>B4.</w:t>
            </w:r>
            <w:r>
              <w:rPr>
                <w:sz w:val="22"/>
                <w:szCs w:val="22"/>
              </w:rPr>
              <w:t xml:space="preserve"> </w:t>
            </w:r>
            <w:r w:rsidRPr="00444F2C">
              <w:rPr>
                <w:sz w:val="22"/>
                <w:szCs w:val="22"/>
              </w:rPr>
              <w:t>Compilation issues</w:t>
            </w:r>
          </w:p>
        </w:tc>
      </w:tr>
      <w:tr w:rsidR="008F00A0" w:rsidRPr="00444F2C" w14:paraId="52B589E2" w14:textId="77777777" w:rsidTr="00CD60C4">
        <w:tc>
          <w:tcPr>
            <w:tcW w:w="805" w:type="dxa"/>
            <w:vAlign w:val="center"/>
          </w:tcPr>
          <w:p w14:paraId="11EE9EBA" w14:textId="785DD623" w:rsidR="008F00A0" w:rsidRPr="008F29A2" w:rsidRDefault="008F00A0" w:rsidP="008F00A0">
            <w:pPr>
              <w:jc w:val="center"/>
              <w:rPr>
                <w:sz w:val="22"/>
                <w:szCs w:val="22"/>
              </w:rPr>
            </w:pPr>
            <w:r w:rsidRPr="008F29A2">
              <w:rPr>
                <w:sz w:val="22"/>
                <w:szCs w:val="22"/>
              </w:rPr>
              <w:t>23%</w:t>
            </w:r>
          </w:p>
        </w:tc>
        <w:tc>
          <w:tcPr>
            <w:tcW w:w="810" w:type="dxa"/>
            <w:vAlign w:val="center"/>
          </w:tcPr>
          <w:p w14:paraId="0A4C0543" w14:textId="6E413F84" w:rsidR="008F00A0" w:rsidRPr="008F00A0" w:rsidRDefault="008F00A0" w:rsidP="008F00A0">
            <w:pPr>
              <w:jc w:val="center"/>
              <w:rPr>
                <w:sz w:val="22"/>
                <w:szCs w:val="22"/>
              </w:rPr>
            </w:pPr>
            <w:r w:rsidRPr="008F00A0">
              <w:rPr>
                <w:sz w:val="22"/>
                <w:szCs w:val="22"/>
              </w:rPr>
              <w:t>56%</w:t>
            </w:r>
          </w:p>
        </w:tc>
        <w:tc>
          <w:tcPr>
            <w:tcW w:w="720" w:type="dxa"/>
            <w:vAlign w:val="center"/>
          </w:tcPr>
          <w:p w14:paraId="21729DF4" w14:textId="7517C044" w:rsidR="008F00A0" w:rsidRPr="00444F2C" w:rsidRDefault="008F00A0" w:rsidP="008F00A0">
            <w:pPr>
              <w:jc w:val="center"/>
              <w:rPr>
                <w:sz w:val="22"/>
                <w:szCs w:val="22"/>
              </w:rPr>
            </w:pPr>
            <w:r w:rsidRPr="008F00A0">
              <w:rPr>
                <w:sz w:val="22"/>
                <w:szCs w:val="22"/>
              </w:rPr>
              <w:t>21%</w:t>
            </w:r>
          </w:p>
        </w:tc>
        <w:tc>
          <w:tcPr>
            <w:tcW w:w="7128" w:type="dxa"/>
          </w:tcPr>
          <w:p w14:paraId="45225F79" w14:textId="77777777" w:rsidR="008F00A0" w:rsidRPr="00444F2C" w:rsidRDefault="008F00A0" w:rsidP="008F00A0">
            <w:pPr>
              <w:jc w:val="both"/>
              <w:rPr>
                <w:sz w:val="22"/>
                <w:szCs w:val="22"/>
              </w:rPr>
            </w:pPr>
            <w:r w:rsidRPr="00444F2C">
              <w:rPr>
                <w:sz w:val="22"/>
                <w:szCs w:val="22"/>
              </w:rPr>
              <w:t>B5.</w:t>
            </w:r>
            <w:r>
              <w:rPr>
                <w:sz w:val="22"/>
                <w:szCs w:val="22"/>
              </w:rPr>
              <w:t xml:space="preserve"> </w:t>
            </w:r>
            <w:r w:rsidRPr="00444F2C">
              <w:rPr>
                <w:sz w:val="22"/>
                <w:szCs w:val="22"/>
              </w:rPr>
              <w:t>Individual/collective expenditure</w:t>
            </w:r>
          </w:p>
        </w:tc>
      </w:tr>
      <w:tr w:rsidR="008F00A0" w:rsidRPr="00444F2C" w14:paraId="0E46D605" w14:textId="77777777" w:rsidTr="00CD60C4">
        <w:tc>
          <w:tcPr>
            <w:tcW w:w="805" w:type="dxa"/>
            <w:vAlign w:val="center"/>
          </w:tcPr>
          <w:p w14:paraId="197796A5" w14:textId="18ACB553" w:rsidR="008F00A0" w:rsidRPr="008F29A2" w:rsidRDefault="008F00A0" w:rsidP="008F00A0">
            <w:pPr>
              <w:jc w:val="center"/>
              <w:rPr>
                <w:sz w:val="22"/>
                <w:szCs w:val="22"/>
              </w:rPr>
            </w:pPr>
            <w:r w:rsidRPr="008F29A2">
              <w:rPr>
                <w:sz w:val="22"/>
                <w:szCs w:val="22"/>
              </w:rPr>
              <w:t>14%</w:t>
            </w:r>
          </w:p>
        </w:tc>
        <w:tc>
          <w:tcPr>
            <w:tcW w:w="810" w:type="dxa"/>
            <w:vAlign w:val="center"/>
          </w:tcPr>
          <w:p w14:paraId="1BDAEEDE" w14:textId="0F3588A1" w:rsidR="008F00A0" w:rsidRPr="008F00A0" w:rsidRDefault="008F00A0" w:rsidP="008F00A0">
            <w:pPr>
              <w:jc w:val="center"/>
              <w:rPr>
                <w:sz w:val="22"/>
                <w:szCs w:val="22"/>
              </w:rPr>
            </w:pPr>
            <w:r w:rsidRPr="008F00A0">
              <w:rPr>
                <w:sz w:val="22"/>
                <w:szCs w:val="22"/>
              </w:rPr>
              <w:t>56%</w:t>
            </w:r>
          </w:p>
        </w:tc>
        <w:tc>
          <w:tcPr>
            <w:tcW w:w="720" w:type="dxa"/>
            <w:vAlign w:val="center"/>
          </w:tcPr>
          <w:p w14:paraId="390A7398" w14:textId="1861B13A" w:rsidR="008F00A0" w:rsidRPr="00444F2C" w:rsidRDefault="008F00A0" w:rsidP="008F00A0">
            <w:pPr>
              <w:jc w:val="center"/>
              <w:rPr>
                <w:sz w:val="22"/>
                <w:szCs w:val="22"/>
              </w:rPr>
            </w:pPr>
            <w:r w:rsidRPr="008F00A0">
              <w:rPr>
                <w:sz w:val="22"/>
                <w:szCs w:val="22"/>
              </w:rPr>
              <w:t>30%</w:t>
            </w:r>
          </w:p>
        </w:tc>
        <w:tc>
          <w:tcPr>
            <w:tcW w:w="7128" w:type="dxa"/>
          </w:tcPr>
          <w:p w14:paraId="610169DB" w14:textId="77777777" w:rsidR="008F00A0" w:rsidRPr="00444F2C" w:rsidRDefault="008F00A0" w:rsidP="008F00A0">
            <w:pPr>
              <w:jc w:val="both"/>
              <w:rPr>
                <w:sz w:val="22"/>
                <w:szCs w:val="22"/>
              </w:rPr>
            </w:pPr>
            <w:r w:rsidRPr="00444F2C">
              <w:rPr>
                <w:sz w:val="22"/>
                <w:szCs w:val="22"/>
              </w:rPr>
              <w:t>B6.</w:t>
            </w:r>
            <w:r>
              <w:rPr>
                <w:sz w:val="22"/>
                <w:szCs w:val="22"/>
              </w:rPr>
              <w:t xml:space="preserve"> </w:t>
            </w:r>
            <w:r w:rsidRPr="00444F2C">
              <w:rPr>
                <w:sz w:val="22"/>
                <w:szCs w:val="22"/>
              </w:rPr>
              <w:t>Internal consistency w</w:t>
            </w:r>
            <w:r>
              <w:rPr>
                <w:sz w:val="22"/>
                <w:szCs w:val="22"/>
              </w:rPr>
              <w:t>/</w:t>
            </w:r>
            <w:r w:rsidRPr="00444F2C">
              <w:rPr>
                <w:sz w:val="22"/>
                <w:szCs w:val="22"/>
              </w:rPr>
              <w:t xml:space="preserve"> other classifications of expenditure according to purpose</w:t>
            </w:r>
          </w:p>
        </w:tc>
      </w:tr>
      <w:tr w:rsidR="008F00A0" w:rsidRPr="00444F2C" w14:paraId="573F6591" w14:textId="77777777" w:rsidTr="00CD60C4">
        <w:tc>
          <w:tcPr>
            <w:tcW w:w="805" w:type="dxa"/>
            <w:vAlign w:val="center"/>
          </w:tcPr>
          <w:p w14:paraId="4E8D4107" w14:textId="0C347FD1" w:rsidR="008F00A0" w:rsidRPr="008F29A2" w:rsidRDefault="008F00A0" w:rsidP="008F00A0">
            <w:pPr>
              <w:jc w:val="center"/>
              <w:rPr>
                <w:sz w:val="22"/>
                <w:szCs w:val="22"/>
              </w:rPr>
            </w:pPr>
            <w:r>
              <w:rPr>
                <w:sz w:val="22"/>
                <w:szCs w:val="22"/>
              </w:rPr>
              <w:t xml:space="preserve">  </w:t>
            </w:r>
            <w:r w:rsidRPr="008F29A2">
              <w:rPr>
                <w:sz w:val="22"/>
                <w:szCs w:val="22"/>
              </w:rPr>
              <w:t>4%</w:t>
            </w:r>
          </w:p>
        </w:tc>
        <w:tc>
          <w:tcPr>
            <w:tcW w:w="810" w:type="dxa"/>
            <w:vAlign w:val="center"/>
          </w:tcPr>
          <w:p w14:paraId="1C0480C3" w14:textId="5E9ED587" w:rsidR="008F00A0" w:rsidRPr="008F00A0" w:rsidRDefault="008F00A0" w:rsidP="008F00A0">
            <w:pPr>
              <w:jc w:val="center"/>
              <w:rPr>
                <w:sz w:val="22"/>
                <w:szCs w:val="22"/>
              </w:rPr>
            </w:pPr>
            <w:r w:rsidRPr="008F00A0">
              <w:rPr>
                <w:sz w:val="22"/>
                <w:szCs w:val="22"/>
              </w:rPr>
              <w:t>60%</w:t>
            </w:r>
          </w:p>
        </w:tc>
        <w:tc>
          <w:tcPr>
            <w:tcW w:w="720" w:type="dxa"/>
            <w:vAlign w:val="center"/>
          </w:tcPr>
          <w:p w14:paraId="73CC7CCC" w14:textId="7267F64C" w:rsidR="008F00A0" w:rsidRPr="00444F2C" w:rsidRDefault="008F00A0" w:rsidP="008F00A0">
            <w:pPr>
              <w:jc w:val="center"/>
              <w:rPr>
                <w:sz w:val="22"/>
                <w:szCs w:val="22"/>
              </w:rPr>
            </w:pPr>
            <w:r w:rsidRPr="008F00A0">
              <w:rPr>
                <w:sz w:val="22"/>
                <w:szCs w:val="22"/>
              </w:rPr>
              <w:t>36%</w:t>
            </w:r>
          </w:p>
        </w:tc>
        <w:tc>
          <w:tcPr>
            <w:tcW w:w="7128" w:type="dxa"/>
          </w:tcPr>
          <w:p w14:paraId="06DC94A6" w14:textId="77777777" w:rsidR="008F00A0" w:rsidRPr="00444F2C" w:rsidRDefault="008F00A0" w:rsidP="008F00A0">
            <w:pPr>
              <w:jc w:val="both"/>
              <w:rPr>
                <w:sz w:val="22"/>
                <w:szCs w:val="22"/>
              </w:rPr>
            </w:pPr>
            <w:r w:rsidRPr="00444F2C">
              <w:rPr>
                <w:sz w:val="22"/>
                <w:szCs w:val="22"/>
              </w:rPr>
              <w:t>B7.</w:t>
            </w:r>
            <w:r>
              <w:rPr>
                <w:sz w:val="22"/>
                <w:szCs w:val="22"/>
              </w:rPr>
              <w:t xml:space="preserve"> </w:t>
            </w:r>
            <w:r w:rsidRPr="00444F2C">
              <w:rPr>
                <w:sz w:val="22"/>
                <w:szCs w:val="22"/>
              </w:rPr>
              <w:t>Alignment with other classifications/frameworks</w:t>
            </w:r>
          </w:p>
        </w:tc>
      </w:tr>
    </w:tbl>
    <w:p w14:paraId="176C7ADF" w14:textId="77777777" w:rsidR="008A66E4" w:rsidRDefault="008A66E4" w:rsidP="00485B5A">
      <w:pPr>
        <w:spacing w:after="0" w:line="240" w:lineRule="auto"/>
        <w:jc w:val="both"/>
        <w:rPr>
          <w:sz w:val="22"/>
          <w:szCs w:val="22"/>
        </w:rPr>
      </w:pPr>
    </w:p>
    <w:p w14:paraId="5469D362" w14:textId="6D7CD1C6" w:rsidR="008A66E4" w:rsidRDefault="00845E8E" w:rsidP="00485B5A">
      <w:pPr>
        <w:spacing w:after="0" w:line="240" w:lineRule="auto"/>
        <w:jc w:val="both"/>
        <w:rPr>
          <w:sz w:val="22"/>
          <w:szCs w:val="22"/>
        </w:rPr>
      </w:pPr>
      <w:r>
        <w:rPr>
          <w:sz w:val="22"/>
          <w:szCs w:val="22"/>
        </w:rPr>
        <w:t>Respon</w:t>
      </w:r>
      <w:r w:rsidR="004671D4">
        <w:rPr>
          <w:sz w:val="22"/>
          <w:szCs w:val="22"/>
        </w:rPr>
        <w:t xml:space="preserve">ses suggest that the majority of issues may be difficult, or at least moderately difficult, to implement.  </w:t>
      </w:r>
      <w:r>
        <w:rPr>
          <w:sz w:val="22"/>
          <w:szCs w:val="22"/>
        </w:rPr>
        <w:t xml:space="preserve"> </w:t>
      </w:r>
    </w:p>
    <w:p w14:paraId="4AC5CDF8" w14:textId="77777777" w:rsidR="008A66E4" w:rsidRDefault="008A66E4" w:rsidP="00485B5A">
      <w:pPr>
        <w:spacing w:after="0" w:line="240" w:lineRule="auto"/>
        <w:jc w:val="both"/>
        <w:rPr>
          <w:sz w:val="22"/>
          <w:szCs w:val="22"/>
        </w:rPr>
      </w:pPr>
    </w:p>
    <w:p w14:paraId="0C937560" w14:textId="744D781F" w:rsidR="00F3062E" w:rsidRDefault="00F95783" w:rsidP="00485B5A">
      <w:pPr>
        <w:spacing w:after="0" w:line="240" w:lineRule="auto"/>
        <w:jc w:val="both"/>
        <w:rPr>
          <w:sz w:val="22"/>
          <w:szCs w:val="22"/>
        </w:rPr>
      </w:pPr>
      <w:r>
        <w:rPr>
          <w:sz w:val="22"/>
          <w:szCs w:val="22"/>
        </w:rPr>
        <w:t>The issue categories most likely to be considered difficult to implement were</w:t>
      </w:r>
      <w:r w:rsidR="00B21E72">
        <w:rPr>
          <w:sz w:val="22"/>
          <w:szCs w:val="22"/>
        </w:rPr>
        <w:t xml:space="preserve"> focused in the ‘cross-cutting and other </w:t>
      </w:r>
      <w:r w:rsidR="002E46D2">
        <w:rPr>
          <w:sz w:val="22"/>
          <w:szCs w:val="22"/>
        </w:rPr>
        <w:t xml:space="preserve">thematic </w:t>
      </w:r>
      <w:r w:rsidR="00B21E72">
        <w:rPr>
          <w:sz w:val="22"/>
          <w:szCs w:val="22"/>
        </w:rPr>
        <w:t>issues’ categories</w:t>
      </w:r>
      <w:r>
        <w:rPr>
          <w:sz w:val="22"/>
          <w:szCs w:val="22"/>
        </w:rPr>
        <w:t xml:space="preserve">:  </w:t>
      </w:r>
      <w:r w:rsidRPr="00444F2C">
        <w:rPr>
          <w:sz w:val="22"/>
          <w:szCs w:val="22"/>
        </w:rPr>
        <w:t>A13.</w:t>
      </w:r>
      <w:r>
        <w:rPr>
          <w:sz w:val="22"/>
          <w:szCs w:val="22"/>
        </w:rPr>
        <w:t xml:space="preserve"> </w:t>
      </w:r>
      <w:r w:rsidRPr="00444F2C">
        <w:rPr>
          <w:sz w:val="22"/>
          <w:szCs w:val="22"/>
        </w:rPr>
        <w:t>Digitalization</w:t>
      </w:r>
      <w:r>
        <w:rPr>
          <w:sz w:val="22"/>
          <w:szCs w:val="22"/>
        </w:rPr>
        <w:t xml:space="preserve"> and </w:t>
      </w:r>
      <w:r w:rsidRPr="00444F2C">
        <w:rPr>
          <w:sz w:val="22"/>
          <w:szCs w:val="22"/>
        </w:rPr>
        <w:t>A14.</w:t>
      </w:r>
      <w:r>
        <w:rPr>
          <w:sz w:val="22"/>
          <w:szCs w:val="22"/>
        </w:rPr>
        <w:t xml:space="preserve"> </w:t>
      </w:r>
      <w:r w:rsidRPr="00444F2C">
        <w:rPr>
          <w:sz w:val="22"/>
          <w:szCs w:val="22"/>
        </w:rPr>
        <w:t>Gender</w:t>
      </w:r>
      <w:r>
        <w:rPr>
          <w:sz w:val="22"/>
          <w:szCs w:val="22"/>
        </w:rPr>
        <w:t xml:space="preserve"> (both 70%), </w:t>
      </w:r>
      <w:r w:rsidR="002E46D2" w:rsidRPr="00444F2C">
        <w:rPr>
          <w:sz w:val="22"/>
          <w:szCs w:val="22"/>
        </w:rPr>
        <w:t>A15.</w:t>
      </w:r>
      <w:r w:rsidR="002E46D2">
        <w:rPr>
          <w:sz w:val="22"/>
          <w:szCs w:val="22"/>
        </w:rPr>
        <w:t xml:space="preserve"> </w:t>
      </w:r>
      <w:r w:rsidR="002E46D2" w:rsidRPr="00444F2C">
        <w:rPr>
          <w:sz w:val="22"/>
          <w:szCs w:val="22"/>
        </w:rPr>
        <w:t>Indigenous peoples</w:t>
      </w:r>
      <w:r w:rsidR="002E46D2">
        <w:rPr>
          <w:sz w:val="22"/>
          <w:szCs w:val="22"/>
        </w:rPr>
        <w:t xml:space="preserve"> (69%) and </w:t>
      </w:r>
      <w:r w:rsidR="002E46D2" w:rsidRPr="00444F2C">
        <w:rPr>
          <w:sz w:val="22"/>
          <w:szCs w:val="22"/>
        </w:rPr>
        <w:t>A11.</w:t>
      </w:r>
      <w:r w:rsidR="002E46D2">
        <w:rPr>
          <w:sz w:val="22"/>
          <w:szCs w:val="22"/>
        </w:rPr>
        <w:t xml:space="preserve"> </w:t>
      </w:r>
      <w:r w:rsidR="002E46D2" w:rsidRPr="00444F2C">
        <w:rPr>
          <w:sz w:val="22"/>
          <w:szCs w:val="22"/>
        </w:rPr>
        <w:t>Cross-cutting issues</w:t>
      </w:r>
      <w:r w:rsidR="002E46D2">
        <w:rPr>
          <w:sz w:val="22"/>
          <w:szCs w:val="22"/>
        </w:rPr>
        <w:t xml:space="preserve"> (67%).  </w:t>
      </w:r>
    </w:p>
    <w:p w14:paraId="69E44FBA" w14:textId="77777777" w:rsidR="00DF4E43" w:rsidRDefault="00DF4E43" w:rsidP="00485B5A">
      <w:pPr>
        <w:spacing w:after="0" w:line="240" w:lineRule="auto"/>
        <w:jc w:val="both"/>
        <w:rPr>
          <w:sz w:val="22"/>
          <w:szCs w:val="22"/>
        </w:rPr>
      </w:pPr>
    </w:p>
    <w:p w14:paraId="2D39CD09" w14:textId="6794E8DE" w:rsidR="00DF4E43" w:rsidRDefault="00DF4E43" w:rsidP="00485B5A">
      <w:pPr>
        <w:spacing w:after="0" w:line="240" w:lineRule="auto"/>
        <w:jc w:val="both"/>
        <w:rPr>
          <w:sz w:val="22"/>
          <w:szCs w:val="22"/>
        </w:rPr>
      </w:pPr>
      <w:r>
        <w:rPr>
          <w:sz w:val="22"/>
          <w:szCs w:val="22"/>
        </w:rPr>
        <w:t xml:space="preserve">The issue categories most likely to be considered easy to implement were concentrated in the </w:t>
      </w:r>
      <w:r w:rsidR="00450C7E">
        <w:rPr>
          <w:sz w:val="22"/>
          <w:szCs w:val="22"/>
        </w:rPr>
        <w:t>‘current COFOG divisions’ group:</w:t>
      </w:r>
      <w:r>
        <w:rPr>
          <w:sz w:val="22"/>
          <w:szCs w:val="22"/>
        </w:rPr>
        <w:t xml:space="preserve"> </w:t>
      </w:r>
      <w:r w:rsidR="00450C7E">
        <w:rPr>
          <w:sz w:val="22"/>
          <w:szCs w:val="22"/>
        </w:rPr>
        <w:t xml:space="preserve"> </w:t>
      </w:r>
      <w:r w:rsidRPr="00444F2C">
        <w:rPr>
          <w:sz w:val="22"/>
          <w:szCs w:val="22"/>
        </w:rPr>
        <w:t>A06.</w:t>
      </w:r>
      <w:r>
        <w:rPr>
          <w:sz w:val="22"/>
          <w:szCs w:val="22"/>
        </w:rPr>
        <w:t xml:space="preserve"> </w:t>
      </w:r>
      <w:r w:rsidRPr="00444F2C">
        <w:rPr>
          <w:sz w:val="22"/>
          <w:szCs w:val="22"/>
        </w:rPr>
        <w:t>Housing and community amenities</w:t>
      </w:r>
      <w:r w:rsidR="00450C7E">
        <w:rPr>
          <w:sz w:val="22"/>
          <w:szCs w:val="22"/>
        </w:rPr>
        <w:t xml:space="preserve"> (35%), </w:t>
      </w:r>
      <w:r w:rsidR="00450C7E" w:rsidRPr="00444F2C">
        <w:rPr>
          <w:sz w:val="22"/>
          <w:szCs w:val="22"/>
        </w:rPr>
        <w:t>A01.</w:t>
      </w:r>
      <w:r w:rsidR="00450C7E">
        <w:rPr>
          <w:sz w:val="22"/>
          <w:szCs w:val="22"/>
        </w:rPr>
        <w:t xml:space="preserve"> </w:t>
      </w:r>
      <w:r w:rsidR="00450C7E" w:rsidRPr="00444F2C">
        <w:rPr>
          <w:sz w:val="22"/>
          <w:szCs w:val="22"/>
        </w:rPr>
        <w:t>General public services</w:t>
      </w:r>
      <w:r w:rsidR="00450C7E">
        <w:rPr>
          <w:sz w:val="22"/>
          <w:szCs w:val="22"/>
        </w:rPr>
        <w:t xml:space="preserve"> (31%) and </w:t>
      </w:r>
      <w:r w:rsidR="00450C7E" w:rsidRPr="00444F2C">
        <w:rPr>
          <w:sz w:val="22"/>
          <w:szCs w:val="22"/>
        </w:rPr>
        <w:t>A03.</w:t>
      </w:r>
      <w:r w:rsidR="00450C7E">
        <w:rPr>
          <w:sz w:val="22"/>
          <w:szCs w:val="22"/>
        </w:rPr>
        <w:t xml:space="preserve"> </w:t>
      </w:r>
      <w:r w:rsidR="00450C7E" w:rsidRPr="00444F2C">
        <w:rPr>
          <w:sz w:val="22"/>
          <w:szCs w:val="22"/>
        </w:rPr>
        <w:t>Public order and safety</w:t>
      </w:r>
      <w:r w:rsidR="00450C7E">
        <w:rPr>
          <w:sz w:val="22"/>
          <w:szCs w:val="22"/>
        </w:rPr>
        <w:t xml:space="preserve"> (28%).  </w:t>
      </w:r>
    </w:p>
    <w:p w14:paraId="032354F0" w14:textId="77777777" w:rsidR="00F3062E" w:rsidRDefault="00F3062E" w:rsidP="00485B5A">
      <w:pPr>
        <w:spacing w:after="0" w:line="240" w:lineRule="auto"/>
        <w:jc w:val="both"/>
        <w:rPr>
          <w:sz w:val="22"/>
          <w:szCs w:val="22"/>
        </w:rPr>
      </w:pPr>
    </w:p>
    <w:p w14:paraId="6CE80065" w14:textId="77777777" w:rsidR="00F3062E" w:rsidRDefault="00F3062E" w:rsidP="00485B5A">
      <w:pPr>
        <w:spacing w:after="0" w:line="240" w:lineRule="auto"/>
        <w:jc w:val="both"/>
        <w:rPr>
          <w:sz w:val="22"/>
          <w:szCs w:val="22"/>
        </w:rPr>
      </w:pPr>
    </w:p>
    <w:p w14:paraId="6A0ECEC8" w14:textId="77777777" w:rsidR="00F3062E" w:rsidRDefault="00F3062E" w:rsidP="00485B5A">
      <w:pPr>
        <w:spacing w:after="0" w:line="240" w:lineRule="auto"/>
        <w:jc w:val="both"/>
        <w:rPr>
          <w:sz w:val="22"/>
          <w:szCs w:val="22"/>
        </w:rPr>
      </w:pPr>
    </w:p>
    <w:p w14:paraId="727F52E2" w14:textId="1D5E6205" w:rsidR="00F3062E" w:rsidRDefault="00742409" w:rsidP="00485B5A">
      <w:pPr>
        <w:spacing w:after="0" w:line="240" w:lineRule="auto"/>
        <w:jc w:val="both"/>
        <w:rPr>
          <w:b/>
          <w:bCs/>
          <w:sz w:val="22"/>
          <w:szCs w:val="22"/>
        </w:rPr>
      </w:pPr>
      <w:r>
        <w:rPr>
          <w:b/>
          <w:bCs/>
          <w:sz w:val="22"/>
          <w:szCs w:val="22"/>
        </w:rPr>
        <w:lastRenderedPageBreak/>
        <w:t xml:space="preserve">Q25 </w:t>
      </w:r>
      <w:r w:rsidR="008F00A0">
        <w:rPr>
          <w:b/>
          <w:bCs/>
          <w:sz w:val="22"/>
          <w:szCs w:val="22"/>
        </w:rPr>
        <w:t xml:space="preserve">iv. </w:t>
      </w:r>
      <w:r w:rsidR="00F3062E" w:rsidRPr="00F3062E">
        <w:rPr>
          <w:b/>
          <w:bCs/>
          <w:sz w:val="22"/>
          <w:szCs w:val="22"/>
        </w:rPr>
        <w:t>For each issue category, please note any comments</w:t>
      </w:r>
    </w:p>
    <w:p w14:paraId="331EF691" w14:textId="503E2DFB" w:rsidR="00117D17" w:rsidRPr="00A07615" w:rsidRDefault="00117D17" w:rsidP="00A07615">
      <w:pPr>
        <w:spacing w:after="0" w:line="240" w:lineRule="auto"/>
        <w:jc w:val="both"/>
        <w:rPr>
          <w:color w:val="FF0000"/>
          <w:sz w:val="22"/>
          <w:szCs w:val="22"/>
        </w:rPr>
      </w:pPr>
    </w:p>
    <w:p w14:paraId="4CAB0798" w14:textId="77777777" w:rsidR="00045A13" w:rsidRDefault="00FC23EE" w:rsidP="00C73962">
      <w:pPr>
        <w:spacing w:after="0" w:line="240" w:lineRule="auto"/>
        <w:jc w:val="both"/>
        <w:rPr>
          <w:sz w:val="22"/>
          <w:szCs w:val="22"/>
        </w:rPr>
      </w:pPr>
      <w:r>
        <w:rPr>
          <w:sz w:val="22"/>
          <w:szCs w:val="22"/>
        </w:rPr>
        <w:t xml:space="preserve">Additional </w:t>
      </w:r>
      <w:r w:rsidR="005A14ED">
        <w:rPr>
          <w:sz w:val="22"/>
          <w:szCs w:val="22"/>
        </w:rPr>
        <w:t xml:space="preserve">comments </w:t>
      </w:r>
      <w:r w:rsidR="00D50DED">
        <w:rPr>
          <w:sz w:val="22"/>
          <w:szCs w:val="22"/>
        </w:rPr>
        <w:t xml:space="preserve">for each issue category are summarized below.  </w:t>
      </w:r>
    </w:p>
    <w:p w14:paraId="03A6C9DA" w14:textId="77777777" w:rsidR="00045A13" w:rsidRDefault="00045A13" w:rsidP="00C73962">
      <w:pPr>
        <w:spacing w:after="0" w:line="240" w:lineRule="auto"/>
        <w:jc w:val="both"/>
        <w:rPr>
          <w:sz w:val="22"/>
          <w:szCs w:val="22"/>
        </w:rPr>
      </w:pPr>
    </w:p>
    <w:p w14:paraId="2A958D32" w14:textId="4EB84B48" w:rsidR="00045A13" w:rsidRDefault="00615AB2" w:rsidP="00C73962">
      <w:pPr>
        <w:spacing w:after="0" w:line="240" w:lineRule="auto"/>
        <w:jc w:val="both"/>
        <w:rPr>
          <w:sz w:val="22"/>
          <w:szCs w:val="22"/>
        </w:rPr>
      </w:pPr>
      <w:r>
        <w:rPr>
          <w:sz w:val="22"/>
          <w:szCs w:val="22"/>
        </w:rPr>
        <w:t>For each proposed issue category, t</w:t>
      </w:r>
      <w:r w:rsidR="00045A13">
        <w:rPr>
          <w:sz w:val="22"/>
          <w:szCs w:val="22"/>
        </w:rPr>
        <w:t>he</w:t>
      </w:r>
      <w:r w:rsidR="00045A13" w:rsidRPr="00E40CC8">
        <w:rPr>
          <w:sz w:val="22"/>
          <w:szCs w:val="22"/>
        </w:rPr>
        <w:t xml:space="preserve"> </w:t>
      </w:r>
      <w:r w:rsidR="00045A13" w:rsidRPr="00E40CC8">
        <w:rPr>
          <w:i/>
          <w:iCs/>
          <w:sz w:val="22"/>
          <w:szCs w:val="22"/>
        </w:rPr>
        <w:t>original proposals</w:t>
      </w:r>
      <w:r w:rsidR="00045A13" w:rsidRPr="00E40CC8">
        <w:rPr>
          <w:sz w:val="22"/>
          <w:szCs w:val="22"/>
        </w:rPr>
        <w:t xml:space="preserve"> </w:t>
      </w:r>
      <w:r w:rsidR="00362117" w:rsidRPr="00E40CC8">
        <w:rPr>
          <w:sz w:val="22"/>
          <w:szCs w:val="22"/>
        </w:rPr>
        <w:t xml:space="preserve">from </w:t>
      </w:r>
      <w:r w:rsidR="00362117">
        <w:rPr>
          <w:sz w:val="22"/>
          <w:szCs w:val="22"/>
        </w:rPr>
        <w:t xml:space="preserve">Task Team members, </w:t>
      </w:r>
      <w:r w:rsidR="00045A13">
        <w:rPr>
          <w:sz w:val="22"/>
          <w:szCs w:val="22"/>
        </w:rPr>
        <w:t xml:space="preserve">as </w:t>
      </w:r>
      <w:r w:rsidR="00362117">
        <w:rPr>
          <w:sz w:val="22"/>
          <w:szCs w:val="22"/>
        </w:rPr>
        <w:t>summarized</w:t>
      </w:r>
      <w:r w:rsidR="00045A13">
        <w:rPr>
          <w:sz w:val="22"/>
          <w:szCs w:val="22"/>
        </w:rPr>
        <w:t xml:space="preserve"> in the </w:t>
      </w:r>
      <w:r w:rsidR="00362117">
        <w:rPr>
          <w:sz w:val="22"/>
          <w:szCs w:val="22"/>
        </w:rPr>
        <w:t>c</w:t>
      </w:r>
      <w:r w:rsidR="00045A13">
        <w:rPr>
          <w:sz w:val="22"/>
          <w:szCs w:val="22"/>
        </w:rPr>
        <w:t>onsultation</w:t>
      </w:r>
      <w:r w:rsidR="00362117">
        <w:rPr>
          <w:sz w:val="22"/>
          <w:szCs w:val="22"/>
        </w:rPr>
        <w:t xml:space="preserve"> questionnaire,</w:t>
      </w:r>
      <w:r w:rsidR="00045A13">
        <w:rPr>
          <w:sz w:val="22"/>
          <w:szCs w:val="22"/>
        </w:rPr>
        <w:t xml:space="preserve"> are copied below in</w:t>
      </w:r>
      <w:r w:rsidR="00A41AF0">
        <w:rPr>
          <w:sz w:val="22"/>
          <w:szCs w:val="22"/>
        </w:rPr>
        <w:t xml:space="preserve"> </w:t>
      </w:r>
      <w:r w:rsidR="00B41EB5" w:rsidRPr="00B41EB5">
        <w:rPr>
          <w:sz w:val="22"/>
          <w:szCs w:val="22"/>
          <w:bdr w:val="single" w:sz="4" w:space="0" w:color="auto"/>
        </w:rPr>
        <w:t xml:space="preserve"> </w:t>
      </w:r>
      <w:r w:rsidR="00A41AF0" w:rsidRPr="00B41EB5">
        <w:rPr>
          <w:sz w:val="22"/>
          <w:szCs w:val="22"/>
          <w:bdr w:val="single" w:sz="4" w:space="0" w:color="auto"/>
        </w:rPr>
        <w:t>text boxes</w:t>
      </w:r>
      <w:r w:rsidR="00B41EB5" w:rsidRPr="00B41EB5">
        <w:rPr>
          <w:sz w:val="22"/>
          <w:szCs w:val="22"/>
          <w:bdr w:val="single" w:sz="4" w:space="0" w:color="auto"/>
        </w:rPr>
        <w:t xml:space="preserve"> </w:t>
      </w:r>
      <w:r w:rsidR="00A41AF0" w:rsidRPr="00B41EB5">
        <w:rPr>
          <w:sz w:val="22"/>
          <w:szCs w:val="22"/>
        </w:rPr>
        <w:t>.</w:t>
      </w:r>
      <w:r w:rsidR="00A41AF0">
        <w:rPr>
          <w:sz w:val="22"/>
          <w:szCs w:val="22"/>
        </w:rPr>
        <w:t xml:space="preserve">  </w:t>
      </w:r>
    </w:p>
    <w:p w14:paraId="1D118B30" w14:textId="77777777" w:rsidR="00045A13" w:rsidRDefault="00045A13" w:rsidP="00C73962">
      <w:pPr>
        <w:spacing w:after="0" w:line="240" w:lineRule="auto"/>
        <w:jc w:val="both"/>
        <w:rPr>
          <w:sz w:val="22"/>
          <w:szCs w:val="22"/>
        </w:rPr>
      </w:pPr>
    </w:p>
    <w:p w14:paraId="7D117DDB" w14:textId="0CAA49E4" w:rsidR="00FC23EE" w:rsidRPr="00E40CC8" w:rsidRDefault="00045A13" w:rsidP="00C73962">
      <w:pPr>
        <w:spacing w:after="0" w:line="240" w:lineRule="auto"/>
        <w:jc w:val="both"/>
        <w:rPr>
          <w:sz w:val="22"/>
          <w:szCs w:val="22"/>
        </w:rPr>
      </w:pPr>
      <w:r>
        <w:rPr>
          <w:sz w:val="22"/>
          <w:szCs w:val="22"/>
        </w:rPr>
        <w:t>The r</w:t>
      </w:r>
      <w:r w:rsidR="00C73962">
        <w:rPr>
          <w:sz w:val="22"/>
          <w:szCs w:val="22"/>
        </w:rPr>
        <w:t>esponses</w:t>
      </w:r>
      <w:r w:rsidR="00A41AF0">
        <w:rPr>
          <w:sz w:val="22"/>
          <w:szCs w:val="22"/>
        </w:rPr>
        <w:t xml:space="preserve"> from this consultation</w:t>
      </w:r>
      <w:r w:rsidR="00C73962">
        <w:rPr>
          <w:sz w:val="22"/>
          <w:szCs w:val="22"/>
        </w:rPr>
        <w:t xml:space="preserve"> are </w:t>
      </w:r>
      <w:r>
        <w:rPr>
          <w:sz w:val="22"/>
          <w:szCs w:val="22"/>
        </w:rPr>
        <w:t xml:space="preserve">then </w:t>
      </w:r>
      <w:r w:rsidR="00C73962">
        <w:rPr>
          <w:sz w:val="22"/>
          <w:szCs w:val="22"/>
        </w:rPr>
        <w:t xml:space="preserve">categorized as </w:t>
      </w:r>
      <w:r w:rsidRPr="00E40CC8">
        <w:rPr>
          <w:sz w:val="22"/>
          <w:szCs w:val="22"/>
        </w:rPr>
        <w:t xml:space="preserve">either </w:t>
      </w:r>
      <w:r w:rsidR="00C73962" w:rsidRPr="00CA4950">
        <w:rPr>
          <w:i/>
          <w:iCs/>
          <w:sz w:val="22"/>
          <w:szCs w:val="22"/>
        </w:rPr>
        <w:t>additional proposals</w:t>
      </w:r>
      <w:r w:rsidR="00C73962" w:rsidRPr="00E40CC8">
        <w:rPr>
          <w:sz w:val="22"/>
          <w:szCs w:val="22"/>
        </w:rPr>
        <w:t xml:space="preserve"> or </w:t>
      </w:r>
      <w:r w:rsidR="00C73962" w:rsidRPr="00CA4950">
        <w:rPr>
          <w:i/>
          <w:iCs/>
          <w:sz w:val="22"/>
          <w:szCs w:val="22"/>
        </w:rPr>
        <w:t>concerns/objections</w:t>
      </w:r>
      <w:r w:rsidR="00C73962" w:rsidRPr="00E40CC8">
        <w:rPr>
          <w:sz w:val="22"/>
          <w:szCs w:val="22"/>
        </w:rPr>
        <w:t xml:space="preserve"> regarding the original proposals</w:t>
      </w:r>
      <w:r w:rsidR="00444A1F" w:rsidRPr="00E40CC8">
        <w:rPr>
          <w:sz w:val="22"/>
          <w:szCs w:val="22"/>
        </w:rPr>
        <w:t>.</w:t>
      </w:r>
      <w:r w:rsidR="000B05D4">
        <w:rPr>
          <w:sz w:val="22"/>
          <w:szCs w:val="22"/>
        </w:rPr>
        <w:t xml:space="preserve"> </w:t>
      </w:r>
      <w:r w:rsidR="000549C7">
        <w:rPr>
          <w:sz w:val="22"/>
          <w:szCs w:val="22"/>
        </w:rPr>
        <w:t>To keep this section succin</w:t>
      </w:r>
      <w:r w:rsidR="0072389D">
        <w:rPr>
          <w:sz w:val="22"/>
          <w:szCs w:val="22"/>
        </w:rPr>
        <w:t>c</w:t>
      </w:r>
      <w:r w:rsidR="000549C7">
        <w:rPr>
          <w:sz w:val="22"/>
          <w:szCs w:val="22"/>
        </w:rPr>
        <w:t xml:space="preserve">t, </w:t>
      </w:r>
      <w:r w:rsidR="0071178B">
        <w:rPr>
          <w:sz w:val="22"/>
          <w:szCs w:val="22"/>
        </w:rPr>
        <w:t>responses</w:t>
      </w:r>
      <w:r w:rsidR="000549C7">
        <w:rPr>
          <w:sz w:val="22"/>
          <w:szCs w:val="22"/>
        </w:rPr>
        <w:t xml:space="preserve"> </w:t>
      </w:r>
      <w:r w:rsidR="0071178B">
        <w:rPr>
          <w:sz w:val="22"/>
          <w:szCs w:val="22"/>
        </w:rPr>
        <w:t xml:space="preserve">that expressed </w:t>
      </w:r>
      <w:r w:rsidR="000549C7">
        <w:rPr>
          <w:sz w:val="22"/>
          <w:szCs w:val="22"/>
        </w:rPr>
        <w:t>support</w:t>
      </w:r>
      <w:r w:rsidR="0071178B">
        <w:rPr>
          <w:sz w:val="22"/>
          <w:szCs w:val="22"/>
        </w:rPr>
        <w:t xml:space="preserve"> to</w:t>
      </w:r>
      <w:r w:rsidR="000549C7">
        <w:rPr>
          <w:sz w:val="22"/>
          <w:szCs w:val="22"/>
        </w:rPr>
        <w:t xml:space="preserve"> </w:t>
      </w:r>
      <w:r w:rsidR="00436987">
        <w:rPr>
          <w:sz w:val="22"/>
          <w:szCs w:val="22"/>
        </w:rPr>
        <w:t xml:space="preserve">the original proposals are not included </w:t>
      </w:r>
      <w:r w:rsidR="00D10041">
        <w:rPr>
          <w:sz w:val="22"/>
          <w:szCs w:val="22"/>
        </w:rPr>
        <w:t>her</w:t>
      </w:r>
      <w:r w:rsidR="002F05D4">
        <w:rPr>
          <w:sz w:val="22"/>
          <w:szCs w:val="22"/>
        </w:rPr>
        <w:t>e</w:t>
      </w:r>
      <w:r w:rsidR="00436987">
        <w:rPr>
          <w:sz w:val="22"/>
          <w:szCs w:val="22"/>
        </w:rPr>
        <w:t xml:space="preserve">. Please refer to the separate </w:t>
      </w:r>
      <w:r w:rsidR="007D2CE1">
        <w:rPr>
          <w:sz w:val="22"/>
          <w:szCs w:val="22"/>
        </w:rPr>
        <w:t>E</w:t>
      </w:r>
      <w:r w:rsidR="00436987">
        <w:rPr>
          <w:sz w:val="22"/>
          <w:szCs w:val="22"/>
        </w:rPr>
        <w:t xml:space="preserve">xcel file </w:t>
      </w:r>
      <w:r w:rsidR="000B061B">
        <w:rPr>
          <w:sz w:val="22"/>
          <w:szCs w:val="22"/>
        </w:rPr>
        <w:t>for</w:t>
      </w:r>
      <w:r w:rsidR="00436987">
        <w:rPr>
          <w:sz w:val="22"/>
          <w:szCs w:val="22"/>
        </w:rPr>
        <w:t xml:space="preserve"> the complete response</w:t>
      </w:r>
      <w:r w:rsidR="007D2CE1">
        <w:rPr>
          <w:sz w:val="22"/>
          <w:szCs w:val="22"/>
        </w:rPr>
        <w:t>s</w:t>
      </w:r>
      <w:r w:rsidR="00436987">
        <w:rPr>
          <w:sz w:val="22"/>
          <w:szCs w:val="22"/>
        </w:rPr>
        <w:t xml:space="preserve">. </w:t>
      </w:r>
    </w:p>
    <w:p w14:paraId="0C5B55F9" w14:textId="77777777" w:rsidR="00020DA8" w:rsidRDefault="00020DA8" w:rsidP="00450C7E">
      <w:pPr>
        <w:spacing w:after="0" w:line="240" w:lineRule="auto"/>
        <w:jc w:val="both"/>
        <w:rPr>
          <w:sz w:val="22"/>
          <w:szCs w:val="22"/>
        </w:rPr>
      </w:pPr>
    </w:p>
    <w:p w14:paraId="785AF2EE" w14:textId="695F6701" w:rsidR="00020DA8" w:rsidRPr="00EB0DC8" w:rsidRDefault="00020DA8" w:rsidP="00450C7E">
      <w:pPr>
        <w:spacing w:after="0" w:line="240" w:lineRule="auto"/>
        <w:jc w:val="both"/>
        <w:rPr>
          <w:sz w:val="22"/>
          <w:szCs w:val="22"/>
          <w:u w:val="single"/>
        </w:rPr>
      </w:pPr>
      <w:r w:rsidRPr="00EB0DC8">
        <w:rPr>
          <w:sz w:val="22"/>
          <w:szCs w:val="22"/>
          <w:u w:val="single"/>
        </w:rPr>
        <w:t xml:space="preserve">A01. </w:t>
      </w:r>
      <w:r w:rsidR="00E10949" w:rsidRPr="00EB0DC8">
        <w:rPr>
          <w:sz w:val="22"/>
          <w:szCs w:val="22"/>
          <w:u w:val="single"/>
        </w:rPr>
        <w:t>General public services</w:t>
      </w:r>
    </w:p>
    <w:p w14:paraId="4CCA14D3" w14:textId="77777777" w:rsidR="00B17330" w:rsidRDefault="00B17330" w:rsidP="00450C7E">
      <w:pPr>
        <w:spacing w:after="0" w:line="240" w:lineRule="auto"/>
        <w:jc w:val="both"/>
        <w:rPr>
          <w:sz w:val="22"/>
          <w:szCs w:val="22"/>
          <w:u w:val="single"/>
        </w:rPr>
      </w:pPr>
    </w:p>
    <w:p w14:paraId="103F7AF9" w14:textId="09558A37" w:rsidR="00F01E4A" w:rsidRPr="00F01E4A" w:rsidRDefault="00F01E4A" w:rsidP="00450C7E">
      <w:pPr>
        <w:spacing w:after="0" w:line="240" w:lineRule="auto"/>
        <w:jc w:val="both"/>
        <w:rPr>
          <w:sz w:val="22"/>
          <w:szCs w:val="22"/>
        </w:rPr>
      </w:pPr>
      <w:r w:rsidRPr="00F01E4A">
        <w:rPr>
          <w:sz w:val="22"/>
          <w:szCs w:val="22"/>
        </w:rPr>
        <w:t>Original proposals:</w:t>
      </w:r>
    </w:p>
    <w:p w14:paraId="158372C9" w14:textId="77777777" w:rsidR="00B17330" w:rsidRPr="00B17330" w:rsidRDefault="00B17330" w:rsidP="00D25872">
      <w:pPr>
        <w:pStyle w:val="ListParagraph"/>
        <w:numPr>
          <w:ilvl w:val="0"/>
          <w:numId w:val="4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B17330">
        <w:rPr>
          <w:sz w:val="22"/>
          <w:szCs w:val="22"/>
        </w:rPr>
        <w:t>Rename the Division to “General Public Services, Debt, and Transfers”</w:t>
      </w:r>
    </w:p>
    <w:p w14:paraId="6ED73D18" w14:textId="77777777" w:rsidR="00B17330" w:rsidRPr="00B17330" w:rsidRDefault="00B17330" w:rsidP="00D25872">
      <w:pPr>
        <w:pStyle w:val="ListParagraph"/>
        <w:numPr>
          <w:ilvl w:val="0"/>
          <w:numId w:val="4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B17330">
        <w:rPr>
          <w:sz w:val="22"/>
          <w:szCs w:val="22"/>
        </w:rPr>
        <w:t xml:space="preserve">Comprehensive reassessment of Division 01 in order to improve structural balance  </w:t>
      </w:r>
    </w:p>
    <w:p w14:paraId="524FA4C6" w14:textId="77777777" w:rsidR="00B17330" w:rsidRPr="00B17330" w:rsidRDefault="00B17330" w:rsidP="00D25872">
      <w:pPr>
        <w:pStyle w:val="ListParagraph"/>
        <w:numPr>
          <w:ilvl w:val="0"/>
          <w:numId w:val="4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B17330">
        <w:rPr>
          <w:sz w:val="22"/>
          <w:szCs w:val="22"/>
        </w:rPr>
        <w:t>Modify the definition of 01.7 (Public debt transactions) to explicitly include expenditure related to a broader range of debt instruments, and/or to rename it “Public debt transactions (mainly interest)”</w:t>
      </w:r>
    </w:p>
    <w:p w14:paraId="54711EDD" w14:textId="77777777" w:rsidR="00B17330" w:rsidRPr="00B17330" w:rsidRDefault="00B17330" w:rsidP="00D25872">
      <w:pPr>
        <w:pStyle w:val="ListParagraph"/>
        <w:numPr>
          <w:ilvl w:val="0"/>
          <w:numId w:val="4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B17330">
        <w:rPr>
          <w:sz w:val="22"/>
          <w:szCs w:val="22"/>
        </w:rPr>
        <w:t xml:space="preserve">Add new breakdowns in 01.8 (Transfers of a general character between different levels of government) to capture upward transfers to national governments, to include sub-categories reflecting reasons for transfers to local government, and to include transfers between other levels of government </w:t>
      </w:r>
    </w:p>
    <w:p w14:paraId="12B9E372" w14:textId="77777777" w:rsidR="00B17330" w:rsidRPr="00B17330" w:rsidRDefault="00B17330" w:rsidP="00D25872">
      <w:pPr>
        <w:pStyle w:val="ListParagraph"/>
        <w:numPr>
          <w:ilvl w:val="0"/>
          <w:numId w:val="4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B17330">
        <w:rPr>
          <w:sz w:val="22"/>
          <w:szCs w:val="22"/>
        </w:rPr>
        <w:t>Rename 01.8 “Transfers of a general character between different levels of government (e.g. Intragovernmental transfers not related to a particular function)”</w:t>
      </w:r>
    </w:p>
    <w:p w14:paraId="00575A1E" w14:textId="77777777" w:rsidR="00B17330" w:rsidRPr="00B17330" w:rsidRDefault="00B17330" w:rsidP="00D25872">
      <w:pPr>
        <w:pStyle w:val="ListParagraph"/>
        <w:numPr>
          <w:ilvl w:val="0"/>
          <w:numId w:val="4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B17330">
        <w:rPr>
          <w:sz w:val="22"/>
          <w:szCs w:val="22"/>
        </w:rPr>
        <w:t>Restructure 01.8 by moving transfers to other levels of government to its own Division, or by removing 01.8 entirely</w:t>
      </w:r>
    </w:p>
    <w:p w14:paraId="3228F23D" w14:textId="77777777" w:rsidR="00B17330" w:rsidRPr="00B17330" w:rsidRDefault="00B17330" w:rsidP="00D25872">
      <w:pPr>
        <w:pStyle w:val="ListParagraph"/>
        <w:numPr>
          <w:ilvl w:val="0"/>
          <w:numId w:val="4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B17330">
        <w:rPr>
          <w:sz w:val="22"/>
          <w:szCs w:val="22"/>
        </w:rPr>
        <w:t>Create a new category for “Tax administration”, removing it from 01.1.2 (Financial and fiscal affairs)</w:t>
      </w:r>
    </w:p>
    <w:p w14:paraId="67E1D09F" w14:textId="77777777" w:rsidR="00B17330" w:rsidRPr="00B17330" w:rsidRDefault="00B17330" w:rsidP="00D25872">
      <w:pPr>
        <w:pStyle w:val="ListParagraph"/>
        <w:numPr>
          <w:ilvl w:val="0"/>
          <w:numId w:val="4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B17330">
        <w:rPr>
          <w:sz w:val="22"/>
          <w:szCs w:val="22"/>
        </w:rPr>
        <w:t>Provide more guidance on 01.7 and 01.8</w:t>
      </w:r>
    </w:p>
    <w:p w14:paraId="63324E06" w14:textId="12051A12" w:rsidR="004E606A" w:rsidRPr="00F01E4A" w:rsidRDefault="00B17330" w:rsidP="00D25872">
      <w:pPr>
        <w:pStyle w:val="ListParagraph"/>
        <w:numPr>
          <w:ilvl w:val="0"/>
          <w:numId w:val="4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B17330">
        <w:rPr>
          <w:sz w:val="22"/>
          <w:szCs w:val="22"/>
        </w:rPr>
        <w:t>Distinguish climate or environmental-related transfers by creating other sub-categories</w:t>
      </w:r>
    </w:p>
    <w:p w14:paraId="19D6DACB" w14:textId="54684FC0" w:rsidR="004E606A" w:rsidRPr="004E606A" w:rsidRDefault="004E606A" w:rsidP="00450C7E">
      <w:pPr>
        <w:spacing w:after="0" w:line="240" w:lineRule="auto"/>
        <w:jc w:val="both"/>
        <w:rPr>
          <w:sz w:val="22"/>
          <w:szCs w:val="22"/>
        </w:rPr>
      </w:pPr>
      <w:r>
        <w:rPr>
          <w:sz w:val="22"/>
          <w:szCs w:val="22"/>
        </w:rPr>
        <w:t>Additional proposals:</w:t>
      </w:r>
    </w:p>
    <w:p w14:paraId="60C34122" w14:textId="377BB646" w:rsidR="00020DA8" w:rsidRDefault="00020DA8" w:rsidP="003E1526">
      <w:pPr>
        <w:pStyle w:val="ListParagraph"/>
        <w:numPr>
          <w:ilvl w:val="0"/>
          <w:numId w:val="1"/>
        </w:numPr>
        <w:spacing w:after="0" w:line="240" w:lineRule="auto"/>
        <w:jc w:val="both"/>
        <w:rPr>
          <w:sz w:val="22"/>
          <w:szCs w:val="22"/>
        </w:rPr>
      </w:pPr>
      <w:r w:rsidRPr="00A13F75">
        <w:rPr>
          <w:sz w:val="22"/>
          <w:szCs w:val="22"/>
        </w:rPr>
        <w:t>Merge Group 013 (General Services) and Group 016 (General Public Services N.E.C.), as they have similar objectives</w:t>
      </w:r>
    </w:p>
    <w:p w14:paraId="2659DC7F" w14:textId="2E63F7B5" w:rsidR="00D5012D" w:rsidRDefault="00D5012D" w:rsidP="003E1526">
      <w:pPr>
        <w:pStyle w:val="ListParagraph"/>
        <w:numPr>
          <w:ilvl w:val="0"/>
          <w:numId w:val="1"/>
        </w:numPr>
        <w:spacing w:after="0" w:line="240" w:lineRule="auto"/>
        <w:jc w:val="both"/>
        <w:rPr>
          <w:sz w:val="22"/>
          <w:szCs w:val="22"/>
        </w:rPr>
      </w:pPr>
      <w:r w:rsidRPr="00D5012D">
        <w:rPr>
          <w:sz w:val="22"/>
          <w:szCs w:val="22"/>
        </w:rPr>
        <w:t>Public debt transactions could have further breakdowns for different types of instruments, which would be helpful for analysis of financing of governments</w:t>
      </w:r>
    </w:p>
    <w:p w14:paraId="6743C1BF" w14:textId="09719646" w:rsidR="002F4470" w:rsidRDefault="006C4BD7" w:rsidP="003E1526">
      <w:pPr>
        <w:pStyle w:val="ListParagraph"/>
        <w:numPr>
          <w:ilvl w:val="0"/>
          <w:numId w:val="1"/>
        </w:numPr>
        <w:spacing w:after="0" w:line="240" w:lineRule="auto"/>
        <w:jc w:val="both"/>
        <w:rPr>
          <w:sz w:val="22"/>
          <w:szCs w:val="22"/>
        </w:rPr>
      </w:pPr>
      <w:r w:rsidRPr="006C4BD7">
        <w:rPr>
          <w:sz w:val="22"/>
          <w:szCs w:val="22"/>
        </w:rPr>
        <w:t>We would recommend different categories for ring-fenced and non-ring-fenced transfers</w:t>
      </w:r>
    </w:p>
    <w:p w14:paraId="6B34C159" w14:textId="2C1333F9" w:rsidR="005B0471" w:rsidRPr="00AB505A" w:rsidRDefault="005B0471" w:rsidP="003E1526">
      <w:pPr>
        <w:pStyle w:val="ListParagraph"/>
        <w:numPr>
          <w:ilvl w:val="0"/>
          <w:numId w:val="1"/>
        </w:numPr>
        <w:spacing w:after="0" w:line="240" w:lineRule="auto"/>
        <w:jc w:val="both"/>
        <w:rPr>
          <w:sz w:val="22"/>
          <w:szCs w:val="22"/>
        </w:rPr>
      </w:pPr>
      <w:r w:rsidRPr="005B0471">
        <w:rPr>
          <w:sz w:val="22"/>
          <w:szCs w:val="22"/>
        </w:rPr>
        <w:t>Distinguish climate or environmental related transfers by creating other subcategori</w:t>
      </w:r>
      <w:r w:rsidRPr="00887E51">
        <w:rPr>
          <w:sz w:val="22"/>
          <w:szCs w:val="22"/>
        </w:rPr>
        <w:t>es in line with the CEP</w:t>
      </w:r>
    </w:p>
    <w:p w14:paraId="3369507B" w14:textId="76D2D4E1" w:rsidR="00AB505A" w:rsidRDefault="00AB505A" w:rsidP="003E1526">
      <w:pPr>
        <w:pStyle w:val="ListParagraph"/>
        <w:numPr>
          <w:ilvl w:val="0"/>
          <w:numId w:val="1"/>
        </w:numPr>
        <w:spacing w:after="0" w:line="240" w:lineRule="auto"/>
        <w:jc w:val="both"/>
        <w:rPr>
          <w:sz w:val="22"/>
          <w:szCs w:val="22"/>
        </w:rPr>
      </w:pPr>
      <w:r w:rsidRPr="00AB505A">
        <w:rPr>
          <w:sz w:val="22"/>
          <w:szCs w:val="22"/>
        </w:rPr>
        <w:t>Establishing a dedicated category for auditing services and accounting operations within the treasury, ministry of finance, budget office, and inland revenue agency</w:t>
      </w:r>
    </w:p>
    <w:p w14:paraId="02982E19" w14:textId="6D08C92F" w:rsidR="00CB3088" w:rsidRPr="00CB3088" w:rsidRDefault="00EF2D3D" w:rsidP="003E1526">
      <w:pPr>
        <w:pStyle w:val="ListParagraph"/>
        <w:numPr>
          <w:ilvl w:val="0"/>
          <w:numId w:val="1"/>
        </w:numPr>
        <w:spacing w:after="0" w:line="240" w:lineRule="auto"/>
        <w:jc w:val="both"/>
        <w:rPr>
          <w:sz w:val="22"/>
          <w:szCs w:val="22"/>
        </w:rPr>
      </w:pPr>
      <w:r w:rsidRPr="00EF2D3D">
        <w:rPr>
          <w:sz w:val="22"/>
          <w:szCs w:val="22"/>
        </w:rPr>
        <w:t>Consider moving External Affairs to its own Group</w:t>
      </w:r>
    </w:p>
    <w:p w14:paraId="27CA91BA" w14:textId="77777777" w:rsidR="00FC23EE" w:rsidRDefault="00FC23EE" w:rsidP="00450C7E">
      <w:pPr>
        <w:spacing w:after="0" w:line="240" w:lineRule="auto"/>
        <w:jc w:val="both"/>
        <w:rPr>
          <w:sz w:val="22"/>
          <w:szCs w:val="22"/>
        </w:rPr>
      </w:pPr>
    </w:p>
    <w:p w14:paraId="2C4B837C" w14:textId="77777777" w:rsidR="00870B56" w:rsidRDefault="00870B56" w:rsidP="00450C7E">
      <w:pPr>
        <w:spacing w:after="0" w:line="240" w:lineRule="auto"/>
        <w:jc w:val="both"/>
        <w:rPr>
          <w:sz w:val="22"/>
          <w:szCs w:val="22"/>
        </w:rPr>
      </w:pPr>
    </w:p>
    <w:p w14:paraId="6E30D25D" w14:textId="77777777" w:rsidR="00870B56" w:rsidRDefault="00870B56" w:rsidP="00450C7E">
      <w:pPr>
        <w:spacing w:after="0" w:line="240" w:lineRule="auto"/>
        <w:jc w:val="both"/>
        <w:rPr>
          <w:sz w:val="22"/>
          <w:szCs w:val="22"/>
        </w:rPr>
      </w:pPr>
    </w:p>
    <w:p w14:paraId="5A1DD3BC" w14:textId="77777777" w:rsidR="00870B56" w:rsidRDefault="00870B56" w:rsidP="00450C7E">
      <w:pPr>
        <w:spacing w:after="0" w:line="240" w:lineRule="auto"/>
        <w:jc w:val="both"/>
        <w:rPr>
          <w:sz w:val="22"/>
          <w:szCs w:val="22"/>
        </w:rPr>
      </w:pPr>
    </w:p>
    <w:p w14:paraId="35C35FE6" w14:textId="0C9D9E0A" w:rsidR="004E606A" w:rsidRDefault="004E606A" w:rsidP="00450C7E">
      <w:pPr>
        <w:spacing w:after="0" w:line="240" w:lineRule="auto"/>
        <w:jc w:val="both"/>
        <w:rPr>
          <w:sz w:val="22"/>
          <w:szCs w:val="22"/>
        </w:rPr>
      </w:pPr>
      <w:r>
        <w:rPr>
          <w:sz w:val="22"/>
          <w:szCs w:val="22"/>
        </w:rPr>
        <w:lastRenderedPageBreak/>
        <w:t>Concerns</w:t>
      </w:r>
      <w:r w:rsidR="003A32A6">
        <w:rPr>
          <w:sz w:val="22"/>
          <w:szCs w:val="22"/>
        </w:rPr>
        <w:t>/objections</w:t>
      </w:r>
      <w:r>
        <w:rPr>
          <w:sz w:val="22"/>
          <w:szCs w:val="22"/>
        </w:rPr>
        <w:t>:</w:t>
      </w:r>
    </w:p>
    <w:p w14:paraId="7DCED9B8" w14:textId="51ABC08F" w:rsidR="00FC07E6" w:rsidRDefault="007C03A9" w:rsidP="003E1526">
      <w:pPr>
        <w:pStyle w:val="ListParagraph"/>
        <w:numPr>
          <w:ilvl w:val="0"/>
          <w:numId w:val="1"/>
        </w:numPr>
        <w:spacing w:after="0" w:line="240" w:lineRule="auto"/>
        <w:jc w:val="both"/>
        <w:rPr>
          <w:sz w:val="22"/>
          <w:szCs w:val="22"/>
        </w:rPr>
      </w:pPr>
      <w:r w:rsidRPr="007C03A9">
        <w:rPr>
          <w:sz w:val="22"/>
          <w:szCs w:val="22"/>
        </w:rPr>
        <w:t>The proposed changes are cosmetic ones and some of them actually damage COFOG coherence</w:t>
      </w:r>
      <w:r w:rsidR="00E64D90">
        <w:rPr>
          <w:sz w:val="22"/>
          <w:szCs w:val="22"/>
        </w:rPr>
        <w:t xml:space="preserve"> / prefer no change</w:t>
      </w:r>
    </w:p>
    <w:p w14:paraId="5619415F" w14:textId="0BBAFFAD" w:rsidR="00D67742" w:rsidRPr="001A0378" w:rsidRDefault="00D67742" w:rsidP="003E1526">
      <w:pPr>
        <w:pStyle w:val="ListParagraph"/>
        <w:numPr>
          <w:ilvl w:val="0"/>
          <w:numId w:val="1"/>
        </w:numPr>
        <w:spacing w:after="0" w:line="240" w:lineRule="auto"/>
        <w:jc w:val="both"/>
        <w:rPr>
          <w:sz w:val="22"/>
          <w:szCs w:val="22"/>
        </w:rPr>
      </w:pPr>
      <w:proofErr w:type="gramStart"/>
      <w:r>
        <w:rPr>
          <w:sz w:val="22"/>
          <w:szCs w:val="22"/>
        </w:rPr>
        <w:t>P</w:t>
      </w:r>
      <w:r w:rsidRPr="00D67742">
        <w:rPr>
          <w:sz w:val="22"/>
          <w:szCs w:val="22"/>
        </w:rPr>
        <w:t>roposed</w:t>
      </w:r>
      <w:proofErr w:type="gramEnd"/>
      <w:r w:rsidRPr="00D67742">
        <w:rPr>
          <w:sz w:val="22"/>
          <w:szCs w:val="22"/>
        </w:rPr>
        <w:t xml:space="preserve"> new </w:t>
      </w:r>
      <w:r w:rsidR="006816F2">
        <w:rPr>
          <w:sz w:val="22"/>
          <w:szCs w:val="22"/>
        </w:rPr>
        <w:t xml:space="preserve">division </w:t>
      </w:r>
      <w:r w:rsidRPr="00D67742">
        <w:rPr>
          <w:sz w:val="22"/>
          <w:szCs w:val="22"/>
        </w:rPr>
        <w:t>name is misleading as transfers (e.g. D.3, D,7, D.9) can and should also be included in other divisions</w:t>
      </w:r>
    </w:p>
    <w:p w14:paraId="7AEA7E4F" w14:textId="035F871A" w:rsidR="00FC07E6" w:rsidRPr="00FC07E6" w:rsidRDefault="00FC07E6" w:rsidP="003E1526">
      <w:pPr>
        <w:pStyle w:val="ListParagraph"/>
        <w:numPr>
          <w:ilvl w:val="0"/>
          <w:numId w:val="1"/>
        </w:numPr>
        <w:spacing w:after="0" w:line="240" w:lineRule="auto"/>
        <w:jc w:val="both"/>
        <w:rPr>
          <w:sz w:val="22"/>
          <w:szCs w:val="22"/>
        </w:rPr>
      </w:pPr>
      <w:r w:rsidRPr="00FC07E6">
        <w:rPr>
          <w:sz w:val="22"/>
          <w:szCs w:val="22"/>
        </w:rPr>
        <w:t>Breakdowns in 01.8 for transfers if general character seems not logical, as well as no value added in renaming the group.</w:t>
      </w:r>
    </w:p>
    <w:p w14:paraId="549546ED" w14:textId="2946BF9E" w:rsidR="00FC07E6" w:rsidRDefault="00FC07E6" w:rsidP="003E1526">
      <w:pPr>
        <w:pStyle w:val="ListParagraph"/>
        <w:numPr>
          <w:ilvl w:val="0"/>
          <w:numId w:val="1"/>
        </w:numPr>
        <w:spacing w:after="0" w:line="240" w:lineRule="auto"/>
        <w:jc w:val="both"/>
        <w:rPr>
          <w:sz w:val="22"/>
          <w:szCs w:val="22"/>
        </w:rPr>
      </w:pPr>
      <w:r w:rsidRPr="00FC07E6">
        <w:rPr>
          <w:sz w:val="22"/>
          <w:szCs w:val="22"/>
        </w:rPr>
        <w:t xml:space="preserve">Climate/Env. </w:t>
      </w:r>
      <w:r w:rsidR="00B953A6" w:rsidRPr="00FC07E6">
        <w:rPr>
          <w:sz w:val="22"/>
          <w:szCs w:val="22"/>
        </w:rPr>
        <w:t>I</w:t>
      </w:r>
      <w:r w:rsidRPr="00FC07E6">
        <w:rPr>
          <w:sz w:val="22"/>
          <w:szCs w:val="22"/>
        </w:rPr>
        <w:t xml:space="preserve">n div 01. Why sub-“categories” (groups/classes?) for climate and env. </w:t>
      </w:r>
      <w:r w:rsidR="00B953A6" w:rsidRPr="00FC07E6">
        <w:rPr>
          <w:sz w:val="22"/>
          <w:szCs w:val="22"/>
        </w:rPr>
        <w:t>R</w:t>
      </w:r>
      <w:r w:rsidRPr="00FC07E6">
        <w:rPr>
          <w:sz w:val="22"/>
          <w:szCs w:val="22"/>
        </w:rPr>
        <w:t xml:space="preserve">elated transfers </w:t>
      </w:r>
      <w:proofErr w:type="gramStart"/>
      <w:r w:rsidRPr="00FC07E6">
        <w:rPr>
          <w:sz w:val="22"/>
          <w:szCs w:val="22"/>
        </w:rPr>
        <w:t>in</w:t>
      </w:r>
      <w:proofErr w:type="gramEnd"/>
      <w:r w:rsidRPr="00FC07E6">
        <w:rPr>
          <w:sz w:val="22"/>
          <w:szCs w:val="22"/>
        </w:rPr>
        <w:t xml:space="preserve"> div.01 and not </w:t>
      </w:r>
      <w:proofErr w:type="gramStart"/>
      <w:r w:rsidRPr="00FC07E6">
        <w:rPr>
          <w:sz w:val="22"/>
          <w:szCs w:val="22"/>
        </w:rPr>
        <w:t>in</w:t>
      </w:r>
      <w:proofErr w:type="gramEnd"/>
      <w:r w:rsidRPr="00FC07E6">
        <w:rPr>
          <w:sz w:val="22"/>
          <w:szCs w:val="22"/>
        </w:rPr>
        <w:t xml:space="preserve"> div. 05?</w:t>
      </w:r>
    </w:p>
    <w:p w14:paraId="075783F5" w14:textId="2614DC6C" w:rsidR="00324634" w:rsidRPr="00A0727A" w:rsidRDefault="006779B5" w:rsidP="00A0727A">
      <w:pPr>
        <w:pStyle w:val="ListParagraph"/>
        <w:numPr>
          <w:ilvl w:val="0"/>
          <w:numId w:val="1"/>
        </w:numPr>
        <w:spacing w:after="0" w:line="240" w:lineRule="auto"/>
        <w:jc w:val="both"/>
        <w:rPr>
          <w:sz w:val="22"/>
          <w:szCs w:val="22"/>
        </w:rPr>
      </w:pPr>
      <w:r>
        <w:rPr>
          <w:sz w:val="22"/>
          <w:szCs w:val="22"/>
        </w:rPr>
        <w:t>Regarding proposal to “</w:t>
      </w:r>
      <w:r w:rsidRPr="006779B5">
        <w:rPr>
          <w:sz w:val="22"/>
          <w:szCs w:val="22"/>
        </w:rPr>
        <w:t>Modify the definition of 01.7 (Public debt transactions) to explicitly include expenditure related to a broader range of debt instruments</w:t>
      </w:r>
      <w:r>
        <w:rPr>
          <w:sz w:val="22"/>
          <w:szCs w:val="22"/>
        </w:rPr>
        <w:t xml:space="preserve">,” ensure </w:t>
      </w:r>
      <w:r w:rsidR="00ED3E53">
        <w:rPr>
          <w:sz w:val="22"/>
          <w:szCs w:val="22"/>
        </w:rPr>
        <w:t>only transactions meeting definition of expenditure are included</w:t>
      </w:r>
    </w:p>
    <w:p w14:paraId="5638FA02" w14:textId="0B66E616" w:rsidR="00AB505A" w:rsidRDefault="0075633B" w:rsidP="003E1526">
      <w:pPr>
        <w:pStyle w:val="ListParagraph"/>
        <w:numPr>
          <w:ilvl w:val="0"/>
          <w:numId w:val="1"/>
        </w:numPr>
        <w:spacing w:after="0" w:line="240" w:lineRule="auto"/>
        <w:jc w:val="both"/>
        <w:rPr>
          <w:sz w:val="22"/>
          <w:szCs w:val="22"/>
        </w:rPr>
      </w:pPr>
      <w:r>
        <w:rPr>
          <w:sz w:val="22"/>
          <w:szCs w:val="22"/>
        </w:rPr>
        <w:t xml:space="preserve">Regarding 01.8, </w:t>
      </w:r>
      <w:proofErr w:type="gramStart"/>
      <w:r w:rsidRPr="0075633B">
        <w:rPr>
          <w:sz w:val="22"/>
          <w:szCs w:val="22"/>
        </w:rPr>
        <w:t>should</w:t>
      </w:r>
      <w:proofErr w:type="gramEnd"/>
      <w:r w:rsidRPr="0075633B">
        <w:rPr>
          <w:sz w:val="22"/>
          <w:szCs w:val="22"/>
        </w:rPr>
        <w:t xml:space="preserve"> also be clearly stated that transfers which have a function (</w:t>
      </w:r>
      <w:r w:rsidR="00887E51" w:rsidRPr="0075633B">
        <w:rPr>
          <w:sz w:val="22"/>
          <w:szCs w:val="22"/>
        </w:rPr>
        <w:t>e.g.</w:t>
      </w:r>
      <w:r w:rsidRPr="0075633B">
        <w:rPr>
          <w:sz w:val="22"/>
          <w:szCs w:val="22"/>
        </w:rPr>
        <w:t xml:space="preserve"> </w:t>
      </w:r>
      <w:r w:rsidR="00B953A6" w:rsidRPr="0075633B">
        <w:rPr>
          <w:sz w:val="22"/>
          <w:szCs w:val="22"/>
        </w:rPr>
        <w:t>F</w:t>
      </w:r>
      <w:r w:rsidRPr="0075633B">
        <w:rPr>
          <w:sz w:val="22"/>
          <w:szCs w:val="22"/>
        </w:rPr>
        <w:t>unding for S.1313 to maintain hospitals) should be then allocated to the specific function</w:t>
      </w:r>
    </w:p>
    <w:p w14:paraId="33E4AB01" w14:textId="1485E49A" w:rsidR="00C75BDA" w:rsidRDefault="00C75BDA" w:rsidP="003E1526">
      <w:pPr>
        <w:pStyle w:val="ListParagraph"/>
        <w:numPr>
          <w:ilvl w:val="0"/>
          <w:numId w:val="1"/>
        </w:numPr>
        <w:spacing w:after="0" w:line="240" w:lineRule="auto"/>
        <w:jc w:val="both"/>
        <w:rPr>
          <w:sz w:val="22"/>
          <w:szCs w:val="22"/>
        </w:rPr>
      </w:pPr>
      <w:r w:rsidRPr="00C75BDA">
        <w:rPr>
          <w:sz w:val="22"/>
          <w:szCs w:val="22"/>
        </w:rPr>
        <w:t>'Distinguish climate or environmental-related transfers by creating other sub-categories' - this contradicts classification by primary purpose</w:t>
      </w:r>
    </w:p>
    <w:p w14:paraId="3B838351" w14:textId="2040AFE3" w:rsidR="008242A3" w:rsidRDefault="008242A3" w:rsidP="003E1526">
      <w:pPr>
        <w:pStyle w:val="ListParagraph"/>
        <w:numPr>
          <w:ilvl w:val="0"/>
          <w:numId w:val="1"/>
        </w:numPr>
        <w:spacing w:after="0" w:line="240" w:lineRule="auto"/>
        <w:jc w:val="both"/>
        <w:rPr>
          <w:sz w:val="22"/>
          <w:szCs w:val="22"/>
        </w:rPr>
      </w:pPr>
      <w:r w:rsidRPr="008242A3">
        <w:rPr>
          <w:sz w:val="22"/>
          <w:szCs w:val="22"/>
        </w:rPr>
        <w:t>Allocating "tax administration" under 01.2 seems a contradiction with the SNA/ESA rules on payable tax credits - these assimilate to other expenditure</w:t>
      </w:r>
    </w:p>
    <w:p w14:paraId="02B1EA80" w14:textId="5F7069B3" w:rsidR="008242A3" w:rsidRDefault="008A783C" w:rsidP="003E1526">
      <w:pPr>
        <w:pStyle w:val="ListParagraph"/>
        <w:numPr>
          <w:ilvl w:val="0"/>
          <w:numId w:val="1"/>
        </w:numPr>
        <w:spacing w:after="0" w:line="240" w:lineRule="auto"/>
        <w:jc w:val="both"/>
        <w:rPr>
          <w:sz w:val="22"/>
          <w:szCs w:val="22"/>
        </w:rPr>
      </w:pPr>
      <w:r>
        <w:rPr>
          <w:sz w:val="22"/>
          <w:szCs w:val="22"/>
        </w:rPr>
        <w:t>G</w:t>
      </w:r>
      <w:r w:rsidRPr="008A783C">
        <w:rPr>
          <w:sz w:val="22"/>
          <w:szCs w:val="22"/>
        </w:rPr>
        <w:t>roup already includes transfers from any of the 4 subsectors of government to any other subsector of general government</w:t>
      </w:r>
    </w:p>
    <w:p w14:paraId="2C91F90F" w14:textId="31485F08" w:rsidR="00C266A5" w:rsidRPr="00E10949" w:rsidRDefault="00C266A5" w:rsidP="003E1526">
      <w:pPr>
        <w:pStyle w:val="ListParagraph"/>
        <w:numPr>
          <w:ilvl w:val="0"/>
          <w:numId w:val="1"/>
        </w:numPr>
        <w:spacing w:after="0" w:line="240" w:lineRule="auto"/>
        <w:jc w:val="both"/>
        <w:rPr>
          <w:sz w:val="22"/>
          <w:szCs w:val="22"/>
        </w:rPr>
      </w:pPr>
      <w:r>
        <w:rPr>
          <w:sz w:val="22"/>
          <w:szCs w:val="22"/>
        </w:rPr>
        <w:t>P</w:t>
      </w:r>
      <w:r w:rsidRPr="00C266A5">
        <w:rPr>
          <w:sz w:val="22"/>
          <w:szCs w:val="22"/>
        </w:rPr>
        <w:t>roposed new name is misleading as transfers (e.g. D.3, D,7, D.9) can and should also be included in other divisions</w:t>
      </w:r>
    </w:p>
    <w:p w14:paraId="798E7454" w14:textId="77777777" w:rsidR="00FC23EE" w:rsidRDefault="00FC23EE" w:rsidP="00450C7E">
      <w:pPr>
        <w:spacing w:after="0" w:line="240" w:lineRule="auto"/>
        <w:jc w:val="both"/>
        <w:rPr>
          <w:sz w:val="22"/>
          <w:szCs w:val="22"/>
        </w:rPr>
      </w:pPr>
    </w:p>
    <w:p w14:paraId="506CF94E" w14:textId="376AAABC" w:rsidR="00ED2ECB" w:rsidRPr="00EB0DC8" w:rsidRDefault="00E10949" w:rsidP="008B4994">
      <w:pPr>
        <w:spacing w:after="0" w:line="240" w:lineRule="auto"/>
        <w:jc w:val="both"/>
        <w:rPr>
          <w:sz w:val="22"/>
          <w:szCs w:val="22"/>
          <w:u w:val="single"/>
        </w:rPr>
      </w:pPr>
      <w:r w:rsidRPr="00EB0DC8">
        <w:rPr>
          <w:sz w:val="22"/>
          <w:szCs w:val="22"/>
          <w:u w:val="single"/>
        </w:rPr>
        <w:t>A02. Defense</w:t>
      </w:r>
    </w:p>
    <w:p w14:paraId="65AA3471" w14:textId="77777777" w:rsidR="003A32A6" w:rsidRDefault="003A32A6" w:rsidP="008B4994">
      <w:pPr>
        <w:spacing w:after="0" w:line="240" w:lineRule="auto"/>
        <w:jc w:val="both"/>
        <w:rPr>
          <w:sz w:val="22"/>
          <w:szCs w:val="22"/>
          <w:u w:val="single"/>
        </w:rPr>
      </w:pPr>
    </w:p>
    <w:p w14:paraId="19D7075A" w14:textId="1AD2A07D" w:rsidR="00F01E4A" w:rsidRPr="00F01E4A" w:rsidRDefault="00F01E4A" w:rsidP="00F01E4A">
      <w:pPr>
        <w:spacing w:after="0" w:line="240" w:lineRule="auto"/>
        <w:jc w:val="both"/>
        <w:rPr>
          <w:sz w:val="22"/>
          <w:szCs w:val="22"/>
        </w:rPr>
      </w:pPr>
      <w:r w:rsidRPr="00F01E4A">
        <w:rPr>
          <w:sz w:val="22"/>
          <w:szCs w:val="22"/>
        </w:rPr>
        <w:t>Original proposal:</w:t>
      </w:r>
    </w:p>
    <w:p w14:paraId="75B6CF88" w14:textId="71D9EF9A" w:rsidR="00AD75AB" w:rsidRPr="00F01E4A" w:rsidRDefault="00F01E4A" w:rsidP="00D25872">
      <w:pPr>
        <w:pStyle w:val="ListParagraph"/>
        <w:numPr>
          <w:ilvl w:val="0"/>
          <w:numId w:val="46"/>
        </w:numPr>
        <w:pBdr>
          <w:top w:val="single" w:sz="4" w:space="1" w:color="auto"/>
          <w:left w:val="single" w:sz="4" w:space="4" w:color="auto"/>
          <w:bottom w:val="single" w:sz="4" w:space="1" w:color="auto"/>
          <w:right w:val="single" w:sz="4" w:space="4" w:color="auto"/>
        </w:pBdr>
        <w:spacing w:line="240" w:lineRule="auto"/>
        <w:rPr>
          <w:sz w:val="22"/>
          <w:szCs w:val="22"/>
        </w:rPr>
      </w:pPr>
      <w:r w:rsidRPr="00F01E4A">
        <w:rPr>
          <w:sz w:val="22"/>
          <w:szCs w:val="22"/>
        </w:rPr>
        <w:t>Add breakdowns to 02.1.0 (Military defense) to cover at least the operation of land, air and sea forces individually; and possibly for nuclear, cyber and space</w:t>
      </w:r>
    </w:p>
    <w:p w14:paraId="7CC20737" w14:textId="16FB0458" w:rsidR="0039008C" w:rsidRPr="0039008C" w:rsidRDefault="0039008C" w:rsidP="0039008C">
      <w:pPr>
        <w:spacing w:after="0" w:line="240" w:lineRule="auto"/>
        <w:jc w:val="both"/>
        <w:rPr>
          <w:sz w:val="22"/>
          <w:szCs w:val="22"/>
        </w:rPr>
      </w:pPr>
      <w:r>
        <w:rPr>
          <w:sz w:val="22"/>
          <w:szCs w:val="22"/>
        </w:rPr>
        <w:t>Additional proposals:</w:t>
      </w:r>
    </w:p>
    <w:p w14:paraId="7767626A" w14:textId="5D882456" w:rsidR="00970289" w:rsidRDefault="00970289" w:rsidP="00D25872">
      <w:pPr>
        <w:pStyle w:val="ListParagraph"/>
        <w:numPr>
          <w:ilvl w:val="0"/>
          <w:numId w:val="27"/>
        </w:numPr>
        <w:spacing w:after="0" w:line="240" w:lineRule="auto"/>
        <w:jc w:val="both"/>
        <w:rPr>
          <w:sz w:val="22"/>
          <w:szCs w:val="22"/>
        </w:rPr>
      </w:pPr>
      <w:r>
        <w:rPr>
          <w:sz w:val="22"/>
          <w:szCs w:val="22"/>
        </w:rPr>
        <w:t>C</w:t>
      </w:r>
      <w:r w:rsidRPr="00970289">
        <w:rPr>
          <w:sz w:val="22"/>
          <w:szCs w:val="22"/>
        </w:rPr>
        <w:t>larif</w:t>
      </w:r>
      <w:r w:rsidR="0039008C">
        <w:rPr>
          <w:sz w:val="22"/>
          <w:szCs w:val="22"/>
        </w:rPr>
        <w:t xml:space="preserve">y </w:t>
      </w:r>
      <w:r w:rsidRPr="00970289">
        <w:rPr>
          <w:sz w:val="22"/>
          <w:szCs w:val="22"/>
        </w:rPr>
        <w:t>provision of temporary housing for war evacuees</w:t>
      </w:r>
    </w:p>
    <w:p w14:paraId="4C06AB16" w14:textId="7B096F3F" w:rsidR="0039008C" w:rsidRPr="00A0727A" w:rsidRDefault="0039008C" w:rsidP="00D25872">
      <w:pPr>
        <w:pStyle w:val="ListParagraph"/>
        <w:numPr>
          <w:ilvl w:val="0"/>
          <w:numId w:val="27"/>
        </w:numPr>
        <w:spacing w:after="0" w:line="240" w:lineRule="auto"/>
        <w:jc w:val="both"/>
        <w:rPr>
          <w:sz w:val="22"/>
          <w:szCs w:val="22"/>
        </w:rPr>
      </w:pPr>
      <w:r w:rsidRPr="003E1526">
        <w:rPr>
          <w:sz w:val="22"/>
          <w:szCs w:val="22"/>
        </w:rPr>
        <w:t>S</w:t>
      </w:r>
      <w:r w:rsidRPr="0039008C">
        <w:rPr>
          <w:sz w:val="22"/>
          <w:szCs w:val="22"/>
        </w:rPr>
        <w:t>ugges</w:t>
      </w:r>
      <w:r>
        <w:rPr>
          <w:sz w:val="22"/>
          <w:szCs w:val="22"/>
        </w:rPr>
        <w:t>t</w:t>
      </w:r>
      <w:r w:rsidRPr="0039008C">
        <w:rPr>
          <w:sz w:val="22"/>
          <w:szCs w:val="22"/>
        </w:rPr>
        <w:t xml:space="preserve"> instead expenditure by branch</w:t>
      </w:r>
    </w:p>
    <w:p w14:paraId="7BFE0154" w14:textId="77777777" w:rsidR="00970289" w:rsidRDefault="00970289" w:rsidP="008B4994">
      <w:pPr>
        <w:spacing w:after="0" w:line="240" w:lineRule="auto"/>
        <w:jc w:val="both"/>
        <w:rPr>
          <w:sz w:val="22"/>
          <w:szCs w:val="22"/>
          <w:u w:val="single"/>
        </w:rPr>
      </w:pPr>
    </w:p>
    <w:p w14:paraId="11431FF2" w14:textId="1875FD43" w:rsidR="003A32A6" w:rsidRPr="003A32A6" w:rsidRDefault="003A32A6" w:rsidP="003A32A6">
      <w:pPr>
        <w:spacing w:after="0" w:line="240" w:lineRule="auto"/>
        <w:jc w:val="both"/>
        <w:rPr>
          <w:sz w:val="22"/>
          <w:szCs w:val="22"/>
        </w:rPr>
      </w:pPr>
      <w:r>
        <w:rPr>
          <w:sz w:val="22"/>
          <w:szCs w:val="22"/>
        </w:rPr>
        <w:t>Concerns/objections:</w:t>
      </w:r>
    </w:p>
    <w:p w14:paraId="7155F5A7" w14:textId="397AE159" w:rsidR="0039008C" w:rsidRDefault="005850AE" w:rsidP="00D25872">
      <w:pPr>
        <w:pStyle w:val="ListParagraph"/>
        <w:numPr>
          <w:ilvl w:val="0"/>
          <w:numId w:val="26"/>
        </w:numPr>
        <w:spacing w:after="0" w:line="240" w:lineRule="auto"/>
        <w:jc w:val="both"/>
        <w:rPr>
          <w:sz w:val="22"/>
          <w:szCs w:val="22"/>
        </w:rPr>
      </w:pPr>
      <w:r>
        <w:rPr>
          <w:sz w:val="22"/>
          <w:szCs w:val="22"/>
        </w:rPr>
        <w:t>Several respondents noted that the p</w:t>
      </w:r>
      <w:r w:rsidR="003E1526" w:rsidRPr="003E1526">
        <w:rPr>
          <w:sz w:val="22"/>
          <w:szCs w:val="22"/>
        </w:rPr>
        <w:t xml:space="preserve">roposal </w:t>
      </w:r>
      <w:r>
        <w:rPr>
          <w:sz w:val="22"/>
          <w:szCs w:val="22"/>
        </w:rPr>
        <w:t>may</w:t>
      </w:r>
      <w:r w:rsidR="003E1526" w:rsidRPr="003E1526">
        <w:rPr>
          <w:sz w:val="22"/>
          <w:szCs w:val="22"/>
        </w:rPr>
        <w:t xml:space="preserve"> raise confidentiality </w:t>
      </w:r>
      <w:r w:rsidR="0039008C">
        <w:rPr>
          <w:sz w:val="22"/>
          <w:szCs w:val="22"/>
        </w:rPr>
        <w:t xml:space="preserve">and data limitation </w:t>
      </w:r>
      <w:r w:rsidR="003E1526" w:rsidRPr="003E1526">
        <w:rPr>
          <w:sz w:val="22"/>
          <w:szCs w:val="22"/>
        </w:rPr>
        <w:t>issue</w:t>
      </w:r>
      <w:r>
        <w:rPr>
          <w:sz w:val="22"/>
          <w:szCs w:val="22"/>
        </w:rPr>
        <w:t>s</w:t>
      </w:r>
      <w:r w:rsidR="003E1526" w:rsidRPr="003E1526">
        <w:rPr>
          <w:sz w:val="22"/>
          <w:szCs w:val="22"/>
        </w:rPr>
        <w:t xml:space="preserve"> </w:t>
      </w:r>
    </w:p>
    <w:p w14:paraId="47287403" w14:textId="4FA57BAC" w:rsidR="005850AE" w:rsidRPr="005338A2" w:rsidRDefault="005850AE" w:rsidP="00D25872">
      <w:pPr>
        <w:pStyle w:val="ListParagraph"/>
        <w:numPr>
          <w:ilvl w:val="0"/>
          <w:numId w:val="26"/>
        </w:numPr>
        <w:spacing w:after="0" w:line="240" w:lineRule="auto"/>
        <w:jc w:val="both"/>
        <w:rPr>
          <w:sz w:val="22"/>
          <w:szCs w:val="22"/>
        </w:rPr>
      </w:pPr>
      <w:r>
        <w:rPr>
          <w:sz w:val="22"/>
          <w:szCs w:val="22"/>
        </w:rPr>
        <w:t>P</w:t>
      </w:r>
      <w:r w:rsidRPr="008B4994">
        <w:rPr>
          <w:sz w:val="22"/>
          <w:szCs w:val="22"/>
        </w:rPr>
        <w:t>roblem with classification of missiles and other ammunition with high expenses</w:t>
      </w:r>
    </w:p>
    <w:p w14:paraId="5FEDA0E0" w14:textId="3819BE47" w:rsidR="00DF5043" w:rsidRPr="00721433" w:rsidRDefault="00ED2ECB" w:rsidP="00D25872">
      <w:pPr>
        <w:pStyle w:val="ListParagraph"/>
        <w:numPr>
          <w:ilvl w:val="0"/>
          <w:numId w:val="26"/>
        </w:numPr>
        <w:spacing w:after="0" w:line="240" w:lineRule="auto"/>
        <w:jc w:val="both"/>
        <w:rPr>
          <w:sz w:val="22"/>
          <w:szCs w:val="22"/>
        </w:rPr>
      </w:pPr>
      <w:r w:rsidRPr="00ED2ECB">
        <w:rPr>
          <w:sz w:val="22"/>
          <w:szCs w:val="22"/>
        </w:rPr>
        <w:t>Hospitals located on military bases are excluded and yet in times of emergency, they primarily take care of the injured and the army</w:t>
      </w:r>
    </w:p>
    <w:p w14:paraId="41071168" w14:textId="38BDEEEB" w:rsidR="00DF5043" w:rsidRDefault="00DF5043" w:rsidP="00D25872">
      <w:pPr>
        <w:pStyle w:val="ListParagraph"/>
        <w:numPr>
          <w:ilvl w:val="0"/>
          <w:numId w:val="26"/>
        </w:numPr>
        <w:spacing w:after="0" w:line="240" w:lineRule="auto"/>
        <w:jc w:val="both"/>
        <w:rPr>
          <w:sz w:val="22"/>
          <w:szCs w:val="22"/>
        </w:rPr>
      </w:pPr>
      <w:r w:rsidRPr="00DF5043">
        <w:rPr>
          <w:sz w:val="22"/>
          <w:szCs w:val="22"/>
        </w:rPr>
        <w:t>This</w:t>
      </w:r>
      <w:r>
        <w:rPr>
          <w:sz w:val="22"/>
          <w:szCs w:val="22"/>
        </w:rPr>
        <w:t xml:space="preserve"> [proposal]</w:t>
      </w:r>
      <w:r w:rsidRPr="00DF5043">
        <w:rPr>
          <w:sz w:val="22"/>
          <w:szCs w:val="22"/>
        </w:rPr>
        <w:t xml:space="preserve"> seems a very particular need which could be provided casually, instead of increasing compiler’s workload.</w:t>
      </w:r>
    </w:p>
    <w:p w14:paraId="2300B0B8" w14:textId="542A943B" w:rsidR="004552E2" w:rsidRDefault="00887E51" w:rsidP="00D25872">
      <w:pPr>
        <w:pStyle w:val="ListParagraph"/>
        <w:numPr>
          <w:ilvl w:val="0"/>
          <w:numId w:val="26"/>
        </w:numPr>
        <w:spacing w:after="0" w:line="240" w:lineRule="auto"/>
        <w:jc w:val="both"/>
        <w:rPr>
          <w:sz w:val="22"/>
          <w:szCs w:val="22"/>
        </w:rPr>
      </w:pPr>
      <w:r>
        <w:rPr>
          <w:sz w:val="22"/>
          <w:szCs w:val="22"/>
        </w:rPr>
        <w:t>S</w:t>
      </w:r>
      <w:r w:rsidR="004E606A" w:rsidRPr="004E606A">
        <w:rPr>
          <w:sz w:val="22"/>
          <w:szCs w:val="22"/>
        </w:rPr>
        <w:t>ix-way breakdown risks mixing where military activity happens, what that activity is, and who does it</w:t>
      </w:r>
      <w:r w:rsidR="00C234B9">
        <w:rPr>
          <w:sz w:val="22"/>
          <w:szCs w:val="22"/>
        </w:rPr>
        <w:t xml:space="preserve"> / </w:t>
      </w:r>
      <w:r w:rsidR="00C234B9" w:rsidRPr="00C234B9">
        <w:rPr>
          <w:sz w:val="22"/>
          <w:szCs w:val="22"/>
        </w:rPr>
        <w:t xml:space="preserve">how to draw the boundaries. </w:t>
      </w:r>
      <w:r w:rsidR="00B953A6" w:rsidRPr="00C234B9">
        <w:rPr>
          <w:sz w:val="22"/>
          <w:szCs w:val="22"/>
        </w:rPr>
        <w:t>E</w:t>
      </w:r>
      <w:r w:rsidR="00C234B9" w:rsidRPr="00C234B9">
        <w:rPr>
          <w:sz w:val="22"/>
          <w:szCs w:val="22"/>
        </w:rPr>
        <w:t>.g. Navy aircraft, where does this fit in?</w:t>
      </w:r>
    </w:p>
    <w:p w14:paraId="042856B0" w14:textId="30F4AA78" w:rsidR="00970289" w:rsidRPr="00A0727A" w:rsidRDefault="00644B3D" w:rsidP="00D25872">
      <w:pPr>
        <w:pStyle w:val="ListParagraph"/>
        <w:numPr>
          <w:ilvl w:val="0"/>
          <w:numId w:val="26"/>
        </w:numPr>
        <w:spacing w:after="0" w:line="240" w:lineRule="auto"/>
        <w:jc w:val="both"/>
        <w:rPr>
          <w:sz w:val="22"/>
          <w:szCs w:val="22"/>
        </w:rPr>
      </w:pPr>
      <w:r>
        <w:rPr>
          <w:sz w:val="22"/>
          <w:szCs w:val="22"/>
        </w:rPr>
        <w:t xml:space="preserve">Nuclear category would require </w:t>
      </w:r>
      <w:r w:rsidRPr="00644B3D">
        <w:rPr>
          <w:sz w:val="22"/>
          <w:szCs w:val="22"/>
        </w:rPr>
        <w:t>sub-class of land, sea and air to be done accurately.</w:t>
      </w:r>
    </w:p>
    <w:p w14:paraId="3DC4FF15" w14:textId="77777777" w:rsidR="00E10949" w:rsidRDefault="00E10949" w:rsidP="00450C7E">
      <w:pPr>
        <w:spacing w:after="0" w:line="240" w:lineRule="auto"/>
        <w:jc w:val="both"/>
        <w:rPr>
          <w:sz w:val="22"/>
          <w:szCs w:val="22"/>
        </w:rPr>
      </w:pPr>
    </w:p>
    <w:p w14:paraId="47D3442C" w14:textId="77777777" w:rsidR="00702DCA" w:rsidRDefault="00702DCA" w:rsidP="00450C7E">
      <w:pPr>
        <w:spacing w:after="0" w:line="240" w:lineRule="auto"/>
        <w:jc w:val="both"/>
        <w:rPr>
          <w:sz w:val="22"/>
          <w:szCs w:val="22"/>
        </w:rPr>
      </w:pPr>
    </w:p>
    <w:p w14:paraId="46294A17" w14:textId="77777777" w:rsidR="00870B56" w:rsidRDefault="00870B56" w:rsidP="00702DCA">
      <w:pPr>
        <w:spacing w:after="0" w:line="240" w:lineRule="auto"/>
        <w:rPr>
          <w:sz w:val="22"/>
          <w:szCs w:val="22"/>
          <w:u w:val="single"/>
        </w:rPr>
      </w:pPr>
    </w:p>
    <w:p w14:paraId="0A65A329" w14:textId="66D2F5B7" w:rsidR="00DA5E7B" w:rsidRPr="00EB0DC8" w:rsidRDefault="00DA5E7B" w:rsidP="00702DCA">
      <w:pPr>
        <w:spacing w:after="0" w:line="240" w:lineRule="auto"/>
        <w:rPr>
          <w:sz w:val="22"/>
          <w:szCs w:val="22"/>
          <w:u w:val="single"/>
        </w:rPr>
      </w:pPr>
      <w:r w:rsidRPr="00EB0DC8">
        <w:rPr>
          <w:sz w:val="22"/>
          <w:szCs w:val="22"/>
          <w:u w:val="single"/>
        </w:rPr>
        <w:lastRenderedPageBreak/>
        <w:t>A03. Public order and safety</w:t>
      </w:r>
    </w:p>
    <w:p w14:paraId="78310567" w14:textId="77777777" w:rsidR="00DA5E7B" w:rsidRDefault="00DA5E7B" w:rsidP="00DA5E7B">
      <w:pPr>
        <w:spacing w:after="0" w:line="240" w:lineRule="auto"/>
        <w:jc w:val="both"/>
        <w:rPr>
          <w:sz w:val="22"/>
          <w:szCs w:val="22"/>
          <w:u w:val="single"/>
        </w:rPr>
      </w:pPr>
    </w:p>
    <w:p w14:paraId="5CBF13EF" w14:textId="604B4717" w:rsidR="00DF1E28" w:rsidRPr="00EB0DC8" w:rsidRDefault="00DF1E28" w:rsidP="00EB0DC8">
      <w:pPr>
        <w:spacing w:after="0" w:line="240" w:lineRule="auto"/>
        <w:jc w:val="both"/>
        <w:rPr>
          <w:sz w:val="22"/>
          <w:szCs w:val="22"/>
        </w:rPr>
      </w:pPr>
      <w:r w:rsidRPr="00F01E4A">
        <w:rPr>
          <w:sz w:val="22"/>
          <w:szCs w:val="22"/>
        </w:rPr>
        <w:t>Original proposal:</w:t>
      </w:r>
    </w:p>
    <w:p w14:paraId="6384FCAB" w14:textId="77777777" w:rsidR="00EB0DC8" w:rsidRPr="00EB0DC8" w:rsidRDefault="00EB0DC8" w:rsidP="00870B56">
      <w:pPr>
        <w:pStyle w:val="ListParagraph"/>
        <w:numPr>
          <w:ilvl w:val="0"/>
          <w:numId w:val="45"/>
        </w:numPr>
        <w:pBdr>
          <w:top w:val="single" w:sz="4" w:space="1" w:color="auto"/>
          <w:left w:val="single" w:sz="4" w:space="4" w:color="auto"/>
          <w:bottom w:val="single" w:sz="4" w:space="1" w:color="auto"/>
          <w:right w:val="single" w:sz="4" w:space="4" w:color="auto"/>
        </w:pBdr>
        <w:spacing w:after="120" w:line="240" w:lineRule="auto"/>
        <w:jc w:val="both"/>
        <w:rPr>
          <w:sz w:val="22"/>
          <w:szCs w:val="22"/>
        </w:rPr>
      </w:pPr>
      <w:r w:rsidRPr="00EB0DC8">
        <w:rPr>
          <w:sz w:val="22"/>
          <w:szCs w:val="22"/>
        </w:rPr>
        <w:t>Create a new separate category in Division 03 for “Immigration and citizenship,” removing it from 03.1.0 (Police services)</w:t>
      </w:r>
    </w:p>
    <w:p w14:paraId="7E36E3EB" w14:textId="77777777" w:rsidR="00DF1E28" w:rsidRDefault="00DF1E28" w:rsidP="00DA5E7B">
      <w:pPr>
        <w:spacing w:after="0" w:line="240" w:lineRule="auto"/>
        <w:jc w:val="both"/>
        <w:rPr>
          <w:sz w:val="22"/>
          <w:szCs w:val="22"/>
          <w:u w:val="single"/>
        </w:rPr>
      </w:pPr>
    </w:p>
    <w:p w14:paraId="0BA93263" w14:textId="77777777" w:rsidR="00DA5E7B" w:rsidRPr="003A32A6" w:rsidRDefault="00DA5E7B" w:rsidP="00DA5E7B">
      <w:pPr>
        <w:spacing w:after="0" w:line="240" w:lineRule="auto"/>
        <w:jc w:val="both"/>
        <w:rPr>
          <w:sz w:val="22"/>
          <w:szCs w:val="22"/>
        </w:rPr>
      </w:pPr>
      <w:r>
        <w:rPr>
          <w:sz w:val="22"/>
          <w:szCs w:val="22"/>
        </w:rPr>
        <w:t>Concerns/objections:</w:t>
      </w:r>
    </w:p>
    <w:p w14:paraId="4090E625" w14:textId="2BA7A872" w:rsidR="00DA5E7B" w:rsidRPr="0039008C" w:rsidRDefault="00D13BB2" w:rsidP="00D25872">
      <w:pPr>
        <w:pStyle w:val="ListParagraph"/>
        <w:numPr>
          <w:ilvl w:val="0"/>
          <w:numId w:val="27"/>
        </w:numPr>
        <w:spacing w:after="0" w:line="240" w:lineRule="auto"/>
        <w:jc w:val="both"/>
        <w:rPr>
          <w:sz w:val="22"/>
          <w:szCs w:val="22"/>
        </w:rPr>
      </w:pPr>
      <w:r>
        <w:rPr>
          <w:sz w:val="22"/>
          <w:szCs w:val="22"/>
        </w:rPr>
        <w:t xml:space="preserve">Lack of </w:t>
      </w:r>
      <w:r w:rsidR="00163BD4">
        <w:rPr>
          <w:sz w:val="22"/>
          <w:szCs w:val="22"/>
        </w:rPr>
        <w:t>detailed/accurate data</w:t>
      </w:r>
    </w:p>
    <w:p w14:paraId="11DA0245" w14:textId="71A1D591" w:rsidR="00DA5E7B" w:rsidRDefault="002010C9" w:rsidP="00D25872">
      <w:pPr>
        <w:pStyle w:val="ListParagraph"/>
        <w:numPr>
          <w:ilvl w:val="0"/>
          <w:numId w:val="27"/>
        </w:numPr>
        <w:spacing w:after="0" w:line="240" w:lineRule="auto"/>
        <w:jc w:val="both"/>
        <w:rPr>
          <w:sz w:val="22"/>
          <w:szCs w:val="22"/>
        </w:rPr>
      </w:pPr>
      <w:r>
        <w:rPr>
          <w:sz w:val="22"/>
          <w:szCs w:val="22"/>
        </w:rPr>
        <w:t>Would require some transferring from 10.70 (Social exclusion n.e.c.)</w:t>
      </w:r>
    </w:p>
    <w:p w14:paraId="74AF726C" w14:textId="71DE8AA8" w:rsidR="0033202D" w:rsidRDefault="0033202D" w:rsidP="00D25872">
      <w:pPr>
        <w:pStyle w:val="ListParagraph"/>
        <w:numPr>
          <w:ilvl w:val="0"/>
          <w:numId w:val="27"/>
        </w:numPr>
        <w:spacing w:after="0" w:line="240" w:lineRule="auto"/>
        <w:jc w:val="both"/>
        <w:rPr>
          <w:sz w:val="22"/>
          <w:szCs w:val="22"/>
        </w:rPr>
      </w:pPr>
      <w:r>
        <w:rPr>
          <w:sz w:val="22"/>
          <w:szCs w:val="22"/>
        </w:rPr>
        <w:t>Should be considered as cross-cutting, general public services</w:t>
      </w:r>
      <w:r w:rsidR="00E63F5D">
        <w:rPr>
          <w:sz w:val="22"/>
          <w:szCs w:val="22"/>
        </w:rPr>
        <w:t xml:space="preserve"> or economic affairs </w:t>
      </w:r>
      <w:proofErr w:type="gramStart"/>
      <w:r w:rsidR="00E63F5D">
        <w:rPr>
          <w:sz w:val="22"/>
          <w:szCs w:val="22"/>
        </w:rPr>
        <w:t>issue</w:t>
      </w:r>
      <w:proofErr w:type="gramEnd"/>
    </w:p>
    <w:p w14:paraId="49E2DDB4" w14:textId="67E9667A" w:rsidR="00E63F5D" w:rsidRPr="00970289" w:rsidRDefault="00E63F5D" w:rsidP="00D25872">
      <w:pPr>
        <w:pStyle w:val="ListParagraph"/>
        <w:numPr>
          <w:ilvl w:val="0"/>
          <w:numId w:val="27"/>
        </w:numPr>
        <w:spacing w:after="0" w:line="240" w:lineRule="auto"/>
        <w:jc w:val="both"/>
        <w:rPr>
          <w:sz w:val="22"/>
          <w:szCs w:val="22"/>
        </w:rPr>
      </w:pPr>
      <w:r>
        <w:rPr>
          <w:sz w:val="22"/>
          <w:szCs w:val="22"/>
        </w:rPr>
        <w:t>Does this cover</w:t>
      </w:r>
      <w:r w:rsidR="00702DCA">
        <w:rPr>
          <w:sz w:val="22"/>
          <w:szCs w:val="22"/>
        </w:rPr>
        <w:t xml:space="preserve"> justice, violence against children, trafficking in </w:t>
      </w:r>
      <w:proofErr w:type="gramStart"/>
      <w:r w:rsidR="00702DCA">
        <w:rPr>
          <w:sz w:val="22"/>
          <w:szCs w:val="22"/>
        </w:rPr>
        <w:t>persons</w:t>
      </w:r>
      <w:proofErr w:type="gramEnd"/>
      <w:r w:rsidR="00702DCA">
        <w:rPr>
          <w:sz w:val="22"/>
          <w:szCs w:val="22"/>
        </w:rPr>
        <w:t>?</w:t>
      </w:r>
    </w:p>
    <w:p w14:paraId="5179AFEE" w14:textId="77777777" w:rsidR="00DA5E7B" w:rsidRDefault="00DA5E7B" w:rsidP="00450C7E">
      <w:pPr>
        <w:spacing w:after="0" w:line="240" w:lineRule="auto"/>
        <w:jc w:val="both"/>
        <w:rPr>
          <w:sz w:val="22"/>
          <w:szCs w:val="22"/>
        </w:rPr>
      </w:pPr>
    </w:p>
    <w:p w14:paraId="4C6A46C3" w14:textId="77777777" w:rsidR="00DA5E7B" w:rsidRDefault="00DA5E7B" w:rsidP="00450C7E">
      <w:pPr>
        <w:spacing w:after="0" w:line="240" w:lineRule="auto"/>
        <w:jc w:val="both"/>
        <w:rPr>
          <w:sz w:val="22"/>
          <w:szCs w:val="22"/>
        </w:rPr>
      </w:pPr>
    </w:p>
    <w:p w14:paraId="02E6E6D3" w14:textId="77777777" w:rsidR="007C620B" w:rsidRDefault="007C620B" w:rsidP="007C620B">
      <w:pPr>
        <w:spacing w:after="0" w:line="240" w:lineRule="auto"/>
        <w:rPr>
          <w:sz w:val="22"/>
          <w:szCs w:val="22"/>
          <w:u w:val="single"/>
        </w:rPr>
      </w:pPr>
      <w:r w:rsidRPr="00EB0DC8">
        <w:rPr>
          <w:sz w:val="22"/>
          <w:szCs w:val="22"/>
          <w:u w:val="single"/>
        </w:rPr>
        <w:t>A04. Economic affairs</w:t>
      </w:r>
    </w:p>
    <w:p w14:paraId="00FEC625" w14:textId="77777777" w:rsidR="00EB0DC8" w:rsidRDefault="00EB0DC8" w:rsidP="007C620B">
      <w:pPr>
        <w:spacing w:after="0" w:line="240" w:lineRule="auto"/>
        <w:rPr>
          <w:sz w:val="22"/>
          <w:szCs w:val="22"/>
          <w:u w:val="single"/>
        </w:rPr>
      </w:pPr>
    </w:p>
    <w:p w14:paraId="170429C4" w14:textId="1B9108A5" w:rsidR="006733A1" w:rsidRPr="006733A1" w:rsidRDefault="006733A1" w:rsidP="006733A1">
      <w:pPr>
        <w:spacing w:after="0" w:line="240" w:lineRule="auto"/>
        <w:jc w:val="both"/>
        <w:rPr>
          <w:sz w:val="22"/>
          <w:szCs w:val="22"/>
        </w:rPr>
      </w:pPr>
      <w:r w:rsidRPr="00F01E4A">
        <w:rPr>
          <w:sz w:val="22"/>
          <w:szCs w:val="22"/>
        </w:rPr>
        <w:t>Original proposal</w:t>
      </w:r>
      <w:r>
        <w:rPr>
          <w:sz w:val="22"/>
          <w:szCs w:val="22"/>
        </w:rPr>
        <w:t>s</w:t>
      </w:r>
      <w:r w:rsidRPr="00F01E4A">
        <w:rPr>
          <w:sz w:val="22"/>
          <w:szCs w:val="22"/>
        </w:rPr>
        <w:t>:</w:t>
      </w:r>
    </w:p>
    <w:p w14:paraId="77F49F9F" w14:textId="77777777" w:rsidR="00992441" w:rsidRPr="006733A1" w:rsidRDefault="00992441" w:rsidP="00D25872">
      <w:pPr>
        <w:pStyle w:val="ListParagraph"/>
        <w:numPr>
          <w:ilvl w:val="0"/>
          <w:numId w:val="44"/>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6733A1">
        <w:rPr>
          <w:sz w:val="22"/>
          <w:szCs w:val="22"/>
        </w:rPr>
        <w:t>Clarify its organizing principle based on Eurostat COFOG Manual Section 2.8</w:t>
      </w:r>
    </w:p>
    <w:p w14:paraId="7E9C9829" w14:textId="77777777" w:rsidR="00992441" w:rsidRPr="006733A1" w:rsidRDefault="00992441" w:rsidP="00D25872">
      <w:pPr>
        <w:pStyle w:val="ListParagraph"/>
        <w:numPr>
          <w:ilvl w:val="0"/>
          <w:numId w:val="44"/>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6733A1">
        <w:rPr>
          <w:sz w:val="22"/>
          <w:szCs w:val="22"/>
        </w:rPr>
        <w:t>Move all construction activity under 04.4.3 (Construction), including construction and maintenance found under 04.5.1-04.5.5 and 04.6.0</w:t>
      </w:r>
    </w:p>
    <w:p w14:paraId="58865168" w14:textId="77777777" w:rsidR="00992441" w:rsidRPr="006733A1" w:rsidRDefault="00992441" w:rsidP="00D25872">
      <w:pPr>
        <w:pStyle w:val="ListParagraph"/>
        <w:numPr>
          <w:ilvl w:val="0"/>
          <w:numId w:val="44"/>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6733A1">
        <w:rPr>
          <w:sz w:val="22"/>
          <w:szCs w:val="22"/>
        </w:rPr>
        <w:t>Include a breakdown of renewable/non-renewable energy in 04.4 (Mining, manufacturing and construction)</w:t>
      </w:r>
    </w:p>
    <w:p w14:paraId="33EDEE01" w14:textId="77777777" w:rsidR="00992441" w:rsidRPr="006733A1" w:rsidRDefault="00992441" w:rsidP="00D25872">
      <w:pPr>
        <w:pStyle w:val="ListParagraph"/>
        <w:numPr>
          <w:ilvl w:val="0"/>
          <w:numId w:val="44"/>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6733A1">
        <w:rPr>
          <w:sz w:val="22"/>
          <w:szCs w:val="22"/>
        </w:rPr>
        <w:t>Move “Active labour market policy” to 10.5 from 04.1 (General Economic, Commercial and Labour Affairs)</w:t>
      </w:r>
    </w:p>
    <w:p w14:paraId="49D0736E" w14:textId="77777777" w:rsidR="00992441" w:rsidRPr="006733A1" w:rsidRDefault="00992441" w:rsidP="00D25872">
      <w:pPr>
        <w:pStyle w:val="ListParagraph"/>
        <w:numPr>
          <w:ilvl w:val="0"/>
          <w:numId w:val="44"/>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6733A1">
        <w:rPr>
          <w:sz w:val="22"/>
          <w:szCs w:val="22"/>
        </w:rPr>
        <w:t xml:space="preserve">Explicitly include livestock farming in 04.2.1 (Agriculture) </w:t>
      </w:r>
    </w:p>
    <w:p w14:paraId="5CE91F59" w14:textId="77777777" w:rsidR="00992441" w:rsidRPr="006733A1" w:rsidRDefault="00992441" w:rsidP="00D25872">
      <w:pPr>
        <w:pStyle w:val="ListParagraph"/>
        <w:numPr>
          <w:ilvl w:val="0"/>
          <w:numId w:val="44"/>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6733A1">
        <w:rPr>
          <w:sz w:val="22"/>
          <w:szCs w:val="22"/>
        </w:rPr>
        <w:t>Expand activities under 04.2.2 (Forestry) to include Conservation, Development and Regeneration of forests</w:t>
      </w:r>
    </w:p>
    <w:p w14:paraId="766471BF" w14:textId="77777777" w:rsidR="00992441" w:rsidRPr="006733A1" w:rsidRDefault="00992441" w:rsidP="00D25872">
      <w:pPr>
        <w:pStyle w:val="ListParagraph"/>
        <w:numPr>
          <w:ilvl w:val="0"/>
          <w:numId w:val="44"/>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6733A1">
        <w:rPr>
          <w:sz w:val="22"/>
          <w:szCs w:val="22"/>
        </w:rPr>
        <w:t>Rename 04.2.3 to “Fishing and aquaculture” or “Fishing” to align with ISIC, etc.</w:t>
      </w:r>
    </w:p>
    <w:p w14:paraId="066C931E" w14:textId="77777777" w:rsidR="00992441" w:rsidRPr="006733A1" w:rsidRDefault="00992441" w:rsidP="00D25872">
      <w:pPr>
        <w:pStyle w:val="ListParagraph"/>
        <w:numPr>
          <w:ilvl w:val="0"/>
          <w:numId w:val="44"/>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6733A1">
        <w:rPr>
          <w:sz w:val="22"/>
          <w:szCs w:val="22"/>
        </w:rPr>
        <w:t>Create a new category for “Marine resource management and conservation” covering fisheries management, marine biodiversity protection, and sustainable fishing practices</w:t>
      </w:r>
    </w:p>
    <w:p w14:paraId="6DD45663" w14:textId="05C47552" w:rsidR="00DA5E7B" w:rsidRPr="0061129D" w:rsidRDefault="00992441" w:rsidP="00D25872">
      <w:pPr>
        <w:pStyle w:val="ListParagraph"/>
        <w:numPr>
          <w:ilvl w:val="0"/>
          <w:numId w:val="44"/>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6733A1">
        <w:rPr>
          <w:sz w:val="22"/>
          <w:szCs w:val="22"/>
        </w:rPr>
        <w:t>Review 04.7.4 (</w:t>
      </w:r>
      <w:proofErr w:type="gramStart"/>
      <w:r w:rsidRPr="006733A1">
        <w:rPr>
          <w:sz w:val="22"/>
          <w:szCs w:val="22"/>
        </w:rPr>
        <w:t>Multi-purpose</w:t>
      </w:r>
      <w:proofErr w:type="gramEnd"/>
      <w:r w:rsidRPr="006733A1">
        <w:rPr>
          <w:sz w:val="22"/>
          <w:szCs w:val="22"/>
        </w:rPr>
        <w:t xml:space="preserve"> development projects)</w:t>
      </w:r>
    </w:p>
    <w:p w14:paraId="060304BC" w14:textId="77777777" w:rsidR="00DA5E7B" w:rsidRPr="0039008C" w:rsidRDefault="00DA5E7B" w:rsidP="00DA5E7B">
      <w:pPr>
        <w:spacing w:after="0" w:line="240" w:lineRule="auto"/>
        <w:jc w:val="both"/>
        <w:rPr>
          <w:sz w:val="22"/>
          <w:szCs w:val="22"/>
        </w:rPr>
      </w:pPr>
      <w:r>
        <w:rPr>
          <w:sz w:val="22"/>
          <w:szCs w:val="22"/>
        </w:rPr>
        <w:t>Additional proposals:</w:t>
      </w:r>
    </w:p>
    <w:p w14:paraId="3CD96202" w14:textId="3C0115F9" w:rsidR="00DA5E7B" w:rsidRPr="0039008C" w:rsidRDefault="00791F3A" w:rsidP="00D25872">
      <w:pPr>
        <w:pStyle w:val="ListParagraph"/>
        <w:numPr>
          <w:ilvl w:val="0"/>
          <w:numId w:val="27"/>
        </w:numPr>
        <w:spacing w:after="0" w:line="240" w:lineRule="auto"/>
        <w:jc w:val="both"/>
        <w:rPr>
          <w:sz w:val="22"/>
          <w:szCs w:val="22"/>
        </w:rPr>
      </w:pPr>
      <w:r w:rsidRPr="00791F3A">
        <w:rPr>
          <w:sz w:val="22"/>
          <w:szCs w:val="22"/>
        </w:rPr>
        <w:t>More detail on Agriculture</w:t>
      </w:r>
    </w:p>
    <w:p w14:paraId="7A91CC07" w14:textId="232A6A41" w:rsidR="00DA5E7B" w:rsidRDefault="004F3768" w:rsidP="00D25872">
      <w:pPr>
        <w:pStyle w:val="ListParagraph"/>
        <w:numPr>
          <w:ilvl w:val="0"/>
          <w:numId w:val="27"/>
        </w:numPr>
        <w:spacing w:after="0" w:line="240" w:lineRule="auto"/>
        <w:jc w:val="both"/>
        <w:rPr>
          <w:sz w:val="22"/>
          <w:szCs w:val="22"/>
        </w:rPr>
      </w:pPr>
      <w:r w:rsidRPr="004F3768">
        <w:rPr>
          <w:sz w:val="22"/>
          <w:szCs w:val="22"/>
        </w:rPr>
        <w:t>Include a breakdown of renewable/non-renewable energy in 04.3 (Fuel and energy)</w:t>
      </w:r>
      <w:r w:rsidR="00E91FF0">
        <w:rPr>
          <w:sz w:val="22"/>
          <w:szCs w:val="22"/>
        </w:rPr>
        <w:t xml:space="preserve"> rather than 04.4</w:t>
      </w:r>
      <w:r w:rsidR="00F71514">
        <w:rPr>
          <w:sz w:val="22"/>
          <w:szCs w:val="22"/>
        </w:rPr>
        <w:t xml:space="preserve">; </w:t>
      </w:r>
      <w:r w:rsidR="00343100">
        <w:rPr>
          <w:sz w:val="22"/>
          <w:szCs w:val="22"/>
        </w:rPr>
        <w:t xml:space="preserve">add breakdown </w:t>
      </w:r>
      <w:r w:rsidR="0054078A">
        <w:rPr>
          <w:sz w:val="22"/>
          <w:szCs w:val="22"/>
        </w:rPr>
        <w:t>specifically</w:t>
      </w:r>
      <w:r w:rsidR="00C513BA">
        <w:rPr>
          <w:sz w:val="22"/>
          <w:szCs w:val="22"/>
        </w:rPr>
        <w:t xml:space="preserve"> </w:t>
      </w:r>
      <w:r w:rsidR="00343100">
        <w:rPr>
          <w:sz w:val="22"/>
          <w:szCs w:val="22"/>
        </w:rPr>
        <w:t xml:space="preserve">in </w:t>
      </w:r>
      <w:r w:rsidR="00F71514" w:rsidRPr="00F71514">
        <w:rPr>
          <w:sz w:val="22"/>
          <w:szCs w:val="22"/>
        </w:rPr>
        <w:t>04.34, 04.35, 04.36</w:t>
      </w:r>
      <w:r w:rsidR="0054078A">
        <w:rPr>
          <w:sz w:val="22"/>
          <w:szCs w:val="22"/>
        </w:rPr>
        <w:t>)</w:t>
      </w:r>
      <w:r w:rsidR="00001312">
        <w:rPr>
          <w:sz w:val="22"/>
          <w:szCs w:val="22"/>
        </w:rPr>
        <w:t xml:space="preserve">; </w:t>
      </w:r>
      <w:r w:rsidR="00001312" w:rsidRPr="00001312">
        <w:rPr>
          <w:sz w:val="22"/>
          <w:szCs w:val="22"/>
        </w:rPr>
        <w:t xml:space="preserve">include </w:t>
      </w:r>
      <w:r w:rsidR="00343100">
        <w:rPr>
          <w:sz w:val="22"/>
          <w:szCs w:val="22"/>
        </w:rPr>
        <w:t xml:space="preserve">breakdown </w:t>
      </w:r>
      <w:r w:rsidR="00001312" w:rsidRPr="00001312">
        <w:rPr>
          <w:sz w:val="22"/>
          <w:szCs w:val="22"/>
        </w:rPr>
        <w:t>under 05 by creating new group Energy</w:t>
      </w:r>
      <w:r w:rsidR="009407C2">
        <w:rPr>
          <w:sz w:val="22"/>
          <w:szCs w:val="22"/>
        </w:rPr>
        <w:t xml:space="preserve">; </w:t>
      </w:r>
      <w:r w:rsidR="009407C2" w:rsidRPr="009407C2">
        <w:rPr>
          <w:sz w:val="22"/>
          <w:szCs w:val="22"/>
        </w:rPr>
        <w:t>consider SIEC revision</w:t>
      </w:r>
    </w:p>
    <w:p w14:paraId="5053132B" w14:textId="2BB38CC6" w:rsidR="001E7CEB" w:rsidRDefault="001E7CEB" w:rsidP="00D25872">
      <w:pPr>
        <w:pStyle w:val="ListParagraph"/>
        <w:numPr>
          <w:ilvl w:val="0"/>
          <w:numId w:val="27"/>
        </w:numPr>
        <w:spacing w:after="0" w:line="240" w:lineRule="auto"/>
        <w:jc w:val="both"/>
        <w:rPr>
          <w:sz w:val="22"/>
          <w:szCs w:val="22"/>
        </w:rPr>
      </w:pPr>
      <w:r w:rsidRPr="001E7CEB">
        <w:rPr>
          <w:sz w:val="22"/>
          <w:szCs w:val="22"/>
        </w:rPr>
        <w:t>04.2</w:t>
      </w:r>
      <w:r w:rsidR="009A4899">
        <w:rPr>
          <w:sz w:val="22"/>
          <w:szCs w:val="22"/>
        </w:rPr>
        <w:t>.</w:t>
      </w:r>
      <w:r w:rsidRPr="001E7CEB">
        <w:rPr>
          <w:sz w:val="22"/>
          <w:szCs w:val="22"/>
        </w:rPr>
        <w:t>3: Create a new category for “Protection of wild animal and marine resources against depletion</w:t>
      </w:r>
      <w:r>
        <w:rPr>
          <w:sz w:val="22"/>
          <w:szCs w:val="22"/>
        </w:rPr>
        <w:t>”</w:t>
      </w:r>
      <w:r w:rsidR="00252575">
        <w:rPr>
          <w:sz w:val="22"/>
          <w:szCs w:val="22"/>
        </w:rPr>
        <w:t xml:space="preserve"> (excluding </w:t>
      </w:r>
      <w:r w:rsidR="00252575" w:rsidRPr="00252575">
        <w:rPr>
          <w:sz w:val="22"/>
          <w:szCs w:val="22"/>
        </w:rPr>
        <w:t>protection of biodiversity</w:t>
      </w:r>
      <w:r w:rsidR="00252575">
        <w:rPr>
          <w:sz w:val="22"/>
          <w:szCs w:val="22"/>
        </w:rPr>
        <w:t>, under</w:t>
      </w:r>
      <w:r w:rsidR="00252575" w:rsidRPr="00252575">
        <w:rPr>
          <w:sz w:val="22"/>
          <w:szCs w:val="22"/>
        </w:rPr>
        <w:t xml:space="preserve"> 05.4. 3)</w:t>
      </w:r>
    </w:p>
    <w:p w14:paraId="455059EB" w14:textId="222C4320" w:rsidR="009A4899" w:rsidRDefault="009A4899" w:rsidP="00D25872">
      <w:pPr>
        <w:pStyle w:val="ListParagraph"/>
        <w:numPr>
          <w:ilvl w:val="0"/>
          <w:numId w:val="27"/>
        </w:numPr>
        <w:spacing w:after="0" w:line="240" w:lineRule="auto"/>
        <w:jc w:val="both"/>
        <w:rPr>
          <w:sz w:val="22"/>
          <w:szCs w:val="22"/>
        </w:rPr>
      </w:pPr>
      <w:r w:rsidRPr="009A4899">
        <w:rPr>
          <w:sz w:val="22"/>
          <w:szCs w:val="22"/>
        </w:rPr>
        <w:t>04.3</w:t>
      </w:r>
      <w:r>
        <w:rPr>
          <w:sz w:val="22"/>
          <w:szCs w:val="22"/>
        </w:rPr>
        <w:t>.</w:t>
      </w:r>
      <w:r w:rsidRPr="009A4899">
        <w:rPr>
          <w:sz w:val="22"/>
          <w:szCs w:val="22"/>
        </w:rPr>
        <w:t>0: Include a separately identifiable subclass on energy savings</w:t>
      </w:r>
    </w:p>
    <w:p w14:paraId="3C32E71A" w14:textId="00BC3FB7" w:rsidR="006868BC" w:rsidRDefault="006868BC" w:rsidP="00D25872">
      <w:pPr>
        <w:pStyle w:val="ListParagraph"/>
        <w:numPr>
          <w:ilvl w:val="0"/>
          <w:numId w:val="27"/>
        </w:numPr>
        <w:spacing w:after="0" w:line="240" w:lineRule="auto"/>
        <w:jc w:val="both"/>
        <w:rPr>
          <w:sz w:val="22"/>
          <w:szCs w:val="22"/>
        </w:rPr>
      </w:pPr>
      <w:r w:rsidRPr="006868BC">
        <w:rPr>
          <w:sz w:val="22"/>
          <w:szCs w:val="22"/>
        </w:rPr>
        <w:t xml:space="preserve">All expenditure on conservation activities should </w:t>
      </w:r>
      <w:r>
        <w:rPr>
          <w:sz w:val="22"/>
          <w:szCs w:val="22"/>
        </w:rPr>
        <w:t xml:space="preserve">be </w:t>
      </w:r>
      <w:r w:rsidRPr="006868BC">
        <w:rPr>
          <w:sz w:val="22"/>
          <w:szCs w:val="22"/>
        </w:rPr>
        <w:t xml:space="preserve">included under 05 by creating </w:t>
      </w:r>
      <w:proofErr w:type="gramStart"/>
      <w:r w:rsidRPr="006868BC">
        <w:rPr>
          <w:sz w:val="22"/>
          <w:szCs w:val="22"/>
        </w:rPr>
        <w:t>new</w:t>
      </w:r>
      <w:proofErr w:type="gramEnd"/>
      <w:r w:rsidRPr="006868BC">
        <w:rPr>
          <w:sz w:val="22"/>
          <w:szCs w:val="22"/>
        </w:rPr>
        <w:t xml:space="preserve"> group of Conservation</w:t>
      </w:r>
    </w:p>
    <w:p w14:paraId="3765CCAF" w14:textId="77777777" w:rsidR="006868BC" w:rsidRDefault="006868BC" w:rsidP="00D25872">
      <w:pPr>
        <w:pStyle w:val="ListParagraph"/>
        <w:numPr>
          <w:ilvl w:val="0"/>
          <w:numId w:val="27"/>
        </w:numPr>
        <w:spacing w:after="0" w:line="240" w:lineRule="auto"/>
        <w:jc w:val="both"/>
        <w:rPr>
          <w:sz w:val="22"/>
          <w:szCs w:val="22"/>
        </w:rPr>
      </w:pPr>
      <w:r w:rsidRPr="006868BC">
        <w:rPr>
          <w:sz w:val="22"/>
          <w:szCs w:val="22"/>
        </w:rPr>
        <w:t>Remove construction of flood control under 04</w:t>
      </w:r>
      <w:r>
        <w:rPr>
          <w:sz w:val="22"/>
          <w:szCs w:val="22"/>
        </w:rPr>
        <w:t>.</w:t>
      </w:r>
      <w:r w:rsidRPr="006868BC">
        <w:rPr>
          <w:sz w:val="22"/>
          <w:szCs w:val="22"/>
        </w:rPr>
        <w:t>2</w:t>
      </w:r>
      <w:r>
        <w:rPr>
          <w:sz w:val="22"/>
          <w:szCs w:val="22"/>
        </w:rPr>
        <w:t>.</w:t>
      </w:r>
      <w:r w:rsidRPr="006868BC">
        <w:rPr>
          <w:sz w:val="22"/>
          <w:szCs w:val="22"/>
        </w:rPr>
        <w:t>1 as it repeating with 04</w:t>
      </w:r>
      <w:r>
        <w:rPr>
          <w:sz w:val="22"/>
          <w:szCs w:val="22"/>
        </w:rPr>
        <w:t>.</w:t>
      </w:r>
      <w:r w:rsidRPr="006868BC">
        <w:rPr>
          <w:sz w:val="22"/>
          <w:szCs w:val="22"/>
        </w:rPr>
        <w:t>7</w:t>
      </w:r>
      <w:r>
        <w:rPr>
          <w:sz w:val="22"/>
          <w:szCs w:val="22"/>
        </w:rPr>
        <w:t>.</w:t>
      </w:r>
      <w:r w:rsidRPr="006868BC">
        <w:rPr>
          <w:sz w:val="22"/>
          <w:szCs w:val="22"/>
        </w:rPr>
        <w:t xml:space="preserve">4 </w:t>
      </w:r>
    </w:p>
    <w:p w14:paraId="41123E54" w14:textId="0676F69A" w:rsidR="007B777B" w:rsidRDefault="007B777B" w:rsidP="00D25872">
      <w:pPr>
        <w:pStyle w:val="ListParagraph"/>
        <w:numPr>
          <w:ilvl w:val="0"/>
          <w:numId w:val="27"/>
        </w:numPr>
        <w:spacing w:after="0" w:line="240" w:lineRule="auto"/>
        <w:jc w:val="both"/>
        <w:rPr>
          <w:sz w:val="22"/>
          <w:szCs w:val="22"/>
        </w:rPr>
      </w:pPr>
      <w:r>
        <w:rPr>
          <w:sz w:val="22"/>
          <w:szCs w:val="22"/>
        </w:rPr>
        <w:t>A</w:t>
      </w:r>
      <w:r w:rsidRPr="007B777B">
        <w:rPr>
          <w:sz w:val="22"/>
          <w:szCs w:val="22"/>
        </w:rPr>
        <w:t>lign with ISIC Rev 5 where possible</w:t>
      </w:r>
    </w:p>
    <w:p w14:paraId="464D1890" w14:textId="0DFE8A85" w:rsidR="00DA5E7B" w:rsidRPr="0061129D" w:rsidRDefault="00600C29" w:rsidP="00D25872">
      <w:pPr>
        <w:pStyle w:val="ListParagraph"/>
        <w:numPr>
          <w:ilvl w:val="0"/>
          <w:numId w:val="27"/>
        </w:numPr>
        <w:spacing w:after="0" w:line="240" w:lineRule="auto"/>
        <w:jc w:val="both"/>
        <w:rPr>
          <w:sz w:val="22"/>
          <w:szCs w:val="22"/>
        </w:rPr>
      </w:pPr>
      <w:r w:rsidRPr="00600C29">
        <w:rPr>
          <w:sz w:val="22"/>
          <w:szCs w:val="22"/>
        </w:rPr>
        <w:t>Consider splitting fishing and aquaculture into two categories (or follow ISIC)</w:t>
      </w:r>
    </w:p>
    <w:p w14:paraId="16B41512" w14:textId="77777777" w:rsidR="00DA5E7B" w:rsidRDefault="00DA5E7B" w:rsidP="00DA5E7B">
      <w:pPr>
        <w:spacing w:after="0" w:line="240" w:lineRule="auto"/>
        <w:jc w:val="both"/>
        <w:rPr>
          <w:sz w:val="22"/>
          <w:szCs w:val="22"/>
          <w:u w:val="single"/>
        </w:rPr>
      </w:pPr>
    </w:p>
    <w:p w14:paraId="15991554" w14:textId="77777777" w:rsidR="00DA5E7B" w:rsidRPr="003A32A6" w:rsidRDefault="00DA5E7B" w:rsidP="00DA5E7B">
      <w:pPr>
        <w:spacing w:after="0" w:line="240" w:lineRule="auto"/>
        <w:jc w:val="both"/>
        <w:rPr>
          <w:sz w:val="22"/>
          <w:szCs w:val="22"/>
        </w:rPr>
      </w:pPr>
      <w:r>
        <w:rPr>
          <w:sz w:val="22"/>
          <w:szCs w:val="22"/>
        </w:rPr>
        <w:t>Concerns/objections:</w:t>
      </w:r>
    </w:p>
    <w:p w14:paraId="2CD3FD6D" w14:textId="1DD430A2" w:rsidR="00DA5E7B" w:rsidRPr="0039008C" w:rsidRDefault="00F91D16" w:rsidP="00D25872">
      <w:pPr>
        <w:pStyle w:val="ListParagraph"/>
        <w:numPr>
          <w:ilvl w:val="0"/>
          <w:numId w:val="27"/>
        </w:numPr>
        <w:spacing w:after="0" w:line="240" w:lineRule="auto"/>
        <w:jc w:val="both"/>
        <w:rPr>
          <w:sz w:val="22"/>
          <w:szCs w:val="22"/>
        </w:rPr>
      </w:pPr>
      <w:proofErr w:type="gramStart"/>
      <w:r>
        <w:rPr>
          <w:sz w:val="22"/>
          <w:szCs w:val="22"/>
        </w:rPr>
        <w:t>N</w:t>
      </w:r>
      <w:r w:rsidRPr="00F91D16">
        <w:rPr>
          <w:sz w:val="22"/>
          <w:szCs w:val="22"/>
        </w:rPr>
        <w:t>ecessary</w:t>
      </w:r>
      <w:proofErr w:type="gramEnd"/>
      <w:r w:rsidRPr="00F91D16">
        <w:rPr>
          <w:sz w:val="22"/>
          <w:szCs w:val="22"/>
        </w:rPr>
        <w:t xml:space="preserve"> to detail the inclusions and exclusions</w:t>
      </w:r>
    </w:p>
    <w:p w14:paraId="5BAE0421" w14:textId="693F6688" w:rsidR="00DA5E7B" w:rsidRDefault="00654C89" w:rsidP="00D25872">
      <w:pPr>
        <w:pStyle w:val="ListParagraph"/>
        <w:numPr>
          <w:ilvl w:val="0"/>
          <w:numId w:val="27"/>
        </w:numPr>
        <w:spacing w:after="0" w:line="240" w:lineRule="auto"/>
        <w:jc w:val="both"/>
        <w:rPr>
          <w:sz w:val="22"/>
          <w:szCs w:val="22"/>
        </w:rPr>
      </w:pPr>
      <w:r w:rsidRPr="00654C89">
        <w:rPr>
          <w:sz w:val="22"/>
          <w:szCs w:val="22"/>
        </w:rPr>
        <w:lastRenderedPageBreak/>
        <w:t>Breeding must be dealt with here</w:t>
      </w:r>
    </w:p>
    <w:p w14:paraId="38402A87" w14:textId="538B5A81" w:rsidR="004E1FFA" w:rsidRDefault="004E1FFA" w:rsidP="00D25872">
      <w:pPr>
        <w:pStyle w:val="ListParagraph"/>
        <w:numPr>
          <w:ilvl w:val="0"/>
          <w:numId w:val="27"/>
        </w:numPr>
        <w:spacing w:after="0" w:line="240" w:lineRule="auto"/>
        <w:jc w:val="both"/>
        <w:rPr>
          <w:sz w:val="22"/>
          <w:szCs w:val="22"/>
        </w:rPr>
      </w:pPr>
      <w:r w:rsidRPr="004E1FFA">
        <w:rPr>
          <w:sz w:val="22"/>
          <w:szCs w:val="22"/>
        </w:rPr>
        <w:t>Agree with all proposals regarding environmental issues. The remainder proposals are inconsequential and/or could affect COFOG coherence</w:t>
      </w:r>
    </w:p>
    <w:p w14:paraId="5F178D93" w14:textId="43B7234D" w:rsidR="00FE77C6" w:rsidRDefault="00FE77C6" w:rsidP="00D25872">
      <w:pPr>
        <w:pStyle w:val="ListParagraph"/>
        <w:numPr>
          <w:ilvl w:val="0"/>
          <w:numId w:val="27"/>
        </w:numPr>
        <w:spacing w:after="0" w:line="240" w:lineRule="auto"/>
        <w:jc w:val="both"/>
        <w:rPr>
          <w:sz w:val="22"/>
          <w:szCs w:val="22"/>
        </w:rPr>
      </w:pPr>
      <w:r w:rsidRPr="00FE77C6">
        <w:rPr>
          <w:sz w:val="22"/>
          <w:szCs w:val="22"/>
        </w:rPr>
        <w:t>Moving all construction to 04.4.3 must rely on a misunderstanding, e.g. road-construction/maintenance not in 04.5.1 seems incorrect and details would be lost</w:t>
      </w:r>
    </w:p>
    <w:p w14:paraId="57664725" w14:textId="0524ED0F" w:rsidR="00E51EB6" w:rsidRDefault="00E51EB6" w:rsidP="00D25872">
      <w:pPr>
        <w:pStyle w:val="ListParagraph"/>
        <w:numPr>
          <w:ilvl w:val="0"/>
          <w:numId w:val="27"/>
        </w:numPr>
        <w:spacing w:after="0" w:line="240" w:lineRule="auto"/>
        <w:jc w:val="both"/>
        <w:rPr>
          <w:sz w:val="22"/>
          <w:szCs w:val="22"/>
        </w:rPr>
      </w:pPr>
      <w:r>
        <w:rPr>
          <w:sz w:val="22"/>
          <w:szCs w:val="22"/>
        </w:rPr>
        <w:t>More detail needed on plan for renewable/non-renewable energy</w:t>
      </w:r>
    </w:p>
    <w:p w14:paraId="0BBACA61" w14:textId="1DDDB156" w:rsidR="00685722" w:rsidRDefault="00685722" w:rsidP="00D25872">
      <w:pPr>
        <w:pStyle w:val="ListParagraph"/>
        <w:numPr>
          <w:ilvl w:val="0"/>
          <w:numId w:val="27"/>
        </w:numPr>
        <w:spacing w:after="0" w:line="240" w:lineRule="auto"/>
        <w:jc w:val="both"/>
        <w:rPr>
          <w:sz w:val="22"/>
          <w:szCs w:val="22"/>
        </w:rPr>
      </w:pPr>
      <w:r w:rsidRPr="00685722">
        <w:rPr>
          <w:sz w:val="22"/>
          <w:szCs w:val="22"/>
        </w:rPr>
        <w:t xml:space="preserve">COFOG allocation of labour market policies should reflect beneficiaries. Conceptually </w:t>
      </w:r>
      <w:proofErr w:type="gramStart"/>
      <w:r w:rsidRPr="00685722">
        <w:rPr>
          <w:sz w:val="22"/>
          <w:szCs w:val="22"/>
        </w:rPr>
        <w:t>disagree</w:t>
      </w:r>
      <w:proofErr w:type="gramEnd"/>
      <w:r w:rsidRPr="00685722">
        <w:rPr>
          <w:sz w:val="22"/>
          <w:szCs w:val="22"/>
        </w:rPr>
        <w:t xml:space="preserve"> moving social protection measures against social risks such as unemployment </w:t>
      </w:r>
      <w:proofErr w:type="gramStart"/>
      <w:r w:rsidRPr="00685722">
        <w:rPr>
          <w:sz w:val="22"/>
          <w:szCs w:val="22"/>
        </w:rPr>
        <w:t>benefits to</w:t>
      </w:r>
      <w:proofErr w:type="gramEnd"/>
      <w:r w:rsidRPr="00685722">
        <w:rPr>
          <w:sz w:val="22"/>
          <w:szCs w:val="22"/>
        </w:rPr>
        <w:t xml:space="preserve"> economic affairs</w:t>
      </w:r>
    </w:p>
    <w:p w14:paraId="6E3292FA" w14:textId="26425BF6" w:rsidR="00650D30" w:rsidRDefault="00650D30" w:rsidP="00D25872">
      <w:pPr>
        <w:pStyle w:val="ListParagraph"/>
        <w:numPr>
          <w:ilvl w:val="0"/>
          <w:numId w:val="27"/>
        </w:numPr>
        <w:spacing w:after="0" w:line="240" w:lineRule="auto"/>
        <w:jc w:val="both"/>
        <w:rPr>
          <w:sz w:val="22"/>
          <w:szCs w:val="22"/>
        </w:rPr>
      </w:pPr>
      <w:r w:rsidRPr="00650D30">
        <w:rPr>
          <w:sz w:val="22"/>
          <w:szCs w:val="22"/>
        </w:rPr>
        <w:t>Marine resource management and conservation” could rather be considered as a group in div. 05</w:t>
      </w:r>
    </w:p>
    <w:p w14:paraId="29D088BC" w14:textId="01FCAED5" w:rsidR="00776F97" w:rsidRDefault="00776F97" w:rsidP="00D25872">
      <w:pPr>
        <w:pStyle w:val="ListParagraph"/>
        <w:numPr>
          <w:ilvl w:val="0"/>
          <w:numId w:val="27"/>
        </w:numPr>
        <w:spacing w:after="0" w:line="240" w:lineRule="auto"/>
        <w:jc w:val="both"/>
        <w:rPr>
          <w:sz w:val="22"/>
          <w:szCs w:val="22"/>
        </w:rPr>
      </w:pPr>
      <w:r w:rsidRPr="00776F97">
        <w:rPr>
          <w:sz w:val="22"/>
          <w:szCs w:val="22"/>
        </w:rPr>
        <w:t xml:space="preserve">Relocating </w:t>
      </w:r>
      <w:r w:rsidR="00B953A6">
        <w:rPr>
          <w:sz w:val="22"/>
          <w:szCs w:val="22"/>
        </w:rPr>
        <w:t>“</w:t>
      </w:r>
      <w:r w:rsidRPr="00776F97">
        <w:rPr>
          <w:sz w:val="22"/>
          <w:szCs w:val="22"/>
        </w:rPr>
        <w:t>Active labour market policy</w:t>
      </w:r>
      <w:r w:rsidR="00B953A6">
        <w:rPr>
          <w:sz w:val="22"/>
          <w:szCs w:val="22"/>
        </w:rPr>
        <w:t>”</w:t>
      </w:r>
      <w:r w:rsidRPr="00776F97">
        <w:rPr>
          <w:sz w:val="22"/>
          <w:szCs w:val="22"/>
        </w:rPr>
        <w:t xml:space="preserve"> from category 04.1 (collective) to 10.5 (individual) implies its shift from collective to individual expenditure</w:t>
      </w:r>
    </w:p>
    <w:p w14:paraId="1A95AD37" w14:textId="18BE5993" w:rsidR="00757D97" w:rsidRDefault="00757D97" w:rsidP="00D25872">
      <w:pPr>
        <w:pStyle w:val="ListParagraph"/>
        <w:numPr>
          <w:ilvl w:val="0"/>
          <w:numId w:val="27"/>
        </w:numPr>
        <w:spacing w:after="0" w:line="240" w:lineRule="auto"/>
        <w:jc w:val="both"/>
        <w:rPr>
          <w:sz w:val="22"/>
          <w:szCs w:val="22"/>
        </w:rPr>
      </w:pPr>
      <w:r w:rsidRPr="00757D97">
        <w:rPr>
          <w:sz w:val="22"/>
          <w:szCs w:val="22"/>
        </w:rPr>
        <w:t xml:space="preserve">Unsure whether 04.2.2 (forestry) and its expansion to include </w:t>
      </w:r>
      <w:r w:rsidR="00B953A6">
        <w:rPr>
          <w:sz w:val="22"/>
          <w:szCs w:val="22"/>
        </w:rPr>
        <w:t>“</w:t>
      </w:r>
      <w:r w:rsidRPr="00757D97">
        <w:rPr>
          <w:sz w:val="22"/>
          <w:szCs w:val="22"/>
        </w:rPr>
        <w:t>conservation, development and regeneration of forests</w:t>
      </w:r>
      <w:r w:rsidR="00B953A6">
        <w:rPr>
          <w:sz w:val="22"/>
          <w:szCs w:val="22"/>
        </w:rPr>
        <w:t>”</w:t>
      </w:r>
      <w:r w:rsidRPr="00757D97">
        <w:rPr>
          <w:sz w:val="22"/>
          <w:szCs w:val="22"/>
        </w:rPr>
        <w:t xml:space="preserve"> fits best in COFOG</w:t>
      </w:r>
      <w:r>
        <w:rPr>
          <w:sz w:val="22"/>
          <w:szCs w:val="22"/>
        </w:rPr>
        <w:t xml:space="preserve"> </w:t>
      </w:r>
      <w:r w:rsidRPr="00757D97">
        <w:rPr>
          <w:sz w:val="22"/>
          <w:szCs w:val="22"/>
        </w:rPr>
        <w:t xml:space="preserve">4. Likewise, </w:t>
      </w:r>
      <w:r w:rsidR="00B953A6">
        <w:rPr>
          <w:sz w:val="22"/>
          <w:szCs w:val="22"/>
        </w:rPr>
        <w:t>“</w:t>
      </w:r>
      <w:r w:rsidRPr="00757D97">
        <w:rPr>
          <w:sz w:val="22"/>
          <w:szCs w:val="22"/>
        </w:rPr>
        <w:t>Marine resource management and conservation</w:t>
      </w:r>
      <w:r w:rsidR="00B953A6">
        <w:rPr>
          <w:sz w:val="22"/>
          <w:szCs w:val="22"/>
        </w:rPr>
        <w:t>”</w:t>
      </w:r>
      <w:r w:rsidR="00C72E7F">
        <w:rPr>
          <w:sz w:val="22"/>
          <w:szCs w:val="22"/>
        </w:rPr>
        <w:t>; consider</w:t>
      </w:r>
      <w:r w:rsidR="00C72E7F" w:rsidRPr="00C72E7F">
        <w:rPr>
          <w:sz w:val="22"/>
          <w:szCs w:val="22"/>
        </w:rPr>
        <w:t xml:space="preserve"> inclusion of forestry within a revamped COFOG 05</w:t>
      </w:r>
      <w:r w:rsidR="00737E01">
        <w:rPr>
          <w:sz w:val="22"/>
          <w:szCs w:val="22"/>
        </w:rPr>
        <w:t xml:space="preserve">; </w:t>
      </w:r>
      <w:r w:rsidR="00737E01" w:rsidRPr="00737E01">
        <w:rPr>
          <w:sz w:val="22"/>
          <w:szCs w:val="22"/>
        </w:rPr>
        <w:t>possibly overlap between agriculture and fishing, and conservation. This should be distinct, with conservation spending going in COFOG 05</w:t>
      </w:r>
    </w:p>
    <w:p w14:paraId="0B5C7429" w14:textId="797DB5EA" w:rsidR="00C20CD0" w:rsidRDefault="00C20CD0" w:rsidP="00D25872">
      <w:pPr>
        <w:pStyle w:val="ListParagraph"/>
        <w:numPr>
          <w:ilvl w:val="0"/>
          <w:numId w:val="27"/>
        </w:numPr>
        <w:spacing w:after="0" w:line="240" w:lineRule="auto"/>
        <w:jc w:val="both"/>
        <w:rPr>
          <w:sz w:val="22"/>
          <w:szCs w:val="22"/>
        </w:rPr>
      </w:pPr>
      <w:r>
        <w:rPr>
          <w:sz w:val="22"/>
          <w:szCs w:val="22"/>
        </w:rPr>
        <w:t>H</w:t>
      </w:r>
      <w:r w:rsidRPr="00C20CD0">
        <w:rPr>
          <w:sz w:val="22"/>
          <w:szCs w:val="22"/>
        </w:rPr>
        <w:t>elpful to separate specific subsidy programmes from transport infrastructure (which might be better suited as its own division) from general support for industry</w:t>
      </w:r>
    </w:p>
    <w:p w14:paraId="5577E4D7" w14:textId="297E14FA" w:rsidR="00901806" w:rsidRDefault="00901806" w:rsidP="00D25872">
      <w:pPr>
        <w:pStyle w:val="ListParagraph"/>
        <w:numPr>
          <w:ilvl w:val="0"/>
          <w:numId w:val="27"/>
        </w:numPr>
        <w:spacing w:after="0" w:line="240" w:lineRule="auto"/>
        <w:jc w:val="both"/>
        <w:rPr>
          <w:sz w:val="22"/>
          <w:szCs w:val="22"/>
        </w:rPr>
      </w:pPr>
      <w:proofErr w:type="gramStart"/>
      <w:r>
        <w:rPr>
          <w:sz w:val="22"/>
          <w:szCs w:val="22"/>
        </w:rPr>
        <w:t>C</w:t>
      </w:r>
      <w:r w:rsidRPr="00901806">
        <w:rPr>
          <w:sz w:val="22"/>
          <w:szCs w:val="22"/>
        </w:rPr>
        <w:t>rucial</w:t>
      </w:r>
      <w:proofErr w:type="gramEnd"/>
      <w:r w:rsidRPr="00901806">
        <w:rPr>
          <w:sz w:val="22"/>
          <w:szCs w:val="22"/>
        </w:rPr>
        <w:t xml:space="preserve"> to coordinate this revision with the </w:t>
      </w:r>
      <w:proofErr w:type="gramStart"/>
      <w:r w:rsidRPr="00901806">
        <w:rPr>
          <w:sz w:val="22"/>
          <w:szCs w:val="22"/>
        </w:rPr>
        <w:t>expenditures</w:t>
      </w:r>
      <w:proofErr w:type="gramEnd"/>
      <w:r w:rsidRPr="00901806">
        <w:rPr>
          <w:sz w:val="22"/>
          <w:szCs w:val="22"/>
        </w:rPr>
        <w:t xml:space="preserve"> currently allocated under the function of Environmental Protection</w:t>
      </w:r>
    </w:p>
    <w:p w14:paraId="43360C30" w14:textId="31F09783" w:rsidR="00EE6B9B" w:rsidRDefault="00EE6B9B" w:rsidP="00D25872">
      <w:pPr>
        <w:pStyle w:val="ListParagraph"/>
        <w:numPr>
          <w:ilvl w:val="0"/>
          <w:numId w:val="27"/>
        </w:numPr>
        <w:spacing w:after="0" w:line="240" w:lineRule="auto"/>
        <w:jc w:val="both"/>
        <w:rPr>
          <w:sz w:val="22"/>
          <w:szCs w:val="22"/>
        </w:rPr>
      </w:pPr>
      <w:r>
        <w:rPr>
          <w:sz w:val="22"/>
          <w:szCs w:val="22"/>
        </w:rPr>
        <w:t>L</w:t>
      </w:r>
      <w:r w:rsidRPr="00EE6B9B">
        <w:rPr>
          <w:sz w:val="22"/>
          <w:szCs w:val="22"/>
        </w:rPr>
        <w:t xml:space="preserve">and reform is currently listed under </w:t>
      </w:r>
      <w:r w:rsidRPr="00795588">
        <w:rPr>
          <w:sz w:val="22"/>
          <w:szCs w:val="22"/>
        </w:rPr>
        <w:t>7042</w:t>
      </w:r>
      <w:r w:rsidR="0023514C" w:rsidRPr="00795588">
        <w:rPr>
          <w:sz w:val="22"/>
          <w:szCs w:val="22"/>
        </w:rPr>
        <w:t xml:space="preserve"> </w:t>
      </w:r>
      <w:r w:rsidR="00795588" w:rsidRPr="00795588">
        <w:rPr>
          <w:sz w:val="22"/>
          <w:szCs w:val="22"/>
        </w:rPr>
        <w:t>[</w:t>
      </w:r>
      <w:r w:rsidR="00795588">
        <w:rPr>
          <w:sz w:val="22"/>
          <w:szCs w:val="22"/>
        </w:rPr>
        <w:t xml:space="preserve">ed. note: 04.2.1?] </w:t>
      </w:r>
      <w:r w:rsidR="00B953A6">
        <w:rPr>
          <w:sz w:val="22"/>
          <w:szCs w:val="22"/>
        </w:rPr>
        <w:t>–</w:t>
      </w:r>
      <w:r w:rsidR="0023514C">
        <w:rPr>
          <w:sz w:val="22"/>
          <w:szCs w:val="22"/>
        </w:rPr>
        <w:t xml:space="preserve"> </w:t>
      </w:r>
      <w:r w:rsidRPr="00EE6B9B">
        <w:rPr>
          <w:sz w:val="22"/>
          <w:szCs w:val="22"/>
        </w:rPr>
        <w:t xml:space="preserve">policy of high importance in Brazil coordinated with social protection that is not made transparent </w:t>
      </w:r>
      <w:proofErr w:type="gramStart"/>
      <w:r w:rsidRPr="00EE6B9B">
        <w:rPr>
          <w:sz w:val="22"/>
          <w:szCs w:val="22"/>
        </w:rPr>
        <w:t>since</w:t>
      </w:r>
      <w:proofErr w:type="gramEnd"/>
      <w:r w:rsidRPr="00EE6B9B">
        <w:rPr>
          <w:sz w:val="22"/>
          <w:szCs w:val="22"/>
        </w:rPr>
        <w:t xml:space="preserve"> it is classified with agriculture expenditure, including transfers to large scale landowners</w:t>
      </w:r>
    </w:p>
    <w:p w14:paraId="69652BEC" w14:textId="6534DE58" w:rsidR="00DA5E7B" w:rsidRDefault="00600C29" w:rsidP="00D25872">
      <w:pPr>
        <w:pStyle w:val="ListParagraph"/>
        <w:numPr>
          <w:ilvl w:val="0"/>
          <w:numId w:val="27"/>
        </w:numPr>
        <w:rPr>
          <w:sz w:val="22"/>
          <w:szCs w:val="22"/>
        </w:rPr>
      </w:pPr>
      <w:r w:rsidRPr="00600C29">
        <w:rPr>
          <w:sz w:val="22"/>
          <w:szCs w:val="22"/>
        </w:rPr>
        <w:t>Does disaster risk reduction/recovery need to be encapsulated somewhere and particularly reference to the UNECE Task Force indicators work might be beneficial</w:t>
      </w:r>
    </w:p>
    <w:p w14:paraId="53895752" w14:textId="22FC37EA" w:rsidR="004E47C4" w:rsidRPr="004E47C4" w:rsidRDefault="004E47C4" w:rsidP="004E47C4">
      <w:pPr>
        <w:pStyle w:val="ListParagraph"/>
        <w:numPr>
          <w:ilvl w:val="0"/>
          <w:numId w:val="27"/>
        </w:numPr>
        <w:rPr>
          <w:sz w:val="22"/>
          <w:szCs w:val="22"/>
        </w:rPr>
      </w:pPr>
      <w:r w:rsidRPr="004E47C4">
        <w:rPr>
          <w:sz w:val="22"/>
          <w:szCs w:val="22"/>
        </w:rPr>
        <w:t>'Include a breakdown of renewable/non-renewable energy in 04.4' - This seems a matter for NA input-output tables rather than COFOG</w:t>
      </w:r>
    </w:p>
    <w:p w14:paraId="56E7B556" w14:textId="0659180C" w:rsidR="004E47C4" w:rsidRPr="004E47C4" w:rsidRDefault="004E47C4" w:rsidP="004E47C4">
      <w:pPr>
        <w:pStyle w:val="ListParagraph"/>
        <w:numPr>
          <w:ilvl w:val="0"/>
          <w:numId w:val="27"/>
        </w:numPr>
        <w:rPr>
          <w:sz w:val="22"/>
          <w:szCs w:val="22"/>
        </w:rPr>
      </w:pPr>
      <w:r w:rsidRPr="004E47C4">
        <w:rPr>
          <w:sz w:val="22"/>
          <w:szCs w:val="22"/>
        </w:rPr>
        <w:t>'Move “Active labour market policy” to 10.5 from 04.</w:t>
      </w:r>
      <w:r>
        <w:rPr>
          <w:sz w:val="22"/>
          <w:szCs w:val="22"/>
        </w:rPr>
        <w:t>1</w:t>
      </w:r>
      <w:r w:rsidRPr="004E47C4">
        <w:rPr>
          <w:sz w:val="22"/>
          <w:szCs w:val="22"/>
        </w:rPr>
        <w:t xml:space="preserve">' - </w:t>
      </w:r>
      <w:r>
        <w:rPr>
          <w:sz w:val="22"/>
          <w:szCs w:val="22"/>
        </w:rPr>
        <w:t>i</w:t>
      </w:r>
      <w:r w:rsidRPr="004E47C4">
        <w:rPr>
          <w:sz w:val="22"/>
          <w:szCs w:val="22"/>
        </w:rPr>
        <w:t>f discussed, in conjunction with the recording of measures to support employment in terms of transactions (D.62 or D.39) in line with the guidance note agreed. We consider that measures to support employment classified as D.62 be allocated to 10.5 and measures to support employment classified as D.39 be allocated to 04.1</w:t>
      </w:r>
    </w:p>
    <w:p w14:paraId="769AED9A" w14:textId="0AF99F61" w:rsidR="004E47C4" w:rsidRPr="005467E0" w:rsidRDefault="004E47C4" w:rsidP="004E47C4">
      <w:pPr>
        <w:pStyle w:val="ListParagraph"/>
        <w:numPr>
          <w:ilvl w:val="0"/>
          <w:numId w:val="27"/>
        </w:numPr>
        <w:rPr>
          <w:sz w:val="22"/>
          <w:szCs w:val="22"/>
        </w:rPr>
      </w:pPr>
      <w:r w:rsidRPr="004E47C4">
        <w:rPr>
          <w:sz w:val="22"/>
          <w:szCs w:val="22"/>
        </w:rPr>
        <w:t xml:space="preserve">'Create a new category for “Marine resource management and conservation”- </w:t>
      </w:r>
      <w:r w:rsidR="00E85FF2">
        <w:rPr>
          <w:sz w:val="22"/>
          <w:szCs w:val="22"/>
        </w:rPr>
        <w:t>t</w:t>
      </w:r>
      <w:r w:rsidRPr="004E47C4">
        <w:rPr>
          <w:sz w:val="22"/>
          <w:szCs w:val="22"/>
        </w:rPr>
        <w:t>his would be a departure from the principle of including overhead costs with the related group/class</w:t>
      </w:r>
    </w:p>
    <w:p w14:paraId="3FC51F64" w14:textId="77777777" w:rsidR="00DA5E7B" w:rsidRPr="00B744EA" w:rsidRDefault="00DA5E7B" w:rsidP="00450C7E">
      <w:pPr>
        <w:spacing w:after="0" w:line="240" w:lineRule="auto"/>
        <w:jc w:val="both"/>
        <w:rPr>
          <w:sz w:val="22"/>
          <w:szCs w:val="22"/>
          <w:u w:val="single"/>
        </w:rPr>
      </w:pPr>
    </w:p>
    <w:p w14:paraId="7F747887" w14:textId="77777777" w:rsidR="00B744EA" w:rsidRPr="00B744EA" w:rsidRDefault="00B744EA" w:rsidP="00B744EA">
      <w:pPr>
        <w:spacing w:after="0" w:line="240" w:lineRule="auto"/>
        <w:rPr>
          <w:sz w:val="22"/>
          <w:szCs w:val="22"/>
          <w:u w:val="single"/>
        </w:rPr>
      </w:pPr>
      <w:r w:rsidRPr="00B744EA">
        <w:rPr>
          <w:sz w:val="22"/>
          <w:szCs w:val="22"/>
          <w:u w:val="single"/>
        </w:rPr>
        <w:t xml:space="preserve">A05. Environmental protection  </w:t>
      </w:r>
    </w:p>
    <w:p w14:paraId="256A35B6" w14:textId="77777777" w:rsidR="002941F0" w:rsidRDefault="002941F0" w:rsidP="00DA5E7B">
      <w:pPr>
        <w:spacing w:after="0" w:line="240" w:lineRule="auto"/>
        <w:jc w:val="both"/>
        <w:rPr>
          <w:sz w:val="22"/>
          <w:szCs w:val="22"/>
        </w:rPr>
      </w:pPr>
    </w:p>
    <w:p w14:paraId="27ACF1C7" w14:textId="5A5B9F40" w:rsidR="002941F0" w:rsidRDefault="002941F0" w:rsidP="003C38CB">
      <w:pPr>
        <w:spacing w:after="0" w:line="240" w:lineRule="auto"/>
        <w:jc w:val="both"/>
        <w:rPr>
          <w:sz w:val="22"/>
          <w:szCs w:val="22"/>
        </w:rPr>
      </w:pPr>
      <w:r>
        <w:rPr>
          <w:sz w:val="22"/>
          <w:szCs w:val="22"/>
        </w:rPr>
        <w:t>Original proposals:</w:t>
      </w:r>
    </w:p>
    <w:tbl>
      <w:tblPr>
        <w:tblW w:w="975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6"/>
      </w:tblGrid>
      <w:tr w:rsidR="003C38CB" w14:paraId="42095A54" w14:textId="77777777" w:rsidTr="0061129D">
        <w:trPr>
          <w:trHeight w:val="5813"/>
        </w:trPr>
        <w:tc>
          <w:tcPr>
            <w:tcW w:w="9756" w:type="dxa"/>
          </w:tcPr>
          <w:p w14:paraId="72EA4055" w14:textId="77777777" w:rsidR="003C38CB" w:rsidRPr="00386114" w:rsidRDefault="003C38CB" w:rsidP="00D25872">
            <w:pPr>
              <w:pStyle w:val="ListParagraph"/>
              <w:numPr>
                <w:ilvl w:val="0"/>
                <w:numId w:val="43"/>
              </w:numPr>
              <w:spacing w:line="240" w:lineRule="auto"/>
              <w:ind w:left="360"/>
              <w:jc w:val="both"/>
              <w:rPr>
                <w:sz w:val="22"/>
                <w:szCs w:val="22"/>
              </w:rPr>
            </w:pPr>
            <w:r w:rsidRPr="00386114">
              <w:rPr>
                <w:sz w:val="22"/>
                <w:szCs w:val="22"/>
              </w:rPr>
              <w:lastRenderedPageBreak/>
              <w:t>Review the scope of the division, including 05.1 (Waste management), 05.4 (Protection of biodiversity and landscape), resource management activities and disaster risk and emergency relief</w:t>
            </w:r>
          </w:p>
          <w:p w14:paraId="1FB2EEC6" w14:textId="77777777" w:rsidR="003C38CB" w:rsidRPr="00386114" w:rsidRDefault="003C38CB" w:rsidP="00D25872">
            <w:pPr>
              <w:pStyle w:val="ListParagraph"/>
              <w:numPr>
                <w:ilvl w:val="0"/>
                <w:numId w:val="43"/>
              </w:numPr>
              <w:spacing w:line="240" w:lineRule="auto"/>
              <w:ind w:left="360"/>
              <w:jc w:val="both"/>
              <w:rPr>
                <w:sz w:val="22"/>
                <w:szCs w:val="22"/>
              </w:rPr>
            </w:pPr>
            <w:r w:rsidRPr="00386114">
              <w:rPr>
                <w:sz w:val="22"/>
                <w:szCs w:val="22"/>
              </w:rPr>
              <w:t>Improve alignment with CEP, SEEA and other environmental classifications/frameworks</w:t>
            </w:r>
          </w:p>
          <w:p w14:paraId="2E7ED901" w14:textId="77777777" w:rsidR="003C38CB" w:rsidRPr="00386114" w:rsidRDefault="003C38CB" w:rsidP="00D25872">
            <w:pPr>
              <w:pStyle w:val="ListParagraph"/>
              <w:numPr>
                <w:ilvl w:val="0"/>
                <w:numId w:val="43"/>
              </w:numPr>
              <w:spacing w:line="240" w:lineRule="auto"/>
              <w:ind w:left="360"/>
              <w:jc w:val="both"/>
              <w:rPr>
                <w:sz w:val="22"/>
                <w:szCs w:val="22"/>
              </w:rPr>
            </w:pPr>
            <w:r w:rsidRPr="00386114">
              <w:rPr>
                <w:sz w:val="22"/>
                <w:szCs w:val="22"/>
              </w:rPr>
              <w:t>Identify activities potentially under 05.4 (Protection of Biodiversity and Landscape) that support forest related intervention and realign them under 04.2.2 (Forestry)</w:t>
            </w:r>
          </w:p>
          <w:p w14:paraId="5357C23F" w14:textId="77777777" w:rsidR="003C38CB" w:rsidRPr="00386114" w:rsidRDefault="003C38CB" w:rsidP="00D25872">
            <w:pPr>
              <w:pStyle w:val="ListParagraph"/>
              <w:numPr>
                <w:ilvl w:val="0"/>
                <w:numId w:val="43"/>
              </w:numPr>
              <w:spacing w:line="240" w:lineRule="auto"/>
              <w:ind w:left="360"/>
              <w:jc w:val="both"/>
              <w:rPr>
                <w:sz w:val="22"/>
                <w:szCs w:val="22"/>
              </w:rPr>
            </w:pPr>
            <w:r w:rsidRPr="00386114">
              <w:rPr>
                <w:sz w:val="22"/>
                <w:szCs w:val="22"/>
              </w:rPr>
              <w:t>Include a breakdown of renewable/non-renewable energy in 05.3 (Pollution abatement)</w:t>
            </w:r>
          </w:p>
          <w:p w14:paraId="68C3BE48" w14:textId="77777777" w:rsidR="003C38CB" w:rsidRPr="00386114" w:rsidRDefault="003C38CB" w:rsidP="00D25872">
            <w:pPr>
              <w:pStyle w:val="ListParagraph"/>
              <w:numPr>
                <w:ilvl w:val="0"/>
                <w:numId w:val="43"/>
              </w:numPr>
              <w:spacing w:line="240" w:lineRule="auto"/>
              <w:ind w:left="360"/>
              <w:jc w:val="both"/>
              <w:rPr>
                <w:sz w:val="22"/>
                <w:szCs w:val="22"/>
              </w:rPr>
            </w:pPr>
            <w:r w:rsidRPr="00386114">
              <w:rPr>
                <w:sz w:val="22"/>
                <w:szCs w:val="22"/>
              </w:rPr>
              <w:t>Clarify the classification of water-related expenditure, which is split between Division 06 (water supply), and Division 05 (wastewater management)</w:t>
            </w:r>
          </w:p>
          <w:p w14:paraId="3867B05D" w14:textId="77777777" w:rsidR="003C38CB" w:rsidRPr="00386114" w:rsidRDefault="003C38CB" w:rsidP="00D25872">
            <w:pPr>
              <w:pStyle w:val="ListParagraph"/>
              <w:numPr>
                <w:ilvl w:val="0"/>
                <w:numId w:val="43"/>
              </w:numPr>
              <w:spacing w:line="240" w:lineRule="auto"/>
              <w:ind w:left="360"/>
              <w:jc w:val="both"/>
              <w:rPr>
                <w:sz w:val="22"/>
                <w:szCs w:val="22"/>
              </w:rPr>
            </w:pPr>
            <w:r w:rsidRPr="00386114">
              <w:rPr>
                <w:sz w:val="22"/>
                <w:szCs w:val="22"/>
              </w:rPr>
              <w:t>Consider recommendations of Data Gaps Initiative – Third Phase (DGI-3) on addressing statistical areas on climate change and its possible implication to COFOG</w:t>
            </w:r>
          </w:p>
          <w:p w14:paraId="7CE5C250" w14:textId="77777777" w:rsidR="003C38CB" w:rsidRPr="00386114" w:rsidRDefault="003C38CB" w:rsidP="00D25872">
            <w:pPr>
              <w:pStyle w:val="ListParagraph"/>
              <w:numPr>
                <w:ilvl w:val="0"/>
                <w:numId w:val="43"/>
              </w:numPr>
              <w:spacing w:line="240" w:lineRule="auto"/>
              <w:ind w:left="360"/>
              <w:jc w:val="both"/>
              <w:rPr>
                <w:sz w:val="22"/>
                <w:szCs w:val="22"/>
              </w:rPr>
            </w:pPr>
            <w:r w:rsidRPr="00386114">
              <w:rPr>
                <w:sz w:val="22"/>
                <w:szCs w:val="22"/>
              </w:rPr>
              <w:t xml:space="preserve">Account for expenditure on climate change mitigation and </w:t>
            </w:r>
            <w:proofErr w:type="gramStart"/>
            <w:r w:rsidRPr="00386114">
              <w:rPr>
                <w:sz w:val="22"/>
                <w:szCs w:val="22"/>
              </w:rPr>
              <w:t>adaption</w:t>
            </w:r>
            <w:proofErr w:type="gramEnd"/>
            <w:r w:rsidRPr="00386114">
              <w:rPr>
                <w:sz w:val="22"/>
                <w:szCs w:val="22"/>
              </w:rPr>
              <w:t>, by evaluating the option to introduce further breakdowns at the level of COFOG classes in this or other relevant divisions or to create a standalone COFOG division on climate change expenditure, which include the following (currently, few of these items are allocated in division 05):</w:t>
            </w:r>
          </w:p>
          <w:p w14:paraId="155C71CC" w14:textId="77777777" w:rsidR="003C38CB" w:rsidRPr="00386114" w:rsidRDefault="003C38CB" w:rsidP="00D25872">
            <w:pPr>
              <w:pStyle w:val="ListParagraph"/>
              <w:numPr>
                <w:ilvl w:val="0"/>
                <w:numId w:val="10"/>
              </w:numPr>
              <w:spacing w:line="240" w:lineRule="auto"/>
              <w:ind w:left="780"/>
              <w:jc w:val="both"/>
              <w:rPr>
                <w:sz w:val="22"/>
                <w:szCs w:val="22"/>
              </w:rPr>
            </w:pPr>
            <w:r w:rsidRPr="00386114">
              <w:rPr>
                <w:sz w:val="22"/>
                <w:szCs w:val="22"/>
              </w:rPr>
              <w:t xml:space="preserve">Investment in renewable energy </w:t>
            </w:r>
          </w:p>
          <w:p w14:paraId="168666F8" w14:textId="77777777" w:rsidR="003C38CB" w:rsidRPr="00386114" w:rsidRDefault="003C38CB" w:rsidP="00D25872">
            <w:pPr>
              <w:pStyle w:val="ListParagraph"/>
              <w:numPr>
                <w:ilvl w:val="0"/>
                <w:numId w:val="10"/>
              </w:numPr>
              <w:spacing w:line="240" w:lineRule="auto"/>
              <w:ind w:left="780"/>
              <w:jc w:val="both"/>
              <w:rPr>
                <w:sz w:val="22"/>
                <w:szCs w:val="22"/>
              </w:rPr>
            </w:pPr>
            <w:r w:rsidRPr="00386114">
              <w:rPr>
                <w:sz w:val="22"/>
                <w:szCs w:val="22"/>
              </w:rPr>
              <w:t>R&amp;D linked to climate change projects</w:t>
            </w:r>
          </w:p>
          <w:p w14:paraId="3D28F2FD" w14:textId="77777777" w:rsidR="003C38CB" w:rsidRPr="00386114" w:rsidRDefault="003C38CB" w:rsidP="00D25872">
            <w:pPr>
              <w:pStyle w:val="ListParagraph"/>
              <w:numPr>
                <w:ilvl w:val="0"/>
                <w:numId w:val="10"/>
              </w:numPr>
              <w:spacing w:line="240" w:lineRule="auto"/>
              <w:ind w:left="780"/>
              <w:jc w:val="both"/>
              <w:rPr>
                <w:sz w:val="22"/>
                <w:szCs w:val="22"/>
              </w:rPr>
            </w:pPr>
            <w:r w:rsidRPr="00386114">
              <w:rPr>
                <w:sz w:val="22"/>
                <w:szCs w:val="22"/>
              </w:rPr>
              <w:t>Transition assistance for households and businesses in moving towards energy transition, such as subsidies for insulation or heat pumps</w:t>
            </w:r>
          </w:p>
          <w:p w14:paraId="75B2CAED" w14:textId="77777777" w:rsidR="003C38CB" w:rsidRDefault="003C38CB" w:rsidP="00D25872">
            <w:pPr>
              <w:pStyle w:val="ListParagraph"/>
              <w:numPr>
                <w:ilvl w:val="0"/>
                <w:numId w:val="10"/>
              </w:numPr>
              <w:spacing w:line="240" w:lineRule="auto"/>
              <w:ind w:left="780"/>
              <w:jc w:val="both"/>
              <w:rPr>
                <w:sz w:val="22"/>
                <w:szCs w:val="22"/>
              </w:rPr>
            </w:pPr>
            <w:r w:rsidRPr="00386114">
              <w:rPr>
                <w:sz w:val="22"/>
                <w:szCs w:val="22"/>
              </w:rPr>
              <w:t>Electrification of transport vehicles and networks</w:t>
            </w:r>
          </w:p>
          <w:p w14:paraId="38918789" w14:textId="26E9E2E9" w:rsidR="003C38CB" w:rsidRPr="003C38CB" w:rsidRDefault="003C38CB" w:rsidP="00D25872">
            <w:pPr>
              <w:pStyle w:val="ListParagraph"/>
              <w:numPr>
                <w:ilvl w:val="0"/>
                <w:numId w:val="10"/>
              </w:numPr>
              <w:spacing w:line="240" w:lineRule="auto"/>
              <w:ind w:left="780"/>
              <w:jc w:val="both"/>
              <w:rPr>
                <w:sz w:val="22"/>
                <w:szCs w:val="22"/>
              </w:rPr>
            </w:pPr>
            <w:r w:rsidRPr="003C38CB">
              <w:rPr>
                <w:sz w:val="22"/>
                <w:szCs w:val="22"/>
              </w:rPr>
              <w:t>Flood defenses</w:t>
            </w:r>
          </w:p>
        </w:tc>
      </w:tr>
    </w:tbl>
    <w:p w14:paraId="3835EC2E" w14:textId="77777777" w:rsidR="002941F0" w:rsidRDefault="002941F0" w:rsidP="00DA5E7B">
      <w:pPr>
        <w:spacing w:after="0" w:line="240" w:lineRule="auto"/>
        <w:jc w:val="both"/>
        <w:rPr>
          <w:sz w:val="22"/>
          <w:szCs w:val="22"/>
        </w:rPr>
      </w:pPr>
    </w:p>
    <w:p w14:paraId="62CEB879" w14:textId="77777777" w:rsidR="00DA5E7B" w:rsidRPr="00355C17" w:rsidRDefault="00DA5E7B" w:rsidP="00DA5E7B">
      <w:pPr>
        <w:spacing w:after="0" w:line="240" w:lineRule="auto"/>
        <w:jc w:val="both"/>
        <w:rPr>
          <w:sz w:val="22"/>
          <w:szCs w:val="22"/>
        </w:rPr>
      </w:pPr>
      <w:r w:rsidRPr="00355C17">
        <w:rPr>
          <w:sz w:val="22"/>
          <w:szCs w:val="22"/>
        </w:rPr>
        <w:t>Additional proposals:</w:t>
      </w:r>
    </w:p>
    <w:p w14:paraId="312372C0" w14:textId="780E35E4" w:rsidR="007F76A4" w:rsidRPr="00C361B0" w:rsidRDefault="007F76A4" w:rsidP="00D25872">
      <w:pPr>
        <w:pStyle w:val="ListParagraph"/>
        <w:numPr>
          <w:ilvl w:val="0"/>
          <w:numId w:val="27"/>
        </w:numPr>
        <w:spacing w:after="0" w:line="240" w:lineRule="auto"/>
        <w:jc w:val="both"/>
        <w:rPr>
          <w:sz w:val="22"/>
          <w:szCs w:val="22"/>
        </w:rPr>
      </w:pPr>
      <w:r w:rsidRPr="00C361B0">
        <w:rPr>
          <w:sz w:val="22"/>
          <w:szCs w:val="22"/>
        </w:rPr>
        <w:t>Suggest expansion of COFOG 05 to something that is more comprehensive but covers environmental protection, climate change mitigation and adaptation, as well as conservation and management of natural resources</w:t>
      </w:r>
    </w:p>
    <w:p w14:paraId="5D2FFE6F" w14:textId="228E99C5" w:rsidR="001924C0" w:rsidRPr="00C361B0" w:rsidRDefault="004B626F" w:rsidP="00D25872">
      <w:pPr>
        <w:pStyle w:val="ListParagraph"/>
        <w:numPr>
          <w:ilvl w:val="0"/>
          <w:numId w:val="27"/>
        </w:numPr>
        <w:spacing w:after="0" w:line="240" w:lineRule="auto"/>
        <w:jc w:val="both"/>
        <w:rPr>
          <w:sz w:val="22"/>
          <w:szCs w:val="22"/>
        </w:rPr>
      </w:pPr>
      <w:r w:rsidRPr="00C361B0">
        <w:rPr>
          <w:sz w:val="22"/>
          <w:szCs w:val="22"/>
        </w:rPr>
        <w:t xml:space="preserve">Suggest </w:t>
      </w:r>
      <w:proofErr w:type="gramStart"/>
      <w:r w:rsidRPr="00C361B0">
        <w:rPr>
          <w:sz w:val="22"/>
          <w:szCs w:val="22"/>
        </w:rPr>
        <w:t>t</w:t>
      </w:r>
      <w:r w:rsidR="001924C0" w:rsidRPr="00C361B0">
        <w:rPr>
          <w:sz w:val="22"/>
          <w:szCs w:val="22"/>
        </w:rPr>
        <w:t>o link</w:t>
      </w:r>
      <w:proofErr w:type="gramEnd"/>
      <w:r w:rsidR="001924C0" w:rsidRPr="00C361B0">
        <w:rPr>
          <w:sz w:val="22"/>
          <w:szCs w:val="22"/>
        </w:rPr>
        <w:t xml:space="preserve"> discussion to ongoing global conventions such as those related to biodiversity and climate change </w:t>
      </w:r>
      <w:proofErr w:type="gramStart"/>
      <w:r w:rsidR="001924C0" w:rsidRPr="00C361B0">
        <w:rPr>
          <w:sz w:val="22"/>
          <w:szCs w:val="22"/>
        </w:rPr>
        <w:t>taking into account</w:t>
      </w:r>
      <w:proofErr w:type="gramEnd"/>
      <w:r w:rsidR="001924C0" w:rsidRPr="00C361B0">
        <w:rPr>
          <w:sz w:val="22"/>
          <w:szCs w:val="22"/>
        </w:rPr>
        <w:t xml:space="preserve"> information needs of the K</w:t>
      </w:r>
      <w:r w:rsidR="00040960" w:rsidRPr="00C361B0">
        <w:rPr>
          <w:sz w:val="22"/>
          <w:szCs w:val="22"/>
        </w:rPr>
        <w:t>unming-Montreal Global Biodiversity Framework</w:t>
      </w:r>
      <w:r w:rsidRPr="00C361B0">
        <w:rPr>
          <w:sz w:val="22"/>
          <w:szCs w:val="22"/>
        </w:rPr>
        <w:t xml:space="preserve"> and </w:t>
      </w:r>
      <w:r w:rsidR="001924C0" w:rsidRPr="00C361B0">
        <w:rPr>
          <w:sz w:val="22"/>
          <w:szCs w:val="22"/>
        </w:rPr>
        <w:t>the Paris Agreement</w:t>
      </w:r>
    </w:p>
    <w:p w14:paraId="1B32A7AA" w14:textId="754FB1C0" w:rsidR="00286BDC" w:rsidRPr="00C361B0" w:rsidRDefault="004B626F" w:rsidP="00C361B0">
      <w:pPr>
        <w:pStyle w:val="ListParagraph"/>
        <w:numPr>
          <w:ilvl w:val="0"/>
          <w:numId w:val="27"/>
        </w:numPr>
        <w:spacing w:after="0" w:line="240" w:lineRule="auto"/>
        <w:jc w:val="both"/>
        <w:rPr>
          <w:sz w:val="22"/>
          <w:szCs w:val="22"/>
        </w:rPr>
      </w:pPr>
      <w:r w:rsidRPr="00C361B0">
        <w:rPr>
          <w:sz w:val="22"/>
          <w:szCs w:val="22"/>
        </w:rPr>
        <w:t>Recommend that c</w:t>
      </w:r>
      <w:r w:rsidR="00B24ED2" w:rsidRPr="00C361B0">
        <w:rPr>
          <w:sz w:val="22"/>
          <w:szCs w:val="22"/>
        </w:rPr>
        <w:t xml:space="preserve">overage of climate change and sustainability needs to be given greater visibility, </w:t>
      </w:r>
      <w:r w:rsidR="00034B1F" w:rsidRPr="00C361B0">
        <w:rPr>
          <w:sz w:val="22"/>
          <w:szCs w:val="22"/>
        </w:rPr>
        <w:t xml:space="preserve">where </w:t>
      </w:r>
      <w:r w:rsidR="00B24ED2" w:rsidRPr="00C361B0">
        <w:rPr>
          <w:sz w:val="22"/>
          <w:szCs w:val="22"/>
        </w:rPr>
        <w:t>waste and renewable energy are other important aspects needing greater coverage</w:t>
      </w:r>
    </w:p>
    <w:p w14:paraId="3DC0AF8C" w14:textId="6901EA96" w:rsidR="00627CF9" w:rsidRDefault="00034B1F" w:rsidP="003D392B">
      <w:pPr>
        <w:pStyle w:val="ListParagraph"/>
        <w:numPr>
          <w:ilvl w:val="0"/>
          <w:numId w:val="27"/>
        </w:numPr>
        <w:spacing w:after="0" w:line="240" w:lineRule="auto"/>
        <w:jc w:val="both"/>
        <w:rPr>
          <w:sz w:val="22"/>
          <w:szCs w:val="22"/>
        </w:rPr>
      </w:pPr>
      <w:r w:rsidRPr="003D392B">
        <w:rPr>
          <w:sz w:val="22"/>
          <w:szCs w:val="22"/>
        </w:rPr>
        <w:t>S</w:t>
      </w:r>
      <w:r w:rsidR="00627CF9" w:rsidRPr="003D392B">
        <w:rPr>
          <w:sz w:val="22"/>
          <w:szCs w:val="22"/>
        </w:rPr>
        <w:t>plit</w:t>
      </w:r>
      <w:r w:rsidR="00627CF9" w:rsidRPr="00627CF9">
        <w:rPr>
          <w:sz w:val="22"/>
          <w:szCs w:val="22"/>
        </w:rPr>
        <w:t xml:space="preserve"> 05.1 in separate classes: 05.11 waste management 05.12 materials recovery and savings </w:t>
      </w:r>
    </w:p>
    <w:p w14:paraId="0CDBCE8B" w14:textId="03D756AB" w:rsidR="00627CF9" w:rsidRDefault="00627CF9" w:rsidP="00C361B0">
      <w:pPr>
        <w:pStyle w:val="ListParagraph"/>
        <w:numPr>
          <w:ilvl w:val="0"/>
          <w:numId w:val="27"/>
        </w:numPr>
        <w:spacing w:after="0" w:line="240" w:lineRule="auto"/>
        <w:jc w:val="both"/>
        <w:rPr>
          <w:sz w:val="22"/>
          <w:szCs w:val="22"/>
        </w:rPr>
      </w:pPr>
      <w:r>
        <w:rPr>
          <w:sz w:val="22"/>
          <w:szCs w:val="22"/>
        </w:rPr>
        <w:t>S</w:t>
      </w:r>
      <w:r w:rsidRPr="00627CF9">
        <w:rPr>
          <w:sz w:val="22"/>
          <w:szCs w:val="22"/>
        </w:rPr>
        <w:t xml:space="preserve">plit 05.3 in separate classes: 05.31 greenhouse gases 05.32 other air pollutants 05.33 soil, surface and groundwater 05.34 noise and vibration 05.35 radiation </w:t>
      </w:r>
    </w:p>
    <w:p w14:paraId="0FE18CE1" w14:textId="77777777" w:rsidR="00FC02E4" w:rsidRPr="00C361B0" w:rsidRDefault="00FC02E4" w:rsidP="00FC02E4">
      <w:pPr>
        <w:pStyle w:val="ListParagraph"/>
        <w:numPr>
          <w:ilvl w:val="0"/>
          <w:numId w:val="27"/>
        </w:numPr>
        <w:spacing w:after="0" w:line="240" w:lineRule="auto"/>
        <w:jc w:val="both"/>
        <w:rPr>
          <w:sz w:val="22"/>
          <w:szCs w:val="22"/>
        </w:rPr>
      </w:pPr>
      <w:r w:rsidRPr="00C361B0">
        <w:rPr>
          <w:sz w:val="22"/>
          <w:szCs w:val="22"/>
        </w:rPr>
        <w:t>Improve the description on class 05.3.0 and 05.6.0</w:t>
      </w:r>
    </w:p>
    <w:p w14:paraId="1152E87E" w14:textId="53A147BE" w:rsidR="00116CA3" w:rsidRPr="00C361B0" w:rsidRDefault="00116CA3" w:rsidP="00FC02E4">
      <w:pPr>
        <w:pStyle w:val="ListParagraph"/>
        <w:numPr>
          <w:ilvl w:val="0"/>
          <w:numId w:val="27"/>
        </w:numPr>
        <w:spacing w:after="0" w:line="240" w:lineRule="auto"/>
        <w:jc w:val="both"/>
        <w:rPr>
          <w:sz w:val="22"/>
          <w:szCs w:val="22"/>
        </w:rPr>
      </w:pPr>
      <w:r w:rsidRPr="00C361B0">
        <w:rPr>
          <w:sz w:val="22"/>
          <w:szCs w:val="22"/>
        </w:rPr>
        <w:t xml:space="preserve">Suggest the need to understand if </w:t>
      </w:r>
      <w:proofErr w:type="gramStart"/>
      <w:r w:rsidRPr="00C361B0">
        <w:rPr>
          <w:sz w:val="22"/>
          <w:szCs w:val="22"/>
        </w:rPr>
        <w:t>the there</w:t>
      </w:r>
      <w:proofErr w:type="gramEnd"/>
      <w:r w:rsidRPr="00C361B0">
        <w:rPr>
          <w:sz w:val="22"/>
          <w:szCs w:val="22"/>
        </w:rPr>
        <w:t xml:space="preserve"> is a clear distinction between collection and distribution (Div. 06) and </w:t>
      </w:r>
      <w:proofErr w:type="gramStart"/>
      <w:r w:rsidRPr="00C361B0">
        <w:rPr>
          <w:sz w:val="22"/>
          <w:szCs w:val="22"/>
        </w:rPr>
        <w:t>sewerage</w:t>
      </w:r>
      <w:proofErr w:type="gramEnd"/>
      <w:r w:rsidRPr="00C361B0">
        <w:rPr>
          <w:sz w:val="22"/>
          <w:szCs w:val="22"/>
        </w:rPr>
        <w:t xml:space="preserve"> and purification (Div. 05)</w:t>
      </w:r>
    </w:p>
    <w:p w14:paraId="7A250D39" w14:textId="638ADC49" w:rsidR="008F5E52" w:rsidRPr="00C361B0" w:rsidRDefault="008F5E52" w:rsidP="008F5E52">
      <w:pPr>
        <w:pStyle w:val="ListParagraph"/>
        <w:numPr>
          <w:ilvl w:val="0"/>
          <w:numId w:val="27"/>
        </w:numPr>
        <w:spacing w:after="0" w:line="240" w:lineRule="auto"/>
        <w:jc w:val="both"/>
        <w:rPr>
          <w:sz w:val="22"/>
          <w:szCs w:val="22"/>
        </w:rPr>
      </w:pPr>
      <w:r w:rsidRPr="00C361B0">
        <w:rPr>
          <w:sz w:val="22"/>
          <w:szCs w:val="22"/>
        </w:rPr>
        <w:t>Noted that disaster risk and emergency relief are highly relevant and to be considered</w:t>
      </w:r>
    </w:p>
    <w:p w14:paraId="36A835DA" w14:textId="312DF024" w:rsidR="007C7527" w:rsidRDefault="00034B1F" w:rsidP="00D25872">
      <w:pPr>
        <w:pStyle w:val="ListParagraph"/>
        <w:numPr>
          <w:ilvl w:val="0"/>
          <w:numId w:val="27"/>
        </w:numPr>
        <w:spacing w:after="0" w:line="240" w:lineRule="auto"/>
        <w:jc w:val="both"/>
        <w:rPr>
          <w:sz w:val="22"/>
          <w:szCs w:val="22"/>
        </w:rPr>
      </w:pPr>
      <w:proofErr w:type="gramStart"/>
      <w:r>
        <w:rPr>
          <w:sz w:val="22"/>
          <w:szCs w:val="22"/>
        </w:rPr>
        <w:t>Suggest</w:t>
      </w:r>
      <w:proofErr w:type="gramEnd"/>
      <w:r>
        <w:rPr>
          <w:sz w:val="22"/>
          <w:szCs w:val="22"/>
        </w:rPr>
        <w:t xml:space="preserve"> a</w:t>
      </w:r>
      <w:r w:rsidR="007C7527" w:rsidRPr="007C7527">
        <w:rPr>
          <w:sz w:val="22"/>
          <w:szCs w:val="22"/>
        </w:rPr>
        <w:t>dditional clarifications regarding civil defence actions in the context of climate change adaptation and mitigation efforts would be highly welcomed</w:t>
      </w:r>
    </w:p>
    <w:p w14:paraId="268CBE25" w14:textId="78AF54E9" w:rsidR="00F806D1" w:rsidRDefault="007D650F" w:rsidP="00D25872">
      <w:pPr>
        <w:pStyle w:val="ListParagraph"/>
        <w:numPr>
          <w:ilvl w:val="0"/>
          <w:numId w:val="27"/>
        </w:numPr>
        <w:spacing w:after="0" w:line="240" w:lineRule="auto"/>
        <w:jc w:val="both"/>
        <w:rPr>
          <w:sz w:val="22"/>
          <w:szCs w:val="22"/>
        </w:rPr>
      </w:pPr>
      <w:r>
        <w:rPr>
          <w:sz w:val="22"/>
          <w:szCs w:val="22"/>
        </w:rPr>
        <w:t xml:space="preserve">Recommend </w:t>
      </w:r>
      <w:r w:rsidR="00A57144">
        <w:rPr>
          <w:sz w:val="22"/>
          <w:szCs w:val="22"/>
        </w:rPr>
        <w:t>considering</w:t>
      </w:r>
      <w:r w:rsidR="00F806D1">
        <w:rPr>
          <w:sz w:val="22"/>
          <w:szCs w:val="22"/>
        </w:rPr>
        <w:t xml:space="preserve"> </w:t>
      </w:r>
      <w:proofErr w:type="gramStart"/>
      <w:r w:rsidR="00F806D1">
        <w:rPr>
          <w:sz w:val="22"/>
          <w:szCs w:val="22"/>
        </w:rPr>
        <w:t>inclusion</w:t>
      </w:r>
      <w:proofErr w:type="gramEnd"/>
      <w:r w:rsidR="00F806D1">
        <w:rPr>
          <w:sz w:val="22"/>
          <w:szCs w:val="22"/>
        </w:rPr>
        <w:t xml:space="preserve"> of </w:t>
      </w:r>
      <w:proofErr w:type="gramStart"/>
      <w:r w:rsidR="00F806D1">
        <w:rPr>
          <w:sz w:val="22"/>
          <w:szCs w:val="22"/>
        </w:rPr>
        <w:t>new</w:t>
      </w:r>
      <w:proofErr w:type="gramEnd"/>
      <w:r w:rsidR="00F806D1">
        <w:rPr>
          <w:sz w:val="22"/>
          <w:szCs w:val="22"/>
        </w:rPr>
        <w:t xml:space="preserve"> group related to </w:t>
      </w:r>
      <w:proofErr w:type="gramStart"/>
      <w:r w:rsidR="00F806D1">
        <w:rPr>
          <w:sz w:val="22"/>
          <w:szCs w:val="22"/>
        </w:rPr>
        <w:t>the food</w:t>
      </w:r>
      <w:proofErr w:type="gramEnd"/>
      <w:r w:rsidR="00F806D1">
        <w:rPr>
          <w:sz w:val="22"/>
          <w:szCs w:val="22"/>
        </w:rPr>
        <w:t xml:space="preserve"> security either in division 04 or 05</w:t>
      </w:r>
    </w:p>
    <w:p w14:paraId="576D79B0" w14:textId="5CCA246D" w:rsidR="00FF48EB" w:rsidRPr="00970289" w:rsidRDefault="007D650F" w:rsidP="00D25872">
      <w:pPr>
        <w:pStyle w:val="ListParagraph"/>
        <w:numPr>
          <w:ilvl w:val="0"/>
          <w:numId w:val="27"/>
        </w:numPr>
        <w:spacing w:after="0" w:line="240" w:lineRule="auto"/>
        <w:jc w:val="both"/>
        <w:rPr>
          <w:sz w:val="22"/>
          <w:szCs w:val="22"/>
        </w:rPr>
      </w:pPr>
      <w:r>
        <w:rPr>
          <w:sz w:val="22"/>
          <w:szCs w:val="22"/>
        </w:rPr>
        <w:lastRenderedPageBreak/>
        <w:t xml:space="preserve">Recommend </w:t>
      </w:r>
      <w:r w:rsidR="00A57144">
        <w:rPr>
          <w:sz w:val="22"/>
          <w:szCs w:val="22"/>
        </w:rPr>
        <w:t>considering</w:t>
      </w:r>
      <w:r w:rsidR="00FF48EB" w:rsidRPr="00FF48EB">
        <w:rPr>
          <w:sz w:val="22"/>
          <w:szCs w:val="22"/>
        </w:rPr>
        <w:t xml:space="preserve"> a category for Pest and Rodent Control under environmental protection would address the management of these species to safeguard public health, agriculture, and ecosystems.</w:t>
      </w:r>
    </w:p>
    <w:p w14:paraId="764615A2" w14:textId="4BA1DBCE" w:rsidR="00302299" w:rsidRPr="00970289" w:rsidRDefault="005D41B3" w:rsidP="00D25872">
      <w:pPr>
        <w:pStyle w:val="ListParagraph"/>
        <w:numPr>
          <w:ilvl w:val="0"/>
          <w:numId w:val="27"/>
        </w:numPr>
        <w:spacing w:after="0" w:line="240" w:lineRule="auto"/>
        <w:jc w:val="both"/>
        <w:rPr>
          <w:sz w:val="22"/>
          <w:szCs w:val="22"/>
        </w:rPr>
      </w:pPr>
      <w:r>
        <w:rPr>
          <w:sz w:val="22"/>
          <w:szCs w:val="22"/>
        </w:rPr>
        <w:t>Suggest m</w:t>
      </w:r>
      <w:r w:rsidR="00302299">
        <w:rPr>
          <w:sz w:val="22"/>
          <w:szCs w:val="22"/>
        </w:rPr>
        <w:t xml:space="preserve">ore clarification on how active subsidy policies on net zero projects </w:t>
      </w:r>
      <w:r>
        <w:rPr>
          <w:sz w:val="22"/>
          <w:szCs w:val="22"/>
        </w:rPr>
        <w:t>be classified in COFOG</w:t>
      </w:r>
    </w:p>
    <w:p w14:paraId="229F700B" w14:textId="77777777" w:rsidR="00DA5E7B" w:rsidRDefault="00DA5E7B" w:rsidP="00DA5E7B">
      <w:pPr>
        <w:spacing w:after="0" w:line="240" w:lineRule="auto"/>
        <w:jc w:val="both"/>
        <w:rPr>
          <w:sz w:val="22"/>
          <w:szCs w:val="22"/>
          <w:u w:val="single"/>
        </w:rPr>
      </w:pPr>
    </w:p>
    <w:p w14:paraId="599A1C21" w14:textId="77777777" w:rsidR="00DA5E7B" w:rsidRPr="00355C17" w:rsidRDefault="00DA5E7B" w:rsidP="00DA5E7B">
      <w:pPr>
        <w:spacing w:after="0" w:line="240" w:lineRule="auto"/>
        <w:jc w:val="both"/>
        <w:rPr>
          <w:sz w:val="22"/>
          <w:szCs w:val="22"/>
        </w:rPr>
      </w:pPr>
      <w:r w:rsidRPr="00355C17">
        <w:rPr>
          <w:sz w:val="22"/>
          <w:szCs w:val="22"/>
        </w:rPr>
        <w:t>Concerns/objections:</w:t>
      </w:r>
    </w:p>
    <w:p w14:paraId="2FD847BD" w14:textId="5F30770D" w:rsidR="00FF7188" w:rsidRDefault="00D6044C" w:rsidP="00D25872">
      <w:pPr>
        <w:pStyle w:val="ListParagraph"/>
        <w:numPr>
          <w:ilvl w:val="0"/>
          <w:numId w:val="27"/>
        </w:numPr>
        <w:spacing w:after="0" w:line="240" w:lineRule="auto"/>
        <w:jc w:val="both"/>
        <w:rPr>
          <w:sz w:val="22"/>
          <w:szCs w:val="22"/>
        </w:rPr>
      </w:pPr>
      <w:r>
        <w:rPr>
          <w:sz w:val="22"/>
          <w:szCs w:val="22"/>
        </w:rPr>
        <w:t>S</w:t>
      </w:r>
      <w:r w:rsidR="00FF7188" w:rsidRPr="00FF7188">
        <w:rPr>
          <w:sz w:val="22"/>
          <w:szCs w:val="22"/>
        </w:rPr>
        <w:t>upport a climate change category (or categories), but its effectiveness will be hinged on how well the issue of primary and secondary spending is addressed</w:t>
      </w:r>
    </w:p>
    <w:p w14:paraId="2ED7899C" w14:textId="1DF12ABF" w:rsidR="00846964" w:rsidRDefault="00945A1E" w:rsidP="00945A1E">
      <w:pPr>
        <w:pStyle w:val="ListParagraph"/>
        <w:numPr>
          <w:ilvl w:val="0"/>
          <w:numId w:val="27"/>
        </w:numPr>
        <w:spacing w:after="0" w:line="240" w:lineRule="auto"/>
        <w:jc w:val="both"/>
        <w:rPr>
          <w:sz w:val="22"/>
          <w:szCs w:val="22"/>
        </w:rPr>
      </w:pPr>
      <w:r>
        <w:rPr>
          <w:sz w:val="22"/>
          <w:szCs w:val="22"/>
        </w:rPr>
        <w:t xml:space="preserve">Some respondents </w:t>
      </w:r>
      <w:r w:rsidR="00974EFF">
        <w:rPr>
          <w:sz w:val="22"/>
          <w:szCs w:val="22"/>
        </w:rPr>
        <w:t xml:space="preserve">support </w:t>
      </w:r>
      <w:r w:rsidR="00DE3832">
        <w:rPr>
          <w:sz w:val="22"/>
          <w:szCs w:val="22"/>
        </w:rPr>
        <w:t>that the climate change category</w:t>
      </w:r>
      <w:r w:rsidR="006B08C6">
        <w:rPr>
          <w:sz w:val="22"/>
          <w:szCs w:val="22"/>
        </w:rPr>
        <w:t xml:space="preserve"> </w:t>
      </w:r>
      <w:r w:rsidR="00920E96">
        <w:rPr>
          <w:sz w:val="22"/>
          <w:szCs w:val="22"/>
        </w:rPr>
        <w:t xml:space="preserve">should be inside division 05 and not distributed to other divisions, while some </w:t>
      </w:r>
      <w:r>
        <w:rPr>
          <w:sz w:val="22"/>
          <w:szCs w:val="22"/>
        </w:rPr>
        <w:t>s</w:t>
      </w:r>
      <w:r w:rsidRPr="00945A1E">
        <w:rPr>
          <w:sz w:val="22"/>
          <w:szCs w:val="22"/>
        </w:rPr>
        <w:t xml:space="preserve">uggest </w:t>
      </w:r>
      <w:r w:rsidR="006D6CC0" w:rsidRPr="00945A1E">
        <w:rPr>
          <w:sz w:val="22"/>
          <w:szCs w:val="22"/>
        </w:rPr>
        <w:t>keeping</w:t>
      </w:r>
      <w:r w:rsidRPr="00945A1E">
        <w:rPr>
          <w:sz w:val="22"/>
          <w:szCs w:val="22"/>
        </w:rPr>
        <w:t xml:space="preserve"> the listed type of expenditure related to climate change within their respective function</w:t>
      </w:r>
      <w:r w:rsidR="00AC699D">
        <w:rPr>
          <w:sz w:val="22"/>
          <w:szCs w:val="22"/>
        </w:rPr>
        <w:t xml:space="preserve"> </w:t>
      </w:r>
      <w:r w:rsidR="009567DE">
        <w:rPr>
          <w:sz w:val="22"/>
          <w:szCs w:val="22"/>
        </w:rPr>
        <w:t>outside the environment divisi</w:t>
      </w:r>
      <w:r w:rsidR="00861E8C">
        <w:rPr>
          <w:sz w:val="22"/>
          <w:szCs w:val="22"/>
        </w:rPr>
        <w:t xml:space="preserve">on, </w:t>
      </w:r>
      <w:r w:rsidR="00F97D25">
        <w:rPr>
          <w:sz w:val="22"/>
          <w:szCs w:val="22"/>
        </w:rPr>
        <w:t>for example</w:t>
      </w:r>
      <w:r w:rsidR="006D6CC0">
        <w:rPr>
          <w:sz w:val="22"/>
          <w:szCs w:val="22"/>
        </w:rPr>
        <w:t>:</w:t>
      </w:r>
      <w:r w:rsidR="00F97D25">
        <w:rPr>
          <w:sz w:val="22"/>
          <w:szCs w:val="22"/>
        </w:rPr>
        <w:t xml:space="preserve"> </w:t>
      </w:r>
    </w:p>
    <w:p w14:paraId="329C21FA" w14:textId="77777777" w:rsidR="00413E44" w:rsidRDefault="00413E44" w:rsidP="00413E44">
      <w:pPr>
        <w:pStyle w:val="ListParagraph"/>
        <w:numPr>
          <w:ilvl w:val="1"/>
          <w:numId w:val="27"/>
        </w:numPr>
        <w:spacing w:after="0" w:line="240" w:lineRule="auto"/>
        <w:jc w:val="both"/>
        <w:rPr>
          <w:sz w:val="22"/>
          <w:szCs w:val="22"/>
        </w:rPr>
      </w:pPr>
      <w:r w:rsidRPr="00211430">
        <w:rPr>
          <w:sz w:val="22"/>
          <w:szCs w:val="22"/>
        </w:rPr>
        <w:t xml:space="preserve">Insofar as expenditure has a primary </w:t>
      </w:r>
      <w:proofErr w:type="gramStart"/>
      <w:r w:rsidRPr="00211430">
        <w:rPr>
          <w:sz w:val="22"/>
          <w:szCs w:val="22"/>
        </w:rPr>
        <w:t>purpose</w:t>
      </w:r>
      <w:proofErr w:type="gramEnd"/>
      <w:r w:rsidRPr="00211430">
        <w:rPr>
          <w:sz w:val="22"/>
          <w:szCs w:val="22"/>
        </w:rPr>
        <w:t xml:space="preserve"> "climate change mitigation and adaptation" it would seem to fall under resource management rather than environmental protection</w:t>
      </w:r>
      <w:r>
        <w:rPr>
          <w:sz w:val="22"/>
          <w:szCs w:val="22"/>
        </w:rPr>
        <w:t xml:space="preserve">; similar for </w:t>
      </w:r>
      <w:r w:rsidRPr="00416A08">
        <w:rPr>
          <w:sz w:val="22"/>
          <w:szCs w:val="22"/>
        </w:rPr>
        <w:t>'Investment</w:t>
      </w:r>
      <w:r w:rsidR="00F97D25" w:rsidRPr="00F97D25">
        <w:rPr>
          <w:sz w:val="22"/>
          <w:szCs w:val="22"/>
        </w:rPr>
        <w:t xml:space="preserve"> in renewable </w:t>
      </w:r>
      <w:r w:rsidRPr="00416A08">
        <w:rPr>
          <w:sz w:val="22"/>
          <w:szCs w:val="22"/>
        </w:rPr>
        <w:t>energy'</w:t>
      </w:r>
    </w:p>
    <w:p w14:paraId="2AD04678" w14:textId="3B48FC09" w:rsidR="00413E44" w:rsidRPr="00A832C7" w:rsidRDefault="00515A2F" w:rsidP="00A832C7">
      <w:pPr>
        <w:pStyle w:val="ListParagraph"/>
        <w:numPr>
          <w:ilvl w:val="1"/>
          <w:numId w:val="27"/>
        </w:numPr>
        <w:spacing w:after="0" w:line="240" w:lineRule="auto"/>
        <w:jc w:val="both"/>
        <w:rPr>
          <w:sz w:val="22"/>
          <w:szCs w:val="22"/>
        </w:rPr>
      </w:pPr>
      <w:proofErr w:type="gramStart"/>
      <w:r>
        <w:rPr>
          <w:sz w:val="22"/>
          <w:szCs w:val="22"/>
        </w:rPr>
        <w:t>‘</w:t>
      </w:r>
      <w:r w:rsidR="00413E44" w:rsidRPr="00A832C7">
        <w:rPr>
          <w:sz w:val="22"/>
          <w:szCs w:val="22"/>
        </w:rPr>
        <w:t>Transition assistance</w:t>
      </w:r>
      <w:proofErr w:type="gramEnd"/>
      <w:r w:rsidR="00413E44" w:rsidRPr="00A832C7">
        <w:rPr>
          <w:sz w:val="22"/>
          <w:szCs w:val="22"/>
        </w:rPr>
        <w:t xml:space="preserve"> for households and businesses in moving towards </w:t>
      </w:r>
      <w:r w:rsidR="00F97D25" w:rsidRPr="00F97D25">
        <w:rPr>
          <w:sz w:val="22"/>
          <w:szCs w:val="22"/>
        </w:rPr>
        <w:t>energy</w:t>
      </w:r>
      <w:r w:rsidR="00413E44" w:rsidRPr="00A832C7">
        <w:rPr>
          <w:sz w:val="22"/>
          <w:szCs w:val="22"/>
        </w:rPr>
        <w:t xml:space="preserve"> transition, such as subsidies for insulation or heat pumps' - this should be recorded as part of </w:t>
      </w:r>
      <w:r w:rsidR="00F97D25" w:rsidRPr="00F97D25">
        <w:rPr>
          <w:sz w:val="22"/>
          <w:szCs w:val="22"/>
        </w:rPr>
        <w:t>04.3</w:t>
      </w:r>
    </w:p>
    <w:p w14:paraId="132C2A7C" w14:textId="6FE57577" w:rsidR="00413E44" w:rsidRPr="00A832C7" w:rsidRDefault="00413E44" w:rsidP="00A832C7">
      <w:pPr>
        <w:pStyle w:val="ListParagraph"/>
        <w:numPr>
          <w:ilvl w:val="1"/>
          <w:numId w:val="27"/>
        </w:numPr>
        <w:spacing w:after="0" w:line="240" w:lineRule="auto"/>
        <w:jc w:val="both"/>
        <w:rPr>
          <w:sz w:val="22"/>
          <w:szCs w:val="22"/>
        </w:rPr>
      </w:pPr>
      <w:r w:rsidRPr="00A832C7">
        <w:rPr>
          <w:sz w:val="22"/>
          <w:szCs w:val="22"/>
        </w:rPr>
        <w:t xml:space="preserve">'Electrification of transport vehicles and networks' - not clear what </w:t>
      </w:r>
      <w:proofErr w:type="gramStart"/>
      <w:r w:rsidRPr="00A832C7">
        <w:rPr>
          <w:sz w:val="22"/>
          <w:szCs w:val="22"/>
        </w:rPr>
        <w:t>proposal</w:t>
      </w:r>
      <w:proofErr w:type="gramEnd"/>
      <w:r w:rsidRPr="00A832C7">
        <w:rPr>
          <w:sz w:val="22"/>
          <w:szCs w:val="22"/>
        </w:rPr>
        <w:t xml:space="preserve"> is. Expenditure seems part of 04.5 transport. Electrification of (rail) networks is just a means of providing transport opportunities, and identical </w:t>
      </w:r>
      <w:proofErr w:type="gramStart"/>
      <w:r w:rsidRPr="00A832C7">
        <w:rPr>
          <w:sz w:val="22"/>
          <w:szCs w:val="22"/>
        </w:rPr>
        <w:t>in purpose to</w:t>
      </w:r>
      <w:proofErr w:type="gramEnd"/>
      <w:r w:rsidRPr="00A832C7">
        <w:rPr>
          <w:sz w:val="22"/>
          <w:szCs w:val="22"/>
        </w:rPr>
        <w:t xml:space="preserve"> letting diesel engines run along the tracks</w:t>
      </w:r>
    </w:p>
    <w:p w14:paraId="1FE2FB4B" w14:textId="6C155BCA" w:rsidR="00CF3265" w:rsidRDefault="00F97D25" w:rsidP="00846964">
      <w:pPr>
        <w:pStyle w:val="ListParagraph"/>
        <w:numPr>
          <w:ilvl w:val="1"/>
          <w:numId w:val="27"/>
        </w:numPr>
        <w:spacing w:after="0" w:line="240" w:lineRule="auto"/>
        <w:jc w:val="both"/>
        <w:rPr>
          <w:sz w:val="22"/>
          <w:szCs w:val="22"/>
        </w:rPr>
      </w:pPr>
      <w:r w:rsidRPr="00F97D25">
        <w:rPr>
          <w:sz w:val="22"/>
          <w:szCs w:val="22"/>
        </w:rPr>
        <w:t xml:space="preserve">Assistance for insulation/heat pumps: 06.10 (Housing development) or 04.43 (Construction)  </w:t>
      </w:r>
    </w:p>
    <w:p w14:paraId="0271C00E" w14:textId="101893E0" w:rsidR="00945A1E" w:rsidRPr="00945A1E" w:rsidRDefault="00F97D25" w:rsidP="008C4B56">
      <w:pPr>
        <w:pStyle w:val="ListParagraph"/>
        <w:numPr>
          <w:ilvl w:val="1"/>
          <w:numId w:val="27"/>
        </w:numPr>
        <w:spacing w:after="0" w:line="240" w:lineRule="auto"/>
        <w:jc w:val="both"/>
        <w:rPr>
          <w:sz w:val="22"/>
          <w:szCs w:val="22"/>
        </w:rPr>
      </w:pPr>
      <w:r w:rsidRPr="00F97D25">
        <w:rPr>
          <w:sz w:val="22"/>
          <w:szCs w:val="22"/>
        </w:rPr>
        <w:t xml:space="preserve">Flood defenses: 04.74 (Multipurpose development projects). </w:t>
      </w:r>
      <w:r w:rsidR="00861E8C">
        <w:rPr>
          <w:sz w:val="22"/>
          <w:szCs w:val="22"/>
        </w:rPr>
        <w:t xml:space="preserve"> </w:t>
      </w:r>
    </w:p>
    <w:p w14:paraId="0835F86E" w14:textId="095F80AE" w:rsidR="00DA5E7B" w:rsidRPr="0039008C" w:rsidRDefault="000E5FEB" w:rsidP="00D25872">
      <w:pPr>
        <w:pStyle w:val="ListParagraph"/>
        <w:numPr>
          <w:ilvl w:val="0"/>
          <w:numId w:val="27"/>
        </w:numPr>
        <w:spacing w:after="0" w:line="240" w:lineRule="auto"/>
        <w:jc w:val="both"/>
        <w:rPr>
          <w:sz w:val="22"/>
          <w:szCs w:val="22"/>
        </w:rPr>
      </w:pPr>
      <w:r w:rsidRPr="000E5FEB">
        <w:rPr>
          <w:sz w:val="22"/>
          <w:szCs w:val="22"/>
        </w:rPr>
        <w:t xml:space="preserve">Resource management activities do not have as primary purpose environmental protection. Excluding them from </w:t>
      </w:r>
      <w:r w:rsidR="00701826" w:rsidRPr="000E5FEB">
        <w:rPr>
          <w:sz w:val="22"/>
          <w:szCs w:val="22"/>
        </w:rPr>
        <w:t>their</w:t>
      </w:r>
      <w:r w:rsidRPr="000E5FEB">
        <w:rPr>
          <w:sz w:val="22"/>
          <w:szCs w:val="22"/>
        </w:rPr>
        <w:t xml:space="preserve"> primary purposes and including them within environmental protection not consistent with recording government expenditure by primary purpose and </w:t>
      </w:r>
      <w:r w:rsidR="003A2D8A" w:rsidRPr="000E5FEB">
        <w:rPr>
          <w:sz w:val="22"/>
          <w:szCs w:val="22"/>
        </w:rPr>
        <w:t>not</w:t>
      </w:r>
      <w:r w:rsidRPr="000E5FEB">
        <w:rPr>
          <w:sz w:val="22"/>
          <w:szCs w:val="22"/>
        </w:rPr>
        <w:t xml:space="preserve"> consistent with distinction in CEP of environmental protection and resource management</w:t>
      </w:r>
    </w:p>
    <w:p w14:paraId="1CE646FC" w14:textId="0C2316E9" w:rsidR="00211430" w:rsidRPr="00211430" w:rsidRDefault="00211430" w:rsidP="00211430">
      <w:pPr>
        <w:pStyle w:val="ListParagraph"/>
        <w:numPr>
          <w:ilvl w:val="0"/>
          <w:numId w:val="27"/>
        </w:numPr>
        <w:spacing w:after="0" w:line="240" w:lineRule="auto"/>
        <w:jc w:val="both"/>
        <w:rPr>
          <w:sz w:val="22"/>
          <w:szCs w:val="22"/>
        </w:rPr>
      </w:pPr>
      <w:r w:rsidRPr="00211430">
        <w:rPr>
          <w:sz w:val="22"/>
          <w:szCs w:val="22"/>
        </w:rPr>
        <w:t xml:space="preserve">'Identify activities potentially under 05.4 that support forest related intervention and realign them under 04.2.2' - </w:t>
      </w:r>
      <w:r w:rsidR="00701826">
        <w:rPr>
          <w:sz w:val="22"/>
          <w:szCs w:val="22"/>
        </w:rPr>
        <w:t>w</w:t>
      </w:r>
      <w:r w:rsidRPr="00211430">
        <w:rPr>
          <w:sz w:val="22"/>
          <w:szCs w:val="22"/>
        </w:rPr>
        <w:t>ould this not introduce an inconsistency with CEP?</w:t>
      </w:r>
    </w:p>
    <w:p w14:paraId="0BC1C2D9" w14:textId="6696B749" w:rsidR="009234A9" w:rsidRPr="00211430" w:rsidRDefault="009234A9" w:rsidP="00211430">
      <w:pPr>
        <w:pStyle w:val="ListParagraph"/>
        <w:numPr>
          <w:ilvl w:val="0"/>
          <w:numId w:val="27"/>
        </w:numPr>
        <w:spacing w:after="0" w:line="240" w:lineRule="auto"/>
        <w:jc w:val="both"/>
        <w:rPr>
          <w:sz w:val="22"/>
          <w:szCs w:val="22"/>
        </w:rPr>
      </w:pPr>
      <w:proofErr w:type="gramStart"/>
      <w:r>
        <w:rPr>
          <w:sz w:val="22"/>
          <w:szCs w:val="22"/>
        </w:rPr>
        <w:t>Not</w:t>
      </w:r>
      <w:proofErr w:type="gramEnd"/>
      <w:r>
        <w:rPr>
          <w:sz w:val="22"/>
          <w:szCs w:val="22"/>
        </w:rPr>
        <w:t xml:space="preserve"> clear what is the implication of Data Gap Initiatives to COFOG</w:t>
      </w:r>
    </w:p>
    <w:p w14:paraId="055EEFF1" w14:textId="288AAFE0" w:rsidR="00FC02E4" w:rsidRPr="00970289" w:rsidRDefault="00FC02E4" w:rsidP="00211430">
      <w:pPr>
        <w:pStyle w:val="ListParagraph"/>
        <w:numPr>
          <w:ilvl w:val="0"/>
          <w:numId w:val="27"/>
        </w:numPr>
        <w:spacing w:after="0" w:line="240" w:lineRule="auto"/>
        <w:jc w:val="both"/>
        <w:rPr>
          <w:sz w:val="22"/>
          <w:szCs w:val="22"/>
        </w:rPr>
      </w:pPr>
      <w:proofErr w:type="gramStart"/>
      <w:r w:rsidRPr="00A832C7">
        <w:rPr>
          <w:sz w:val="22"/>
          <w:szCs w:val="22"/>
        </w:rPr>
        <w:t>Difficult</w:t>
      </w:r>
      <w:proofErr w:type="gramEnd"/>
      <w:r>
        <w:rPr>
          <w:sz w:val="22"/>
          <w:szCs w:val="22"/>
        </w:rPr>
        <w:t xml:space="preserve"> to obtain data </w:t>
      </w:r>
      <w:r w:rsidR="0082229E">
        <w:rPr>
          <w:sz w:val="22"/>
          <w:szCs w:val="22"/>
        </w:rPr>
        <w:t>at a more granular level</w:t>
      </w:r>
      <w:r w:rsidR="0070042D">
        <w:rPr>
          <w:sz w:val="22"/>
          <w:szCs w:val="22"/>
        </w:rPr>
        <w:t xml:space="preserve">. </w:t>
      </w:r>
      <w:r w:rsidR="0070042D" w:rsidRPr="0070042D">
        <w:rPr>
          <w:sz w:val="22"/>
          <w:szCs w:val="22"/>
        </w:rPr>
        <w:t xml:space="preserve">Creating new breakdowns is resource-demanding and creating </w:t>
      </w:r>
      <w:proofErr w:type="gramStart"/>
      <w:r w:rsidR="0070042D" w:rsidRPr="0070042D">
        <w:rPr>
          <w:sz w:val="22"/>
          <w:szCs w:val="22"/>
        </w:rPr>
        <w:t>additional</w:t>
      </w:r>
      <w:proofErr w:type="gramEnd"/>
      <w:r w:rsidR="0070042D" w:rsidRPr="0070042D">
        <w:rPr>
          <w:sz w:val="22"/>
          <w:szCs w:val="22"/>
        </w:rPr>
        <w:t xml:space="preserve"> answering burd</w:t>
      </w:r>
      <w:r w:rsidR="0070042D">
        <w:rPr>
          <w:sz w:val="22"/>
          <w:szCs w:val="22"/>
        </w:rPr>
        <w:t>e</w:t>
      </w:r>
      <w:r w:rsidR="0070042D" w:rsidRPr="0070042D">
        <w:rPr>
          <w:sz w:val="22"/>
          <w:szCs w:val="22"/>
        </w:rPr>
        <w:t>n for the respondents.</w:t>
      </w:r>
    </w:p>
    <w:p w14:paraId="1D8AF574" w14:textId="77777777" w:rsidR="00DA5E7B" w:rsidRDefault="00DA5E7B" w:rsidP="00DA5E7B">
      <w:pPr>
        <w:spacing w:after="0" w:line="240" w:lineRule="auto"/>
        <w:jc w:val="both"/>
        <w:rPr>
          <w:sz w:val="22"/>
          <w:szCs w:val="22"/>
        </w:rPr>
      </w:pPr>
    </w:p>
    <w:p w14:paraId="51FB0884" w14:textId="77777777" w:rsidR="00DA5E7B" w:rsidRDefault="00DA5E7B" w:rsidP="00450C7E">
      <w:pPr>
        <w:spacing w:after="0" w:line="240" w:lineRule="auto"/>
        <w:jc w:val="both"/>
        <w:rPr>
          <w:sz w:val="22"/>
          <w:szCs w:val="22"/>
        </w:rPr>
      </w:pPr>
    </w:p>
    <w:p w14:paraId="1EB99561" w14:textId="77777777" w:rsidR="00E711CE" w:rsidRPr="00E711CE" w:rsidRDefault="00E711CE" w:rsidP="00E711CE">
      <w:pPr>
        <w:spacing w:after="0" w:line="240" w:lineRule="auto"/>
        <w:rPr>
          <w:sz w:val="22"/>
          <w:szCs w:val="22"/>
          <w:u w:val="single"/>
        </w:rPr>
      </w:pPr>
      <w:r w:rsidRPr="00E711CE">
        <w:rPr>
          <w:sz w:val="22"/>
          <w:szCs w:val="22"/>
          <w:u w:val="single"/>
        </w:rPr>
        <w:t>A06. Housing and community amenities</w:t>
      </w:r>
    </w:p>
    <w:p w14:paraId="2B772622" w14:textId="77777777" w:rsidR="00DA5E7B" w:rsidRDefault="00DA5E7B" w:rsidP="00450C7E">
      <w:pPr>
        <w:spacing w:after="0" w:line="240" w:lineRule="auto"/>
        <w:jc w:val="both"/>
        <w:rPr>
          <w:sz w:val="22"/>
          <w:szCs w:val="22"/>
        </w:rPr>
      </w:pPr>
    </w:p>
    <w:p w14:paraId="4F763C47" w14:textId="2C6A59FF" w:rsidR="003C38CB" w:rsidRDefault="002A3DDA" w:rsidP="002A3DDA">
      <w:pPr>
        <w:spacing w:after="0" w:line="240" w:lineRule="auto"/>
        <w:jc w:val="both"/>
        <w:rPr>
          <w:sz w:val="22"/>
          <w:szCs w:val="22"/>
        </w:rPr>
      </w:pPr>
      <w:r>
        <w:rPr>
          <w:sz w:val="22"/>
          <w:szCs w:val="22"/>
        </w:rPr>
        <w:t>Original proposals:</w:t>
      </w:r>
    </w:p>
    <w:p w14:paraId="15E178A8" w14:textId="77777777" w:rsidR="002A3DDA" w:rsidRPr="0061129D" w:rsidRDefault="002A3DDA" w:rsidP="00D25872">
      <w:pPr>
        <w:pStyle w:val="ListParagraph"/>
        <w:numPr>
          <w:ilvl w:val="0"/>
          <w:numId w:val="42"/>
        </w:numPr>
        <w:pBdr>
          <w:top w:val="single" w:sz="4" w:space="1" w:color="auto"/>
          <w:left w:val="single" w:sz="4" w:space="4" w:color="auto"/>
          <w:bottom w:val="single" w:sz="4" w:space="1" w:color="auto"/>
          <w:right w:val="single" w:sz="4" w:space="4" w:color="auto"/>
        </w:pBdr>
        <w:spacing w:line="240" w:lineRule="auto"/>
        <w:rPr>
          <w:sz w:val="22"/>
          <w:szCs w:val="22"/>
        </w:rPr>
      </w:pPr>
      <w:r w:rsidRPr="0061129D">
        <w:rPr>
          <w:sz w:val="22"/>
          <w:szCs w:val="22"/>
        </w:rPr>
        <w:t>Reconsider the relevance of separately identifying  06.4 (Street lighting)</w:t>
      </w:r>
    </w:p>
    <w:p w14:paraId="56D87FB6" w14:textId="4497C39A" w:rsidR="003C38CB" w:rsidRPr="0061129D" w:rsidRDefault="002A3DDA" w:rsidP="00D25872">
      <w:pPr>
        <w:pStyle w:val="ListParagraph"/>
        <w:numPr>
          <w:ilvl w:val="0"/>
          <w:numId w:val="42"/>
        </w:numPr>
        <w:pBdr>
          <w:top w:val="single" w:sz="4" w:space="1" w:color="auto"/>
          <w:left w:val="single" w:sz="4" w:space="4" w:color="auto"/>
          <w:bottom w:val="single" w:sz="4" w:space="1" w:color="auto"/>
          <w:right w:val="single" w:sz="4" w:space="4" w:color="auto"/>
        </w:pBdr>
        <w:spacing w:line="240" w:lineRule="auto"/>
        <w:rPr>
          <w:sz w:val="22"/>
          <w:szCs w:val="22"/>
        </w:rPr>
      </w:pPr>
      <w:r w:rsidRPr="0061129D">
        <w:rPr>
          <w:sz w:val="22"/>
          <w:szCs w:val="22"/>
        </w:rPr>
        <w:t>Better distinguish expenditure related to “water”, including wastewater management currently under Division 05 (Environmental protection), which could be transferred to the Housing and community amenities category</w:t>
      </w:r>
    </w:p>
    <w:p w14:paraId="0CA5422B" w14:textId="77777777" w:rsidR="00AE1A21" w:rsidRDefault="00AE1A21" w:rsidP="00E711CE">
      <w:pPr>
        <w:spacing w:after="0" w:line="240" w:lineRule="auto"/>
        <w:jc w:val="both"/>
        <w:rPr>
          <w:sz w:val="22"/>
          <w:szCs w:val="22"/>
        </w:rPr>
      </w:pPr>
    </w:p>
    <w:p w14:paraId="78597898" w14:textId="77777777" w:rsidR="00AE1A21" w:rsidRDefault="00AE1A21" w:rsidP="00E711CE">
      <w:pPr>
        <w:spacing w:after="0" w:line="240" w:lineRule="auto"/>
        <w:jc w:val="both"/>
        <w:rPr>
          <w:sz w:val="22"/>
          <w:szCs w:val="22"/>
        </w:rPr>
      </w:pPr>
    </w:p>
    <w:p w14:paraId="573629BE" w14:textId="77777777" w:rsidR="00AE1A21" w:rsidRDefault="00AE1A21" w:rsidP="00E711CE">
      <w:pPr>
        <w:spacing w:after="0" w:line="240" w:lineRule="auto"/>
        <w:jc w:val="both"/>
        <w:rPr>
          <w:sz w:val="22"/>
          <w:szCs w:val="22"/>
        </w:rPr>
      </w:pPr>
    </w:p>
    <w:p w14:paraId="0314E197" w14:textId="1B74498B" w:rsidR="00E711CE" w:rsidRPr="0039008C" w:rsidRDefault="00E711CE" w:rsidP="00E711CE">
      <w:pPr>
        <w:spacing w:after="0" w:line="240" w:lineRule="auto"/>
        <w:jc w:val="both"/>
        <w:rPr>
          <w:sz w:val="22"/>
          <w:szCs w:val="22"/>
        </w:rPr>
      </w:pPr>
      <w:r>
        <w:rPr>
          <w:sz w:val="22"/>
          <w:szCs w:val="22"/>
        </w:rPr>
        <w:lastRenderedPageBreak/>
        <w:t>Additional proposals:</w:t>
      </w:r>
    </w:p>
    <w:p w14:paraId="531F19CC" w14:textId="6412489C" w:rsidR="00E711CE" w:rsidRPr="0039008C" w:rsidRDefault="00C61A41" w:rsidP="00D25872">
      <w:pPr>
        <w:pStyle w:val="ListParagraph"/>
        <w:numPr>
          <w:ilvl w:val="0"/>
          <w:numId w:val="27"/>
        </w:numPr>
        <w:spacing w:after="0" w:line="240" w:lineRule="auto"/>
        <w:jc w:val="both"/>
        <w:rPr>
          <w:sz w:val="22"/>
          <w:szCs w:val="22"/>
        </w:rPr>
      </w:pPr>
      <w:r w:rsidRPr="00C61A41">
        <w:rPr>
          <w:sz w:val="22"/>
          <w:szCs w:val="22"/>
        </w:rPr>
        <w:t>Expenses related to wastewater management are classified under Division 05, while those for water supply are classified under Division 06. Classifying both groups within the same division would be important because, despite the difficulty in separating them, the overall distribution across divisions would remain unchanged</w:t>
      </w:r>
    </w:p>
    <w:p w14:paraId="5CFC050C" w14:textId="053E6198" w:rsidR="00216321" w:rsidRPr="00EF3384" w:rsidRDefault="00FC5AFF" w:rsidP="00D25872">
      <w:pPr>
        <w:pStyle w:val="ListParagraph"/>
        <w:numPr>
          <w:ilvl w:val="0"/>
          <w:numId w:val="27"/>
        </w:numPr>
        <w:spacing w:after="0" w:line="240" w:lineRule="auto"/>
        <w:jc w:val="both"/>
        <w:rPr>
          <w:sz w:val="22"/>
          <w:szCs w:val="22"/>
        </w:rPr>
      </w:pPr>
      <w:r w:rsidRPr="00FC5AFF">
        <w:rPr>
          <w:sz w:val="22"/>
          <w:szCs w:val="22"/>
        </w:rPr>
        <w:t>Probably, the water function should go to division 05, instead of wastewater to division</w:t>
      </w:r>
      <w:r>
        <w:rPr>
          <w:sz w:val="22"/>
          <w:szCs w:val="22"/>
        </w:rPr>
        <w:t xml:space="preserve"> 06</w:t>
      </w:r>
      <w:r w:rsidR="00E71C31">
        <w:rPr>
          <w:sz w:val="22"/>
          <w:szCs w:val="22"/>
        </w:rPr>
        <w:t xml:space="preserve">; </w:t>
      </w:r>
      <w:r w:rsidR="00E71C31" w:rsidRPr="00E71C31">
        <w:rPr>
          <w:sz w:val="22"/>
          <w:szCs w:val="22"/>
        </w:rPr>
        <w:t>Remove Water supply from this Division</w:t>
      </w:r>
      <w:r w:rsidR="00EF3384">
        <w:rPr>
          <w:sz w:val="22"/>
          <w:szCs w:val="22"/>
        </w:rPr>
        <w:t xml:space="preserve">; </w:t>
      </w:r>
      <w:r w:rsidR="00216321" w:rsidRPr="00EF3384">
        <w:rPr>
          <w:sz w:val="22"/>
          <w:szCs w:val="22"/>
        </w:rPr>
        <w:t>wastewater management sits more logically in COFOG</w:t>
      </w:r>
      <w:r w:rsidR="00785B4A" w:rsidRPr="00EF3384">
        <w:rPr>
          <w:sz w:val="22"/>
          <w:szCs w:val="22"/>
        </w:rPr>
        <w:t xml:space="preserve"> 05</w:t>
      </w:r>
      <w:r w:rsidR="001F388A" w:rsidRPr="00EF3384">
        <w:rPr>
          <w:sz w:val="22"/>
          <w:szCs w:val="22"/>
        </w:rPr>
        <w:t>, it also impacts industry, manufacturing, etc, and the main driver of investment in this area is to prevent pollution</w:t>
      </w:r>
      <w:r w:rsidR="002E504B" w:rsidRPr="00EF3384">
        <w:rPr>
          <w:sz w:val="22"/>
          <w:szCs w:val="22"/>
        </w:rPr>
        <w:t>…</w:t>
      </w:r>
      <w:r w:rsidR="001F388A" w:rsidRPr="00EF3384">
        <w:rPr>
          <w:sz w:val="22"/>
          <w:szCs w:val="22"/>
        </w:rPr>
        <w:t>Perhaps one to draw out in primary and secondary spend analysis</w:t>
      </w:r>
    </w:p>
    <w:p w14:paraId="063D2E55" w14:textId="7ACB57DE" w:rsidR="008B07AF" w:rsidRPr="008B07AF" w:rsidRDefault="00FF215F" w:rsidP="008B07AF">
      <w:pPr>
        <w:pStyle w:val="ListParagraph"/>
        <w:numPr>
          <w:ilvl w:val="0"/>
          <w:numId w:val="27"/>
        </w:numPr>
        <w:spacing w:after="0" w:line="240" w:lineRule="auto"/>
        <w:jc w:val="both"/>
        <w:rPr>
          <w:sz w:val="22"/>
          <w:szCs w:val="22"/>
        </w:rPr>
      </w:pPr>
      <w:r w:rsidRPr="00FF215F">
        <w:rPr>
          <w:sz w:val="22"/>
          <w:szCs w:val="22"/>
        </w:rPr>
        <w:t>Add a separate class 06.31 for water savings and management of natural water resources next to 06.30 water supply in general</w:t>
      </w:r>
    </w:p>
    <w:p w14:paraId="7883D98B" w14:textId="77777777" w:rsidR="00E711CE" w:rsidRDefault="00E711CE" w:rsidP="00E711CE">
      <w:pPr>
        <w:spacing w:after="0" w:line="240" w:lineRule="auto"/>
        <w:jc w:val="both"/>
        <w:rPr>
          <w:sz w:val="22"/>
          <w:szCs w:val="22"/>
          <w:u w:val="single"/>
        </w:rPr>
      </w:pPr>
    </w:p>
    <w:p w14:paraId="753D9517" w14:textId="77777777" w:rsidR="00E711CE" w:rsidRPr="003A32A6" w:rsidRDefault="00E711CE" w:rsidP="00E711CE">
      <w:pPr>
        <w:spacing w:after="0" w:line="240" w:lineRule="auto"/>
        <w:jc w:val="both"/>
        <w:rPr>
          <w:sz w:val="22"/>
          <w:szCs w:val="22"/>
        </w:rPr>
      </w:pPr>
      <w:r>
        <w:rPr>
          <w:sz w:val="22"/>
          <w:szCs w:val="22"/>
        </w:rPr>
        <w:t>Concerns/objections:</w:t>
      </w:r>
    </w:p>
    <w:p w14:paraId="568D8D43" w14:textId="0B7109C5" w:rsidR="00E711CE" w:rsidRDefault="00E40E3E" w:rsidP="00D25872">
      <w:pPr>
        <w:pStyle w:val="ListParagraph"/>
        <w:numPr>
          <w:ilvl w:val="0"/>
          <w:numId w:val="27"/>
        </w:numPr>
        <w:spacing w:after="0" w:line="240" w:lineRule="auto"/>
        <w:jc w:val="both"/>
        <w:rPr>
          <w:sz w:val="22"/>
          <w:szCs w:val="22"/>
        </w:rPr>
      </w:pPr>
      <w:r w:rsidRPr="00E40E3E">
        <w:rPr>
          <w:sz w:val="22"/>
          <w:szCs w:val="22"/>
        </w:rPr>
        <w:t xml:space="preserve">it should be verified if </w:t>
      </w:r>
      <w:proofErr w:type="gramStart"/>
      <w:r w:rsidRPr="00E40E3E">
        <w:rPr>
          <w:sz w:val="22"/>
          <w:szCs w:val="22"/>
        </w:rPr>
        <w:t>the there</w:t>
      </w:r>
      <w:proofErr w:type="gramEnd"/>
      <w:r w:rsidRPr="00E40E3E">
        <w:rPr>
          <w:sz w:val="22"/>
          <w:szCs w:val="22"/>
        </w:rPr>
        <w:t xml:space="preserve"> is a clear distinction between collection and distribution (Div. 06) and </w:t>
      </w:r>
      <w:proofErr w:type="gramStart"/>
      <w:r w:rsidRPr="00E40E3E">
        <w:rPr>
          <w:sz w:val="22"/>
          <w:szCs w:val="22"/>
        </w:rPr>
        <w:t>sewerage</w:t>
      </w:r>
      <w:proofErr w:type="gramEnd"/>
      <w:r w:rsidRPr="00E40E3E">
        <w:rPr>
          <w:sz w:val="22"/>
          <w:szCs w:val="22"/>
        </w:rPr>
        <w:t xml:space="preserve"> and purification (Div. 05)</w:t>
      </w:r>
    </w:p>
    <w:p w14:paraId="5BC83DE4" w14:textId="57345973" w:rsidR="005B47D3" w:rsidRDefault="005B47D3" w:rsidP="00D25872">
      <w:pPr>
        <w:pStyle w:val="ListParagraph"/>
        <w:numPr>
          <w:ilvl w:val="0"/>
          <w:numId w:val="27"/>
        </w:numPr>
        <w:spacing w:after="0" w:line="240" w:lineRule="auto"/>
        <w:jc w:val="both"/>
        <w:rPr>
          <w:sz w:val="22"/>
          <w:szCs w:val="22"/>
        </w:rPr>
      </w:pPr>
      <w:r w:rsidRPr="005B47D3">
        <w:rPr>
          <w:sz w:val="22"/>
          <w:szCs w:val="22"/>
        </w:rPr>
        <w:t>The removal of 06.4 (Street lighting) would in our view lead to a shift to 06.2 (Community development)</w:t>
      </w:r>
    </w:p>
    <w:p w14:paraId="471536AD" w14:textId="06034FED" w:rsidR="00BA404A" w:rsidRDefault="00BA404A" w:rsidP="00D25872">
      <w:pPr>
        <w:pStyle w:val="ListParagraph"/>
        <w:numPr>
          <w:ilvl w:val="0"/>
          <w:numId w:val="27"/>
        </w:numPr>
        <w:spacing w:after="0" w:line="240" w:lineRule="auto"/>
        <w:jc w:val="both"/>
        <w:rPr>
          <w:sz w:val="22"/>
          <w:szCs w:val="22"/>
        </w:rPr>
      </w:pPr>
      <w:r w:rsidRPr="00BA404A">
        <w:rPr>
          <w:sz w:val="22"/>
          <w:szCs w:val="22"/>
        </w:rPr>
        <w:t>Wastewater management is classified as environmental protection according to SEEA og</w:t>
      </w:r>
      <w:r>
        <w:rPr>
          <w:sz w:val="22"/>
          <w:szCs w:val="22"/>
        </w:rPr>
        <w:t xml:space="preserve"> [sic]</w:t>
      </w:r>
      <w:r w:rsidRPr="00BA404A">
        <w:rPr>
          <w:sz w:val="22"/>
          <w:szCs w:val="22"/>
        </w:rPr>
        <w:t xml:space="preserve"> CEP. We would prefer to keep it under 05 Environmental protection</w:t>
      </w:r>
    </w:p>
    <w:p w14:paraId="09F413CC" w14:textId="3CC247CA" w:rsidR="008B07AF" w:rsidRPr="008B07AF" w:rsidRDefault="00D65EB7" w:rsidP="008B07AF">
      <w:pPr>
        <w:pStyle w:val="ListParagraph"/>
        <w:numPr>
          <w:ilvl w:val="0"/>
          <w:numId w:val="27"/>
        </w:numPr>
        <w:spacing w:after="0" w:line="240" w:lineRule="auto"/>
        <w:jc w:val="both"/>
        <w:rPr>
          <w:sz w:val="22"/>
          <w:szCs w:val="22"/>
        </w:rPr>
      </w:pPr>
      <w:r>
        <w:rPr>
          <w:sz w:val="22"/>
          <w:szCs w:val="22"/>
        </w:rPr>
        <w:t>[S</w:t>
      </w:r>
      <w:r w:rsidR="008B07AF" w:rsidRPr="008B07AF">
        <w:rPr>
          <w:sz w:val="22"/>
          <w:szCs w:val="22"/>
        </w:rPr>
        <w:t>treet lighting] is not very important, and we propose discussing whether it could be grouped with group 06.2</w:t>
      </w:r>
    </w:p>
    <w:p w14:paraId="492A94A2" w14:textId="0448F338" w:rsidR="008B07AF" w:rsidRPr="0039008C" w:rsidRDefault="008B07AF" w:rsidP="008B07AF">
      <w:pPr>
        <w:pStyle w:val="ListParagraph"/>
        <w:numPr>
          <w:ilvl w:val="0"/>
          <w:numId w:val="27"/>
        </w:numPr>
        <w:spacing w:after="0" w:line="240" w:lineRule="auto"/>
        <w:jc w:val="both"/>
        <w:rPr>
          <w:sz w:val="22"/>
          <w:szCs w:val="22"/>
        </w:rPr>
      </w:pPr>
      <w:r w:rsidRPr="008B07AF">
        <w:rPr>
          <w:sz w:val="22"/>
          <w:szCs w:val="22"/>
        </w:rPr>
        <w:t xml:space="preserve">While </w:t>
      </w:r>
      <w:proofErr w:type="gramStart"/>
      <w:r w:rsidRPr="008B07AF">
        <w:rPr>
          <w:sz w:val="22"/>
          <w:szCs w:val="22"/>
        </w:rPr>
        <w:t>waste water</w:t>
      </w:r>
      <w:proofErr w:type="gramEnd"/>
      <w:r w:rsidRPr="008B07AF">
        <w:rPr>
          <w:sz w:val="22"/>
          <w:szCs w:val="22"/>
        </w:rPr>
        <w:t xml:space="preserve"> management has significant additional benefits in terms of public health, community development, etc. the primary purpose seems </w:t>
      </w:r>
      <w:proofErr w:type="gramStart"/>
      <w:r w:rsidRPr="008B07AF">
        <w:rPr>
          <w:sz w:val="22"/>
          <w:szCs w:val="22"/>
        </w:rPr>
        <w:t>environmental</w:t>
      </w:r>
      <w:proofErr w:type="gramEnd"/>
      <w:r w:rsidRPr="008B07AF">
        <w:rPr>
          <w:sz w:val="22"/>
          <w:szCs w:val="22"/>
        </w:rPr>
        <w:t xml:space="preserve"> protection. While expenditure may be incurred by the same government unit providing water supply, sewage networks are necessarily distinct from </w:t>
      </w:r>
      <w:proofErr w:type="gramStart"/>
      <w:r w:rsidRPr="008B07AF">
        <w:rPr>
          <w:sz w:val="22"/>
          <w:szCs w:val="22"/>
        </w:rPr>
        <w:t>fresh water</w:t>
      </w:r>
      <w:proofErr w:type="gramEnd"/>
      <w:r w:rsidRPr="008B07AF">
        <w:rPr>
          <w:sz w:val="22"/>
          <w:szCs w:val="22"/>
        </w:rPr>
        <w:t xml:space="preserve"> networks and use of the two is not necessarily coupled</w:t>
      </w:r>
    </w:p>
    <w:p w14:paraId="0BA44F0A" w14:textId="77777777" w:rsidR="00DA5E7B" w:rsidRDefault="00DA5E7B" w:rsidP="00450C7E">
      <w:pPr>
        <w:spacing w:after="0" w:line="240" w:lineRule="auto"/>
        <w:jc w:val="both"/>
        <w:rPr>
          <w:sz w:val="22"/>
          <w:szCs w:val="22"/>
        </w:rPr>
      </w:pPr>
    </w:p>
    <w:p w14:paraId="75117F60" w14:textId="77777777" w:rsidR="00D436F7" w:rsidRDefault="00D436F7" w:rsidP="00450C7E">
      <w:pPr>
        <w:spacing w:after="0" w:line="240" w:lineRule="auto"/>
        <w:jc w:val="both"/>
        <w:rPr>
          <w:sz w:val="22"/>
          <w:szCs w:val="22"/>
        </w:rPr>
      </w:pPr>
    </w:p>
    <w:p w14:paraId="0B342FCD" w14:textId="08B78A22" w:rsidR="00D436F7" w:rsidRPr="00B744EA" w:rsidRDefault="00D436F7" w:rsidP="00D436F7">
      <w:pPr>
        <w:spacing w:after="0" w:line="240" w:lineRule="auto"/>
        <w:rPr>
          <w:sz w:val="22"/>
          <w:szCs w:val="22"/>
          <w:u w:val="single"/>
        </w:rPr>
      </w:pPr>
      <w:r w:rsidRPr="00B744EA">
        <w:rPr>
          <w:sz w:val="22"/>
          <w:szCs w:val="22"/>
          <w:u w:val="single"/>
        </w:rPr>
        <w:t>A0</w:t>
      </w:r>
      <w:r>
        <w:rPr>
          <w:sz w:val="22"/>
          <w:szCs w:val="22"/>
          <w:u w:val="single"/>
        </w:rPr>
        <w:t>7  Health</w:t>
      </w:r>
    </w:p>
    <w:p w14:paraId="6C1A9247" w14:textId="77777777" w:rsidR="00D436F7" w:rsidRDefault="00D436F7" w:rsidP="00D436F7">
      <w:pPr>
        <w:spacing w:after="0" w:line="240" w:lineRule="auto"/>
        <w:jc w:val="both"/>
        <w:rPr>
          <w:sz w:val="22"/>
          <w:szCs w:val="22"/>
        </w:rPr>
      </w:pPr>
    </w:p>
    <w:p w14:paraId="7CB58DAE" w14:textId="3CE1D84E" w:rsidR="006D1A2A" w:rsidRDefault="006D1A2A" w:rsidP="006D1A2A">
      <w:pPr>
        <w:spacing w:after="0" w:line="240" w:lineRule="auto"/>
        <w:jc w:val="both"/>
        <w:rPr>
          <w:sz w:val="22"/>
          <w:szCs w:val="22"/>
        </w:rPr>
      </w:pPr>
      <w:r>
        <w:rPr>
          <w:sz w:val="22"/>
          <w:szCs w:val="22"/>
        </w:rPr>
        <w:t>Original proposals:</w:t>
      </w:r>
    </w:p>
    <w:tbl>
      <w:tblPr>
        <w:tblW w:w="991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2"/>
      </w:tblGrid>
      <w:tr w:rsidR="006D1A2A" w14:paraId="582FA147" w14:textId="77777777" w:rsidTr="0061129D">
        <w:trPr>
          <w:trHeight w:val="1070"/>
        </w:trPr>
        <w:tc>
          <w:tcPr>
            <w:tcW w:w="9912" w:type="dxa"/>
          </w:tcPr>
          <w:p w14:paraId="08773E0A" w14:textId="77777777" w:rsidR="006D1A2A" w:rsidRPr="00386114" w:rsidRDefault="006D1A2A" w:rsidP="00D25872">
            <w:pPr>
              <w:pStyle w:val="ListParagraph"/>
              <w:numPr>
                <w:ilvl w:val="0"/>
                <w:numId w:val="41"/>
              </w:numPr>
              <w:spacing w:line="240" w:lineRule="auto"/>
              <w:ind w:left="360"/>
              <w:jc w:val="both"/>
              <w:rPr>
                <w:sz w:val="22"/>
                <w:szCs w:val="22"/>
              </w:rPr>
            </w:pPr>
            <w:r w:rsidRPr="00386114">
              <w:rPr>
                <w:sz w:val="22"/>
                <w:szCs w:val="22"/>
              </w:rPr>
              <w:t>Revise the Division to distinguish between preventing and curative healthcare</w:t>
            </w:r>
          </w:p>
          <w:p w14:paraId="6193A9D2" w14:textId="77777777" w:rsidR="006D1A2A" w:rsidRPr="00386114" w:rsidRDefault="006D1A2A" w:rsidP="00D25872">
            <w:pPr>
              <w:pStyle w:val="ListParagraph"/>
              <w:numPr>
                <w:ilvl w:val="0"/>
                <w:numId w:val="41"/>
              </w:numPr>
              <w:spacing w:line="240" w:lineRule="auto"/>
              <w:ind w:left="360"/>
              <w:jc w:val="both"/>
              <w:rPr>
                <w:sz w:val="22"/>
                <w:szCs w:val="22"/>
              </w:rPr>
            </w:pPr>
            <w:r w:rsidRPr="00386114">
              <w:rPr>
                <w:sz w:val="22"/>
                <w:szCs w:val="22"/>
              </w:rPr>
              <w:t>Add new categories for “Disease prevention and control” and “Health promotion activities” and revise the definition of 07.6 (Health n.e.c.) to exclude these</w:t>
            </w:r>
          </w:p>
          <w:p w14:paraId="78E6D339" w14:textId="77777777" w:rsidR="006D1A2A" w:rsidRPr="00386114" w:rsidRDefault="006D1A2A" w:rsidP="00D25872">
            <w:pPr>
              <w:pStyle w:val="ListParagraph"/>
              <w:numPr>
                <w:ilvl w:val="0"/>
                <w:numId w:val="41"/>
              </w:numPr>
              <w:spacing w:line="240" w:lineRule="auto"/>
              <w:ind w:left="360"/>
              <w:jc w:val="both"/>
              <w:rPr>
                <w:sz w:val="22"/>
                <w:szCs w:val="22"/>
              </w:rPr>
            </w:pPr>
            <w:r w:rsidRPr="00386114">
              <w:rPr>
                <w:sz w:val="22"/>
                <w:szCs w:val="22"/>
              </w:rPr>
              <w:t xml:space="preserve">Improve alignment with the System of Health Accounts (SHA 2011), </w:t>
            </w:r>
            <w:proofErr w:type="gramStart"/>
            <w:r w:rsidRPr="00386114">
              <w:rPr>
                <w:sz w:val="22"/>
                <w:szCs w:val="22"/>
              </w:rPr>
              <w:t>including to</w:t>
            </w:r>
            <w:proofErr w:type="gramEnd"/>
            <w:r w:rsidRPr="00386114">
              <w:rPr>
                <w:sz w:val="22"/>
                <w:szCs w:val="22"/>
              </w:rPr>
              <w:t>:</w:t>
            </w:r>
          </w:p>
          <w:p w14:paraId="4A422E2A" w14:textId="77777777" w:rsidR="006D1A2A" w:rsidRPr="00386114" w:rsidRDefault="006D1A2A" w:rsidP="00D25872">
            <w:pPr>
              <w:pStyle w:val="ListParagraph"/>
              <w:numPr>
                <w:ilvl w:val="0"/>
                <w:numId w:val="12"/>
              </w:numPr>
              <w:spacing w:line="240" w:lineRule="auto"/>
              <w:ind w:left="720"/>
              <w:jc w:val="both"/>
              <w:rPr>
                <w:sz w:val="22"/>
                <w:szCs w:val="22"/>
              </w:rPr>
            </w:pPr>
            <w:r w:rsidRPr="00386114">
              <w:rPr>
                <w:sz w:val="22"/>
                <w:szCs w:val="22"/>
              </w:rPr>
              <w:t>Add “Rehabilitative care services,” “Long-term care health services” and “Ancillary services”</w:t>
            </w:r>
          </w:p>
          <w:p w14:paraId="67F1CFDB" w14:textId="77777777" w:rsidR="006D1A2A" w:rsidRPr="00386114" w:rsidRDefault="006D1A2A" w:rsidP="00D25872">
            <w:pPr>
              <w:pStyle w:val="ListParagraph"/>
              <w:numPr>
                <w:ilvl w:val="0"/>
                <w:numId w:val="12"/>
              </w:numPr>
              <w:spacing w:line="240" w:lineRule="auto"/>
              <w:ind w:left="720"/>
              <w:jc w:val="both"/>
              <w:rPr>
                <w:sz w:val="22"/>
                <w:szCs w:val="22"/>
              </w:rPr>
            </w:pPr>
            <w:r w:rsidRPr="00386114">
              <w:rPr>
                <w:sz w:val="22"/>
                <w:szCs w:val="22"/>
              </w:rPr>
              <w:t>Split 07.4 (Public health services) into “Individual preventive services” and “Collective services”</w:t>
            </w:r>
          </w:p>
          <w:p w14:paraId="42BFF327" w14:textId="77777777" w:rsidR="006D1A2A" w:rsidRPr="00386114" w:rsidRDefault="006D1A2A" w:rsidP="00D25872">
            <w:pPr>
              <w:pStyle w:val="ListParagraph"/>
              <w:numPr>
                <w:ilvl w:val="0"/>
                <w:numId w:val="12"/>
              </w:numPr>
              <w:spacing w:line="240" w:lineRule="auto"/>
              <w:ind w:left="720"/>
              <w:jc w:val="both"/>
              <w:rPr>
                <w:sz w:val="22"/>
                <w:szCs w:val="22"/>
              </w:rPr>
            </w:pPr>
            <w:r w:rsidRPr="00386114">
              <w:rPr>
                <w:sz w:val="22"/>
                <w:szCs w:val="22"/>
              </w:rPr>
              <w:t>Add a new subcategory for “Immunization services”</w:t>
            </w:r>
          </w:p>
          <w:p w14:paraId="58DFFCE7" w14:textId="77777777" w:rsidR="006D1A2A" w:rsidRPr="00386114" w:rsidRDefault="006D1A2A" w:rsidP="00D25872">
            <w:pPr>
              <w:pStyle w:val="ListParagraph"/>
              <w:numPr>
                <w:ilvl w:val="0"/>
                <w:numId w:val="12"/>
              </w:numPr>
              <w:spacing w:line="240" w:lineRule="auto"/>
              <w:ind w:left="720"/>
              <w:jc w:val="both"/>
              <w:rPr>
                <w:sz w:val="22"/>
                <w:szCs w:val="22"/>
              </w:rPr>
            </w:pPr>
            <w:r w:rsidRPr="00386114">
              <w:rPr>
                <w:sz w:val="22"/>
                <w:szCs w:val="22"/>
              </w:rPr>
              <w:t>Reclassify foreign aid to health from 01.2 (Foreign economic aid) to Division 07</w:t>
            </w:r>
          </w:p>
          <w:p w14:paraId="23F60CAD" w14:textId="77777777" w:rsidR="006D1A2A" w:rsidRPr="00386114" w:rsidRDefault="006D1A2A" w:rsidP="00D25872">
            <w:pPr>
              <w:pStyle w:val="ListParagraph"/>
              <w:numPr>
                <w:ilvl w:val="0"/>
                <w:numId w:val="12"/>
              </w:numPr>
              <w:spacing w:line="240" w:lineRule="auto"/>
              <w:ind w:left="720"/>
              <w:jc w:val="both"/>
              <w:rPr>
                <w:sz w:val="22"/>
                <w:szCs w:val="22"/>
              </w:rPr>
            </w:pPr>
            <w:r w:rsidRPr="00386114">
              <w:rPr>
                <w:sz w:val="22"/>
                <w:szCs w:val="22"/>
              </w:rPr>
              <w:t>Revise the definition of 07.1 (Medical products, appliances and equipment)</w:t>
            </w:r>
          </w:p>
          <w:p w14:paraId="31510BC3" w14:textId="77777777" w:rsidR="006D1A2A" w:rsidRPr="00386114" w:rsidRDefault="006D1A2A" w:rsidP="00D25872">
            <w:pPr>
              <w:pStyle w:val="ListParagraph"/>
              <w:numPr>
                <w:ilvl w:val="0"/>
                <w:numId w:val="12"/>
              </w:numPr>
              <w:spacing w:line="240" w:lineRule="auto"/>
              <w:ind w:left="720"/>
              <w:jc w:val="both"/>
              <w:rPr>
                <w:sz w:val="22"/>
                <w:szCs w:val="22"/>
              </w:rPr>
            </w:pPr>
            <w:r w:rsidRPr="00386114">
              <w:rPr>
                <w:sz w:val="22"/>
                <w:szCs w:val="22"/>
              </w:rPr>
              <w:t>Rename 07.3 (Hospital services) to “Inpatient services”</w:t>
            </w:r>
          </w:p>
          <w:p w14:paraId="0D3CF330" w14:textId="77777777" w:rsidR="006D1A2A" w:rsidRPr="00386114" w:rsidRDefault="006D1A2A" w:rsidP="00D25872">
            <w:pPr>
              <w:pStyle w:val="ListParagraph"/>
              <w:numPr>
                <w:ilvl w:val="0"/>
                <w:numId w:val="40"/>
              </w:numPr>
              <w:spacing w:line="240" w:lineRule="auto"/>
              <w:ind w:left="360"/>
              <w:jc w:val="both"/>
              <w:rPr>
                <w:sz w:val="22"/>
                <w:szCs w:val="22"/>
              </w:rPr>
            </w:pPr>
            <w:r w:rsidRPr="00386114">
              <w:rPr>
                <w:sz w:val="22"/>
                <w:szCs w:val="22"/>
              </w:rPr>
              <w:t>Improve alignment with other health related classifications/frameworks including the Classification of Health Care Functions (ICHA-HC)</w:t>
            </w:r>
          </w:p>
          <w:p w14:paraId="764A2684" w14:textId="77777777" w:rsidR="006D1A2A" w:rsidRPr="00386114" w:rsidRDefault="006D1A2A" w:rsidP="00D25872">
            <w:pPr>
              <w:pStyle w:val="ListParagraph"/>
              <w:numPr>
                <w:ilvl w:val="0"/>
                <w:numId w:val="40"/>
              </w:numPr>
              <w:spacing w:line="240" w:lineRule="auto"/>
              <w:ind w:left="360"/>
              <w:jc w:val="both"/>
              <w:rPr>
                <w:sz w:val="22"/>
                <w:szCs w:val="22"/>
              </w:rPr>
            </w:pPr>
            <w:r w:rsidRPr="00386114">
              <w:rPr>
                <w:sz w:val="22"/>
                <w:szCs w:val="22"/>
              </w:rPr>
              <w:t>Consider potential overlap with A10 (Social protection)</w:t>
            </w:r>
          </w:p>
          <w:p w14:paraId="56F38B30" w14:textId="5DBF0576" w:rsidR="006D1A2A" w:rsidRPr="006D1A2A" w:rsidRDefault="006D1A2A" w:rsidP="00D25872">
            <w:pPr>
              <w:pStyle w:val="ListParagraph"/>
              <w:numPr>
                <w:ilvl w:val="0"/>
                <w:numId w:val="40"/>
              </w:numPr>
              <w:spacing w:line="240" w:lineRule="auto"/>
              <w:ind w:left="360"/>
              <w:jc w:val="both"/>
              <w:rPr>
                <w:sz w:val="22"/>
                <w:szCs w:val="22"/>
              </w:rPr>
            </w:pPr>
            <w:r w:rsidRPr="00386114">
              <w:rPr>
                <w:sz w:val="22"/>
                <w:szCs w:val="22"/>
              </w:rPr>
              <w:t>Treatment of “digital health”</w:t>
            </w:r>
          </w:p>
        </w:tc>
      </w:tr>
    </w:tbl>
    <w:p w14:paraId="041C847A" w14:textId="77777777" w:rsidR="006D1A2A" w:rsidRDefault="006D1A2A" w:rsidP="00D436F7">
      <w:pPr>
        <w:spacing w:after="0" w:line="240" w:lineRule="auto"/>
        <w:jc w:val="both"/>
        <w:rPr>
          <w:sz w:val="22"/>
          <w:szCs w:val="22"/>
        </w:rPr>
      </w:pPr>
    </w:p>
    <w:p w14:paraId="526AA095" w14:textId="77777777" w:rsidR="00D436F7" w:rsidRPr="0039008C" w:rsidRDefault="00D436F7" w:rsidP="00D436F7">
      <w:pPr>
        <w:spacing w:after="0" w:line="240" w:lineRule="auto"/>
        <w:jc w:val="both"/>
        <w:rPr>
          <w:sz w:val="22"/>
          <w:szCs w:val="22"/>
        </w:rPr>
      </w:pPr>
      <w:r>
        <w:rPr>
          <w:sz w:val="22"/>
          <w:szCs w:val="22"/>
        </w:rPr>
        <w:lastRenderedPageBreak/>
        <w:t>Additional proposals:</w:t>
      </w:r>
    </w:p>
    <w:p w14:paraId="5F9F5875" w14:textId="01D48379" w:rsidR="00D436F7" w:rsidRPr="0039008C" w:rsidRDefault="00345DD4" w:rsidP="00D25872">
      <w:pPr>
        <w:pStyle w:val="ListParagraph"/>
        <w:numPr>
          <w:ilvl w:val="0"/>
          <w:numId w:val="27"/>
        </w:numPr>
        <w:spacing w:after="0" w:line="240" w:lineRule="auto"/>
        <w:jc w:val="both"/>
        <w:rPr>
          <w:sz w:val="22"/>
          <w:szCs w:val="22"/>
        </w:rPr>
      </w:pPr>
      <w:r>
        <w:rPr>
          <w:sz w:val="22"/>
          <w:szCs w:val="22"/>
        </w:rPr>
        <w:t>Consider c</w:t>
      </w:r>
      <w:r w:rsidRPr="00345DD4">
        <w:rPr>
          <w:sz w:val="22"/>
          <w:szCs w:val="22"/>
        </w:rPr>
        <w:t>orrespondence between SHA and ICHA-HC</w:t>
      </w:r>
      <w:r w:rsidR="006C667E">
        <w:rPr>
          <w:sz w:val="22"/>
          <w:szCs w:val="22"/>
        </w:rPr>
        <w:t>,</w:t>
      </w:r>
      <w:r w:rsidR="006C667E" w:rsidRPr="006C667E">
        <w:t xml:space="preserve"> </w:t>
      </w:r>
      <w:r w:rsidR="006C667E" w:rsidRPr="006C667E">
        <w:rPr>
          <w:sz w:val="22"/>
          <w:szCs w:val="22"/>
        </w:rPr>
        <w:t>explain in a new COFOG manual</w:t>
      </w:r>
    </w:p>
    <w:p w14:paraId="7F1162A8" w14:textId="0E59698C" w:rsidR="00D436F7" w:rsidRDefault="00CA0DF0" w:rsidP="00D25872">
      <w:pPr>
        <w:pStyle w:val="ListParagraph"/>
        <w:numPr>
          <w:ilvl w:val="0"/>
          <w:numId w:val="27"/>
        </w:numPr>
        <w:spacing w:after="0" w:line="240" w:lineRule="auto"/>
        <w:jc w:val="both"/>
        <w:rPr>
          <w:sz w:val="22"/>
          <w:szCs w:val="22"/>
        </w:rPr>
      </w:pPr>
      <w:r w:rsidRPr="00CA0DF0">
        <w:rPr>
          <w:sz w:val="22"/>
          <w:szCs w:val="22"/>
        </w:rPr>
        <w:t>07.1 especially needs clarification</w:t>
      </w:r>
    </w:p>
    <w:p w14:paraId="5F692181" w14:textId="77777777" w:rsidR="00CA0DF0" w:rsidRPr="00CA0DF0" w:rsidRDefault="00CA0DF0" w:rsidP="00D25872">
      <w:pPr>
        <w:pStyle w:val="ListParagraph"/>
        <w:numPr>
          <w:ilvl w:val="0"/>
          <w:numId w:val="27"/>
        </w:numPr>
        <w:rPr>
          <w:sz w:val="22"/>
          <w:szCs w:val="22"/>
        </w:rPr>
      </w:pPr>
      <w:r w:rsidRPr="00CA0DF0">
        <w:rPr>
          <w:sz w:val="22"/>
          <w:szCs w:val="22"/>
        </w:rPr>
        <w:t>Preventive services and immunization services categories should be developed in parallel with SHA ICHA-HC 6.1-6.6 groups</w:t>
      </w:r>
    </w:p>
    <w:p w14:paraId="5902C549" w14:textId="3146FF53" w:rsidR="00D436F7" w:rsidRDefault="00CA0DF0" w:rsidP="00D25872">
      <w:pPr>
        <w:pStyle w:val="ListParagraph"/>
        <w:numPr>
          <w:ilvl w:val="0"/>
          <w:numId w:val="27"/>
        </w:numPr>
        <w:spacing w:line="240" w:lineRule="auto"/>
        <w:rPr>
          <w:sz w:val="22"/>
          <w:szCs w:val="22"/>
        </w:rPr>
      </w:pPr>
      <w:r w:rsidRPr="00CA0DF0">
        <w:rPr>
          <w:sz w:val="22"/>
          <w:szCs w:val="22"/>
        </w:rPr>
        <w:t xml:space="preserve">Essential that the SHA methodology, based on a series of international manuals and guidelines on health spending, has direct and compatible </w:t>
      </w:r>
      <w:proofErr w:type="gramStart"/>
      <w:r w:rsidRPr="00CA0DF0">
        <w:rPr>
          <w:sz w:val="22"/>
          <w:szCs w:val="22"/>
        </w:rPr>
        <w:t>relationship</w:t>
      </w:r>
      <w:proofErr w:type="gramEnd"/>
      <w:r w:rsidRPr="00CA0DF0">
        <w:rPr>
          <w:sz w:val="22"/>
          <w:szCs w:val="22"/>
        </w:rPr>
        <w:t xml:space="preserve"> with, especially in inpatient and outpatient care and its sublevels</w:t>
      </w:r>
    </w:p>
    <w:p w14:paraId="5A575DE8" w14:textId="77E3AFF1" w:rsidR="00D436F7" w:rsidRPr="00B162CE" w:rsidRDefault="00E45B1F" w:rsidP="00D25872">
      <w:pPr>
        <w:pStyle w:val="ListParagraph"/>
        <w:numPr>
          <w:ilvl w:val="0"/>
          <w:numId w:val="27"/>
        </w:numPr>
        <w:spacing w:line="240" w:lineRule="auto"/>
        <w:rPr>
          <w:sz w:val="22"/>
          <w:szCs w:val="22"/>
        </w:rPr>
      </w:pPr>
      <w:r w:rsidRPr="00E45B1F">
        <w:rPr>
          <w:sz w:val="22"/>
          <w:szCs w:val="22"/>
        </w:rPr>
        <w:t>Consider adding text to cover pandemic planning and mitigation</w:t>
      </w:r>
    </w:p>
    <w:p w14:paraId="64BA65B2" w14:textId="77777777" w:rsidR="00D436F7" w:rsidRPr="003A32A6" w:rsidRDefault="00D436F7" w:rsidP="00D436F7">
      <w:pPr>
        <w:spacing w:after="0" w:line="240" w:lineRule="auto"/>
        <w:jc w:val="both"/>
        <w:rPr>
          <w:sz w:val="22"/>
          <w:szCs w:val="22"/>
        </w:rPr>
      </w:pPr>
      <w:r>
        <w:rPr>
          <w:sz w:val="22"/>
          <w:szCs w:val="22"/>
        </w:rPr>
        <w:t>Concerns/objections:</w:t>
      </w:r>
    </w:p>
    <w:p w14:paraId="5DDC4464" w14:textId="77C1A511" w:rsidR="00D436F7" w:rsidRDefault="0003677A" w:rsidP="00D25872">
      <w:pPr>
        <w:pStyle w:val="ListParagraph"/>
        <w:numPr>
          <w:ilvl w:val="0"/>
          <w:numId w:val="27"/>
        </w:numPr>
        <w:spacing w:after="0" w:line="240" w:lineRule="auto"/>
        <w:jc w:val="both"/>
        <w:rPr>
          <w:sz w:val="22"/>
          <w:szCs w:val="22"/>
        </w:rPr>
      </w:pPr>
      <w:r w:rsidRPr="0003677A">
        <w:rPr>
          <w:sz w:val="22"/>
          <w:szCs w:val="22"/>
        </w:rPr>
        <w:t>Treatment of digital health. Not sure what is meant</w:t>
      </w:r>
      <w:r w:rsidR="00F85A37">
        <w:rPr>
          <w:sz w:val="22"/>
          <w:szCs w:val="22"/>
        </w:rPr>
        <w:t xml:space="preserve">; </w:t>
      </w:r>
      <w:proofErr w:type="gramStart"/>
      <w:r w:rsidR="00F85A37" w:rsidRPr="00F85A37">
        <w:rPr>
          <w:sz w:val="22"/>
          <w:szCs w:val="22"/>
        </w:rPr>
        <w:t>would</w:t>
      </w:r>
      <w:proofErr w:type="gramEnd"/>
      <w:r w:rsidR="00F85A37" w:rsidRPr="00F85A37">
        <w:rPr>
          <w:sz w:val="22"/>
          <w:szCs w:val="22"/>
        </w:rPr>
        <w:t xml:space="preserve"> be very hard to identify</w:t>
      </w:r>
      <w:r w:rsidR="00552EBE">
        <w:rPr>
          <w:sz w:val="22"/>
          <w:szCs w:val="22"/>
        </w:rPr>
        <w:t>; not necessary</w:t>
      </w:r>
    </w:p>
    <w:p w14:paraId="68D1F0D0" w14:textId="38112498" w:rsidR="00EC4929" w:rsidRDefault="00EC4929" w:rsidP="00D25872">
      <w:pPr>
        <w:pStyle w:val="ListParagraph"/>
        <w:numPr>
          <w:ilvl w:val="0"/>
          <w:numId w:val="27"/>
        </w:numPr>
        <w:spacing w:after="0" w:line="240" w:lineRule="auto"/>
        <w:jc w:val="both"/>
        <w:rPr>
          <w:sz w:val="22"/>
          <w:szCs w:val="22"/>
        </w:rPr>
      </w:pPr>
      <w:r>
        <w:rPr>
          <w:sz w:val="22"/>
          <w:szCs w:val="22"/>
        </w:rPr>
        <w:t>D</w:t>
      </w:r>
      <w:r w:rsidRPr="00EC4929">
        <w:rPr>
          <w:sz w:val="22"/>
          <w:szCs w:val="22"/>
        </w:rPr>
        <w:t>etail proposed in the COFOG revision would mean 1) deeply redefining COFOG methods, sources and definitions; 2) being extremely clear in defining at what digit the SHA-COFOG alignment should be achieved; 3) the proposal to divide groups into individual and collective classes would mean achieving the distinction between collective and individual services at the four-digit level</w:t>
      </w:r>
    </w:p>
    <w:p w14:paraId="0E8FA1F6" w14:textId="792A0EAF" w:rsidR="006C4E11" w:rsidRDefault="006C4E11" w:rsidP="00D25872">
      <w:pPr>
        <w:pStyle w:val="ListParagraph"/>
        <w:numPr>
          <w:ilvl w:val="0"/>
          <w:numId w:val="27"/>
        </w:numPr>
        <w:spacing w:after="0" w:line="240" w:lineRule="auto"/>
        <w:jc w:val="both"/>
        <w:rPr>
          <w:sz w:val="22"/>
          <w:szCs w:val="22"/>
        </w:rPr>
      </w:pPr>
      <w:r w:rsidRPr="006C4E11">
        <w:rPr>
          <w:sz w:val="22"/>
          <w:szCs w:val="22"/>
        </w:rPr>
        <w:t xml:space="preserve">If changing definitions to inpatient and outpatient services, definitions need to be clear about day and home-based services. </w:t>
      </w:r>
      <w:proofErr w:type="gramStart"/>
      <w:r w:rsidRPr="006C4E11">
        <w:rPr>
          <w:sz w:val="22"/>
          <w:szCs w:val="22"/>
        </w:rPr>
        <w:t>Convention</w:t>
      </w:r>
      <w:proofErr w:type="gramEnd"/>
      <w:r w:rsidRPr="006C4E11">
        <w:rPr>
          <w:sz w:val="22"/>
          <w:szCs w:val="22"/>
        </w:rPr>
        <w:t xml:space="preserve"> is to bundle day care with inpatient care and home-based care with outpatient car</w:t>
      </w:r>
      <w:r>
        <w:rPr>
          <w:sz w:val="22"/>
          <w:szCs w:val="22"/>
        </w:rPr>
        <w:t>e</w:t>
      </w:r>
    </w:p>
    <w:p w14:paraId="3CC396D6" w14:textId="0B380ABB" w:rsidR="000D287E" w:rsidRDefault="000D287E" w:rsidP="00D25872">
      <w:pPr>
        <w:pStyle w:val="ListParagraph"/>
        <w:numPr>
          <w:ilvl w:val="0"/>
          <w:numId w:val="27"/>
        </w:numPr>
        <w:spacing w:after="0" w:line="240" w:lineRule="auto"/>
        <w:jc w:val="both"/>
        <w:rPr>
          <w:sz w:val="22"/>
          <w:szCs w:val="22"/>
        </w:rPr>
      </w:pPr>
      <w:r>
        <w:rPr>
          <w:sz w:val="22"/>
          <w:szCs w:val="22"/>
        </w:rPr>
        <w:t>G</w:t>
      </w:r>
      <w:r w:rsidRPr="000D287E">
        <w:rPr>
          <w:sz w:val="22"/>
          <w:szCs w:val="22"/>
        </w:rPr>
        <w:t>uidance would have to be clear on what the distinction is between LTC and social protection</w:t>
      </w:r>
    </w:p>
    <w:p w14:paraId="364A3963" w14:textId="51B66A6E" w:rsidR="00E64E2D" w:rsidRPr="00CA0DF0" w:rsidRDefault="0027741C" w:rsidP="00D25872">
      <w:pPr>
        <w:pStyle w:val="ListParagraph"/>
        <w:numPr>
          <w:ilvl w:val="0"/>
          <w:numId w:val="27"/>
        </w:numPr>
        <w:spacing w:after="0" w:line="240" w:lineRule="auto"/>
        <w:jc w:val="both"/>
        <w:rPr>
          <w:sz w:val="22"/>
          <w:szCs w:val="22"/>
        </w:rPr>
      </w:pPr>
      <w:r>
        <w:rPr>
          <w:sz w:val="22"/>
          <w:szCs w:val="22"/>
        </w:rPr>
        <w:t>T</w:t>
      </w:r>
      <w:r w:rsidRPr="0027741C">
        <w:rPr>
          <w:sz w:val="22"/>
          <w:szCs w:val="22"/>
        </w:rPr>
        <w:t>oo many new breakdowns are being proposed</w:t>
      </w:r>
    </w:p>
    <w:p w14:paraId="0188E88E" w14:textId="77777777" w:rsidR="00552EBE" w:rsidRDefault="006F26E6" w:rsidP="00D25872">
      <w:pPr>
        <w:pStyle w:val="ListParagraph"/>
        <w:numPr>
          <w:ilvl w:val="0"/>
          <w:numId w:val="27"/>
        </w:numPr>
        <w:spacing w:after="0" w:line="240" w:lineRule="auto"/>
        <w:jc w:val="both"/>
        <w:rPr>
          <w:sz w:val="22"/>
          <w:szCs w:val="22"/>
        </w:rPr>
      </w:pPr>
      <w:proofErr w:type="gramStart"/>
      <w:r w:rsidRPr="006F26E6">
        <w:rPr>
          <w:sz w:val="22"/>
          <w:szCs w:val="22"/>
        </w:rPr>
        <w:t>Not</w:t>
      </w:r>
      <w:proofErr w:type="gramEnd"/>
      <w:r w:rsidRPr="006F26E6">
        <w:rPr>
          <w:sz w:val="22"/>
          <w:szCs w:val="22"/>
        </w:rPr>
        <w:t xml:space="preserve"> necessary to rename Hospital services to inpatient services as government hospital</w:t>
      </w:r>
    </w:p>
    <w:p w14:paraId="3D643971" w14:textId="7C4E503F" w:rsidR="006F26E6" w:rsidRDefault="00552EBE" w:rsidP="00D25872">
      <w:pPr>
        <w:pStyle w:val="ListParagraph"/>
        <w:numPr>
          <w:ilvl w:val="0"/>
          <w:numId w:val="27"/>
        </w:numPr>
        <w:spacing w:after="0" w:line="240" w:lineRule="auto"/>
        <w:jc w:val="both"/>
        <w:rPr>
          <w:sz w:val="22"/>
          <w:szCs w:val="22"/>
        </w:rPr>
      </w:pPr>
      <w:r>
        <w:rPr>
          <w:sz w:val="22"/>
          <w:szCs w:val="22"/>
        </w:rPr>
        <w:t>N</w:t>
      </w:r>
      <w:r w:rsidR="006F26E6" w:rsidRPr="006F26E6">
        <w:rPr>
          <w:sz w:val="22"/>
          <w:szCs w:val="22"/>
        </w:rPr>
        <w:t>o need to create a new category for “Disease prevention and control” and “Health promotion activities”</w:t>
      </w:r>
    </w:p>
    <w:p w14:paraId="12C929A5" w14:textId="77777777" w:rsidR="00CA0DF0" w:rsidRDefault="00CA0DF0" w:rsidP="00D25872">
      <w:pPr>
        <w:pStyle w:val="ListParagraph"/>
        <w:numPr>
          <w:ilvl w:val="0"/>
          <w:numId w:val="27"/>
        </w:numPr>
        <w:spacing w:after="0" w:line="240" w:lineRule="auto"/>
        <w:jc w:val="both"/>
        <w:rPr>
          <w:sz w:val="22"/>
          <w:szCs w:val="22"/>
        </w:rPr>
      </w:pPr>
      <w:r w:rsidRPr="00CA0DF0">
        <w:rPr>
          <w:sz w:val="22"/>
          <w:szCs w:val="22"/>
        </w:rPr>
        <w:t>Be wary about alignment with SHA 2011 given its dated nature but definitely need to look at ICHA and ICD</w:t>
      </w:r>
    </w:p>
    <w:p w14:paraId="6413C59F" w14:textId="43BBB2DA" w:rsidR="00CA0DF0" w:rsidRDefault="00CA0DF0" w:rsidP="00D25872">
      <w:pPr>
        <w:pStyle w:val="ListParagraph"/>
        <w:numPr>
          <w:ilvl w:val="0"/>
          <w:numId w:val="27"/>
        </w:numPr>
        <w:spacing w:after="0" w:line="240" w:lineRule="auto"/>
        <w:jc w:val="both"/>
        <w:rPr>
          <w:sz w:val="22"/>
          <w:szCs w:val="22"/>
        </w:rPr>
      </w:pPr>
      <w:r w:rsidRPr="00CA0DF0">
        <w:rPr>
          <w:sz w:val="22"/>
          <w:szCs w:val="22"/>
        </w:rPr>
        <w:t>Greater coverage on outlays for aged care support both in terms of residential facilities in the community and state facilities such as hospitals, as well as support through dementia care services and welfare. Immunization/pandemic outlays also need coverage</w:t>
      </w:r>
    </w:p>
    <w:p w14:paraId="7124438B" w14:textId="1E79ADDA" w:rsidR="00BD2B1C" w:rsidRPr="00BD2B1C" w:rsidRDefault="00BD2B1C" w:rsidP="00BD2B1C">
      <w:pPr>
        <w:pStyle w:val="ListParagraph"/>
        <w:numPr>
          <w:ilvl w:val="0"/>
          <w:numId w:val="27"/>
        </w:numPr>
        <w:spacing w:after="0" w:line="240" w:lineRule="auto"/>
        <w:jc w:val="both"/>
        <w:rPr>
          <w:sz w:val="22"/>
          <w:szCs w:val="22"/>
        </w:rPr>
      </w:pPr>
      <w:r w:rsidRPr="00BD2B1C">
        <w:rPr>
          <w:sz w:val="22"/>
          <w:szCs w:val="22"/>
        </w:rPr>
        <w:t>Ancillary services are generally not captured in NA</w:t>
      </w:r>
    </w:p>
    <w:p w14:paraId="3049BD71" w14:textId="3D0F4097" w:rsidR="00BD2B1C" w:rsidRPr="0039008C" w:rsidRDefault="00BD2B1C" w:rsidP="00BD2B1C">
      <w:pPr>
        <w:pStyle w:val="ListParagraph"/>
        <w:numPr>
          <w:ilvl w:val="0"/>
          <w:numId w:val="27"/>
        </w:numPr>
        <w:spacing w:after="0" w:line="240" w:lineRule="auto"/>
        <w:jc w:val="both"/>
        <w:rPr>
          <w:sz w:val="22"/>
          <w:szCs w:val="22"/>
        </w:rPr>
      </w:pPr>
      <w:r w:rsidRPr="00BD2B1C">
        <w:rPr>
          <w:sz w:val="22"/>
          <w:szCs w:val="22"/>
        </w:rPr>
        <w:t xml:space="preserve">Why should "digital health" not be treated in the same way as traditional, </w:t>
      </w:r>
      <w:proofErr w:type="gramStart"/>
      <w:r w:rsidRPr="00BD2B1C">
        <w:rPr>
          <w:sz w:val="22"/>
          <w:szCs w:val="22"/>
        </w:rPr>
        <w:t>in person</w:t>
      </w:r>
      <w:proofErr w:type="gramEnd"/>
      <w:r w:rsidRPr="00BD2B1C">
        <w:rPr>
          <w:sz w:val="22"/>
          <w:szCs w:val="22"/>
        </w:rPr>
        <w:t xml:space="preserve"> services. It is just a means to an end, not a distinct purpose</w:t>
      </w:r>
    </w:p>
    <w:p w14:paraId="605536B2" w14:textId="77777777" w:rsidR="003A32A6" w:rsidRDefault="003A32A6" w:rsidP="00450C7E">
      <w:pPr>
        <w:spacing w:after="0" w:line="240" w:lineRule="auto"/>
        <w:jc w:val="both"/>
        <w:rPr>
          <w:sz w:val="22"/>
          <w:szCs w:val="22"/>
        </w:rPr>
      </w:pPr>
    </w:p>
    <w:p w14:paraId="6341CADF" w14:textId="77777777" w:rsidR="008D7F38" w:rsidRDefault="008D7F38" w:rsidP="00450C7E">
      <w:pPr>
        <w:spacing w:after="0" w:line="240" w:lineRule="auto"/>
        <w:jc w:val="both"/>
        <w:rPr>
          <w:sz w:val="22"/>
          <w:szCs w:val="22"/>
        </w:rPr>
      </w:pPr>
    </w:p>
    <w:p w14:paraId="0D75BC02" w14:textId="7CEF0F85" w:rsidR="008D7F38" w:rsidRDefault="007816C9" w:rsidP="008D7F38">
      <w:pPr>
        <w:spacing w:after="0" w:line="240" w:lineRule="auto"/>
        <w:jc w:val="both"/>
        <w:rPr>
          <w:sz w:val="22"/>
          <w:szCs w:val="22"/>
          <w:u w:val="single"/>
        </w:rPr>
      </w:pPr>
      <w:r w:rsidRPr="007816C9">
        <w:rPr>
          <w:sz w:val="22"/>
          <w:szCs w:val="22"/>
          <w:u w:val="single"/>
        </w:rPr>
        <w:t>A09. Education</w:t>
      </w:r>
    </w:p>
    <w:p w14:paraId="1DC6F8CC" w14:textId="77777777" w:rsidR="007816C9" w:rsidRDefault="007816C9" w:rsidP="008D7F38">
      <w:pPr>
        <w:spacing w:after="0" w:line="240" w:lineRule="auto"/>
        <w:jc w:val="both"/>
        <w:rPr>
          <w:sz w:val="22"/>
          <w:szCs w:val="22"/>
        </w:rPr>
      </w:pPr>
    </w:p>
    <w:p w14:paraId="273710CB" w14:textId="1D4D7F95" w:rsidR="00EF2A0B" w:rsidRDefault="006D1A2A" w:rsidP="00EF2A0B">
      <w:pPr>
        <w:spacing w:after="0" w:line="240" w:lineRule="auto"/>
        <w:jc w:val="both"/>
        <w:rPr>
          <w:sz w:val="22"/>
          <w:szCs w:val="22"/>
        </w:rPr>
      </w:pPr>
      <w:r>
        <w:rPr>
          <w:sz w:val="22"/>
          <w:szCs w:val="22"/>
        </w:rPr>
        <w:t>Original proposals:</w:t>
      </w:r>
    </w:p>
    <w:tbl>
      <w:tblPr>
        <w:tblW w:w="966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0"/>
      </w:tblGrid>
      <w:tr w:rsidR="00EF2A0B" w14:paraId="1EBEE552" w14:textId="77777777" w:rsidTr="00EF2A0B">
        <w:trPr>
          <w:trHeight w:val="3680"/>
        </w:trPr>
        <w:tc>
          <w:tcPr>
            <w:tcW w:w="9660" w:type="dxa"/>
          </w:tcPr>
          <w:p w14:paraId="7EEFAFA3" w14:textId="77777777" w:rsidR="00EF2A0B" w:rsidRPr="00386114" w:rsidRDefault="00EF2A0B" w:rsidP="00D25872">
            <w:pPr>
              <w:pStyle w:val="ListParagraph"/>
              <w:numPr>
                <w:ilvl w:val="0"/>
                <w:numId w:val="39"/>
              </w:numPr>
              <w:spacing w:line="240" w:lineRule="auto"/>
              <w:ind w:left="360"/>
              <w:jc w:val="both"/>
              <w:rPr>
                <w:sz w:val="22"/>
                <w:szCs w:val="22"/>
              </w:rPr>
            </w:pPr>
            <w:r w:rsidRPr="00386114">
              <w:rPr>
                <w:sz w:val="22"/>
                <w:szCs w:val="22"/>
              </w:rPr>
              <w:lastRenderedPageBreak/>
              <w:t xml:space="preserve">Reclassify spending on goods and services for school </w:t>
            </w:r>
            <w:proofErr w:type="gramStart"/>
            <w:r w:rsidRPr="00386114">
              <w:rPr>
                <w:sz w:val="22"/>
                <w:szCs w:val="22"/>
              </w:rPr>
              <w:t>meal</w:t>
            </w:r>
            <w:proofErr w:type="gramEnd"/>
            <w:r w:rsidRPr="00386114">
              <w:rPr>
                <w:sz w:val="22"/>
                <w:szCs w:val="22"/>
              </w:rPr>
              <w:t>/nutrition programs as transfers to households</w:t>
            </w:r>
          </w:p>
          <w:p w14:paraId="4C31F0D5" w14:textId="77777777" w:rsidR="00EF2A0B" w:rsidRPr="00386114" w:rsidRDefault="00EF2A0B" w:rsidP="00D25872">
            <w:pPr>
              <w:pStyle w:val="ListParagraph"/>
              <w:numPr>
                <w:ilvl w:val="0"/>
                <w:numId w:val="39"/>
              </w:numPr>
              <w:spacing w:line="240" w:lineRule="auto"/>
              <w:ind w:left="360"/>
              <w:jc w:val="both"/>
              <w:rPr>
                <w:sz w:val="22"/>
                <w:szCs w:val="22"/>
              </w:rPr>
            </w:pPr>
            <w:r w:rsidRPr="00386114">
              <w:rPr>
                <w:sz w:val="22"/>
                <w:szCs w:val="22"/>
              </w:rPr>
              <w:t>Clarify guidance on cross classification between GFSM and COFOG regarding education allowances and public loans for students</w:t>
            </w:r>
          </w:p>
          <w:p w14:paraId="32F0F585" w14:textId="77777777" w:rsidR="00EF2A0B" w:rsidRPr="00386114" w:rsidRDefault="00EF2A0B" w:rsidP="00D25872">
            <w:pPr>
              <w:pStyle w:val="ListParagraph"/>
              <w:numPr>
                <w:ilvl w:val="0"/>
                <w:numId w:val="39"/>
              </w:numPr>
              <w:spacing w:line="240" w:lineRule="auto"/>
              <w:ind w:left="360"/>
              <w:jc w:val="both"/>
              <w:rPr>
                <w:sz w:val="22"/>
                <w:szCs w:val="22"/>
              </w:rPr>
            </w:pPr>
            <w:r w:rsidRPr="00386114">
              <w:rPr>
                <w:sz w:val="22"/>
                <w:szCs w:val="22"/>
              </w:rPr>
              <w:t>Include “scholarships, grants, loans and allowances” at the primary education level (09.1) as with other levels</w:t>
            </w:r>
          </w:p>
          <w:p w14:paraId="6107B67F" w14:textId="77777777" w:rsidR="00EF2A0B" w:rsidRPr="00386114" w:rsidRDefault="00EF2A0B" w:rsidP="00D25872">
            <w:pPr>
              <w:pStyle w:val="ListParagraph"/>
              <w:numPr>
                <w:ilvl w:val="0"/>
                <w:numId w:val="39"/>
              </w:numPr>
              <w:spacing w:line="240" w:lineRule="auto"/>
              <w:ind w:left="360"/>
              <w:jc w:val="both"/>
              <w:rPr>
                <w:sz w:val="22"/>
                <w:szCs w:val="22"/>
              </w:rPr>
            </w:pPr>
            <w:r w:rsidRPr="00386114">
              <w:rPr>
                <w:sz w:val="22"/>
                <w:szCs w:val="22"/>
              </w:rPr>
              <w:t xml:space="preserve">Improve alignment with UOE [UNESCO-UIS/OECD/Eurostat] and ISCED-2011, including: </w:t>
            </w:r>
          </w:p>
          <w:p w14:paraId="7FF11567" w14:textId="77777777" w:rsidR="00EF2A0B" w:rsidRPr="00386114" w:rsidRDefault="00EF2A0B" w:rsidP="00D25872">
            <w:pPr>
              <w:pStyle w:val="ListParagraph"/>
              <w:numPr>
                <w:ilvl w:val="0"/>
                <w:numId w:val="14"/>
              </w:numPr>
              <w:spacing w:line="240" w:lineRule="auto"/>
              <w:ind w:left="552"/>
              <w:jc w:val="both"/>
              <w:rPr>
                <w:sz w:val="22"/>
                <w:szCs w:val="22"/>
              </w:rPr>
            </w:pPr>
            <w:r w:rsidRPr="00386114">
              <w:rPr>
                <w:sz w:val="22"/>
                <w:szCs w:val="22"/>
              </w:rPr>
              <w:t>Inclusion of early childhood educational development in Division 09</w:t>
            </w:r>
          </w:p>
          <w:p w14:paraId="5ECF0681" w14:textId="77777777" w:rsidR="00EF2A0B" w:rsidRPr="00386114" w:rsidRDefault="00EF2A0B" w:rsidP="00D25872">
            <w:pPr>
              <w:pStyle w:val="ListParagraph"/>
              <w:numPr>
                <w:ilvl w:val="0"/>
                <w:numId w:val="14"/>
              </w:numPr>
              <w:spacing w:line="240" w:lineRule="auto"/>
              <w:ind w:left="552"/>
              <w:jc w:val="both"/>
              <w:rPr>
                <w:sz w:val="22"/>
                <w:szCs w:val="22"/>
              </w:rPr>
            </w:pPr>
            <w:r w:rsidRPr="00386114">
              <w:rPr>
                <w:sz w:val="22"/>
                <w:szCs w:val="22"/>
              </w:rPr>
              <w:t>Coverage of only formal education</w:t>
            </w:r>
          </w:p>
          <w:p w14:paraId="473966E4" w14:textId="77777777" w:rsidR="00EF2A0B" w:rsidRPr="00386114" w:rsidRDefault="00EF2A0B" w:rsidP="00D25872">
            <w:pPr>
              <w:pStyle w:val="ListParagraph"/>
              <w:numPr>
                <w:ilvl w:val="0"/>
                <w:numId w:val="14"/>
              </w:numPr>
              <w:spacing w:line="240" w:lineRule="auto"/>
              <w:ind w:left="552"/>
              <w:jc w:val="both"/>
              <w:rPr>
                <w:sz w:val="22"/>
                <w:szCs w:val="22"/>
              </w:rPr>
            </w:pPr>
            <w:r w:rsidRPr="00386114">
              <w:rPr>
                <w:sz w:val="22"/>
                <w:szCs w:val="22"/>
              </w:rPr>
              <w:t>Clarification on the treatment of government dependent educational institutions</w:t>
            </w:r>
          </w:p>
          <w:p w14:paraId="002D257A" w14:textId="77777777" w:rsidR="00EF2A0B" w:rsidRPr="00386114" w:rsidRDefault="00EF2A0B" w:rsidP="00D25872">
            <w:pPr>
              <w:pStyle w:val="ListParagraph"/>
              <w:numPr>
                <w:ilvl w:val="0"/>
                <w:numId w:val="14"/>
              </w:numPr>
              <w:spacing w:line="240" w:lineRule="auto"/>
              <w:ind w:left="552"/>
              <w:jc w:val="both"/>
              <w:rPr>
                <w:sz w:val="22"/>
                <w:szCs w:val="22"/>
              </w:rPr>
            </w:pPr>
            <w:r w:rsidRPr="00386114">
              <w:rPr>
                <w:sz w:val="22"/>
                <w:szCs w:val="22"/>
              </w:rPr>
              <w:t>Inclusion of public expenditure loans that are treated as financial transactions</w:t>
            </w:r>
          </w:p>
          <w:p w14:paraId="423FA58D" w14:textId="24BAB0FC" w:rsidR="00EF2A0B" w:rsidRPr="00EF2A0B" w:rsidRDefault="00EF2A0B" w:rsidP="00D25872">
            <w:pPr>
              <w:pStyle w:val="ListParagraph"/>
              <w:numPr>
                <w:ilvl w:val="0"/>
                <w:numId w:val="38"/>
              </w:numPr>
              <w:spacing w:line="240" w:lineRule="auto"/>
              <w:ind w:left="360"/>
              <w:jc w:val="both"/>
              <w:rPr>
                <w:sz w:val="22"/>
                <w:szCs w:val="22"/>
              </w:rPr>
            </w:pPr>
            <w:r w:rsidRPr="00386114">
              <w:rPr>
                <w:sz w:val="22"/>
                <w:szCs w:val="22"/>
              </w:rPr>
              <w:t>Clarification of educational expenditure classified as transfers or other payments from governments to households</w:t>
            </w:r>
          </w:p>
        </w:tc>
      </w:tr>
    </w:tbl>
    <w:p w14:paraId="123508D6" w14:textId="77777777" w:rsidR="006D1A2A" w:rsidRDefault="006D1A2A" w:rsidP="008D7F38">
      <w:pPr>
        <w:spacing w:after="0" w:line="240" w:lineRule="auto"/>
        <w:jc w:val="both"/>
        <w:rPr>
          <w:sz w:val="22"/>
          <w:szCs w:val="22"/>
        </w:rPr>
      </w:pPr>
    </w:p>
    <w:p w14:paraId="78BA49CE" w14:textId="77777777" w:rsidR="008D7F38" w:rsidRPr="0039008C" w:rsidRDefault="008D7F38" w:rsidP="008D7F38">
      <w:pPr>
        <w:spacing w:after="0" w:line="240" w:lineRule="auto"/>
        <w:jc w:val="both"/>
        <w:rPr>
          <w:sz w:val="22"/>
          <w:szCs w:val="22"/>
        </w:rPr>
      </w:pPr>
      <w:r>
        <w:rPr>
          <w:sz w:val="22"/>
          <w:szCs w:val="22"/>
        </w:rPr>
        <w:t>Additional proposals:</w:t>
      </w:r>
    </w:p>
    <w:p w14:paraId="1DAE53B5" w14:textId="62CA0421" w:rsidR="008D7F38" w:rsidRPr="0039008C" w:rsidRDefault="00287B3F" w:rsidP="00D25872">
      <w:pPr>
        <w:pStyle w:val="ListParagraph"/>
        <w:numPr>
          <w:ilvl w:val="0"/>
          <w:numId w:val="27"/>
        </w:numPr>
        <w:spacing w:after="0" w:line="240" w:lineRule="auto"/>
        <w:jc w:val="both"/>
        <w:rPr>
          <w:sz w:val="22"/>
          <w:szCs w:val="22"/>
        </w:rPr>
      </w:pPr>
      <w:r>
        <w:rPr>
          <w:sz w:val="22"/>
          <w:szCs w:val="22"/>
        </w:rPr>
        <w:t>F</w:t>
      </w:r>
      <w:r w:rsidRPr="00287B3F">
        <w:rPr>
          <w:sz w:val="22"/>
          <w:szCs w:val="22"/>
        </w:rPr>
        <w:t>urther breakdowns in terms of formal grants and imputed grants through write-offs of loans</w:t>
      </w:r>
    </w:p>
    <w:p w14:paraId="43CE0193" w14:textId="1ED89EBF" w:rsidR="008D7F38" w:rsidRPr="00970289" w:rsidRDefault="0059179A" w:rsidP="00D25872">
      <w:pPr>
        <w:pStyle w:val="ListParagraph"/>
        <w:numPr>
          <w:ilvl w:val="0"/>
          <w:numId w:val="27"/>
        </w:numPr>
        <w:spacing w:after="0" w:line="240" w:lineRule="auto"/>
        <w:jc w:val="both"/>
        <w:rPr>
          <w:sz w:val="22"/>
          <w:szCs w:val="22"/>
        </w:rPr>
      </w:pPr>
      <w:r>
        <w:rPr>
          <w:sz w:val="22"/>
          <w:szCs w:val="22"/>
        </w:rPr>
        <w:t>C</w:t>
      </w:r>
      <w:r w:rsidRPr="0059179A">
        <w:rPr>
          <w:sz w:val="22"/>
          <w:szCs w:val="22"/>
        </w:rPr>
        <w:t>onsider issues and recommendations being presented to UNESCO General Conference in 2025 for an ISCED revision</w:t>
      </w:r>
      <w:r w:rsidR="00575464">
        <w:rPr>
          <w:sz w:val="22"/>
          <w:szCs w:val="22"/>
        </w:rPr>
        <w:t>…e</w:t>
      </w:r>
      <w:r w:rsidRPr="0059179A">
        <w:rPr>
          <w:sz w:val="22"/>
          <w:szCs w:val="22"/>
        </w:rPr>
        <w:t>ducation division of CPC may provide alignment ideas. There is government expenditure and outlays for special needs and distance education</w:t>
      </w:r>
    </w:p>
    <w:p w14:paraId="34451D7C" w14:textId="77777777" w:rsidR="008D7F38" w:rsidRDefault="008D7F38" w:rsidP="008D7F38">
      <w:pPr>
        <w:spacing w:after="0" w:line="240" w:lineRule="auto"/>
        <w:jc w:val="both"/>
        <w:rPr>
          <w:sz w:val="22"/>
          <w:szCs w:val="22"/>
          <w:u w:val="single"/>
        </w:rPr>
      </w:pPr>
    </w:p>
    <w:p w14:paraId="5A88EA9F" w14:textId="77777777" w:rsidR="008D7F38" w:rsidRPr="003A32A6" w:rsidRDefault="008D7F38" w:rsidP="008D7F38">
      <w:pPr>
        <w:spacing w:after="0" w:line="240" w:lineRule="auto"/>
        <w:jc w:val="both"/>
        <w:rPr>
          <w:sz w:val="22"/>
          <w:szCs w:val="22"/>
        </w:rPr>
      </w:pPr>
      <w:r>
        <w:rPr>
          <w:sz w:val="22"/>
          <w:szCs w:val="22"/>
        </w:rPr>
        <w:t>Concerns/objections:</w:t>
      </w:r>
    </w:p>
    <w:p w14:paraId="49E64FFC" w14:textId="76013A92" w:rsidR="00F3100D" w:rsidRPr="00F3100D" w:rsidRDefault="00F3100D" w:rsidP="00D25872">
      <w:pPr>
        <w:pStyle w:val="ListParagraph"/>
        <w:numPr>
          <w:ilvl w:val="0"/>
          <w:numId w:val="27"/>
        </w:numPr>
        <w:spacing w:after="0" w:line="240" w:lineRule="auto"/>
        <w:jc w:val="both"/>
        <w:rPr>
          <w:sz w:val="22"/>
          <w:szCs w:val="22"/>
        </w:rPr>
      </w:pPr>
      <w:r w:rsidRPr="00A66E44">
        <w:rPr>
          <w:sz w:val="22"/>
          <w:szCs w:val="22"/>
        </w:rPr>
        <w:t>Reclassifying spending on goods and services for school meal/nutrition programs as transfers to households creates difficulties for the compilation</w:t>
      </w:r>
    </w:p>
    <w:p w14:paraId="519DC807" w14:textId="69284B86" w:rsidR="008D7F38" w:rsidRDefault="0030268E" w:rsidP="00D25872">
      <w:pPr>
        <w:pStyle w:val="ListParagraph"/>
        <w:numPr>
          <w:ilvl w:val="0"/>
          <w:numId w:val="27"/>
        </w:numPr>
        <w:spacing w:after="0" w:line="240" w:lineRule="auto"/>
        <w:jc w:val="both"/>
        <w:rPr>
          <w:sz w:val="22"/>
          <w:szCs w:val="22"/>
        </w:rPr>
      </w:pPr>
      <w:r>
        <w:rPr>
          <w:sz w:val="22"/>
          <w:szCs w:val="22"/>
        </w:rPr>
        <w:t>N</w:t>
      </w:r>
      <w:r w:rsidRPr="0030268E">
        <w:rPr>
          <w:sz w:val="22"/>
          <w:szCs w:val="22"/>
        </w:rPr>
        <w:t>ot clear whether “Inclusion of public expenditure loans that are treated as financial transactions” would include financial transactions in the scope of COFOG</w:t>
      </w:r>
      <w:r>
        <w:rPr>
          <w:sz w:val="22"/>
          <w:szCs w:val="22"/>
        </w:rPr>
        <w:t>…</w:t>
      </w:r>
      <w:r w:rsidRPr="0030268E">
        <w:rPr>
          <w:sz w:val="22"/>
          <w:szCs w:val="22"/>
        </w:rPr>
        <w:t xml:space="preserve">would result in a misalignment with the methodological framework of </w:t>
      </w:r>
      <w:r>
        <w:rPr>
          <w:sz w:val="22"/>
          <w:szCs w:val="22"/>
        </w:rPr>
        <w:t>GFS…m</w:t>
      </w:r>
      <w:r w:rsidRPr="0030268E">
        <w:rPr>
          <w:sz w:val="22"/>
          <w:szCs w:val="22"/>
        </w:rPr>
        <w:t>ight be more appropriate to treat such information as a memorandum item to ensure consistency with established statistical practices.</w:t>
      </w:r>
    </w:p>
    <w:p w14:paraId="149AD44B" w14:textId="6F067C91" w:rsidR="008D7F38" w:rsidRDefault="00C30FDD" w:rsidP="00D25872">
      <w:pPr>
        <w:pStyle w:val="ListParagraph"/>
        <w:numPr>
          <w:ilvl w:val="0"/>
          <w:numId w:val="27"/>
        </w:numPr>
        <w:spacing w:after="0" w:line="240" w:lineRule="auto"/>
        <w:jc w:val="both"/>
        <w:rPr>
          <w:sz w:val="22"/>
          <w:szCs w:val="22"/>
        </w:rPr>
      </w:pPr>
      <w:r>
        <w:rPr>
          <w:sz w:val="22"/>
          <w:szCs w:val="22"/>
        </w:rPr>
        <w:t>O</w:t>
      </w:r>
      <w:r w:rsidRPr="00C30FDD">
        <w:rPr>
          <w:sz w:val="22"/>
          <w:szCs w:val="22"/>
        </w:rPr>
        <w:t>pposes the inclusion of public expenditure loans that are treated as financial transactions, as it seems unwise to mix non-financial transactions with financial transactions. This would also reduce the consistency between COFOG and ESA tables 2 and 25</w:t>
      </w:r>
    </w:p>
    <w:p w14:paraId="2C0A48E6" w14:textId="143D714F" w:rsidR="00446448" w:rsidRPr="00446448" w:rsidRDefault="00446448" w:rsidP="00446448">
      <w:pPr>
        <w:pStyle w:val="ListParagraph"/>
        <w:numPr>
          <w:ilvl w:val="0"/>
          <w:numId w:val="27"/>
        </w:numPr>
        <w:spacing w:after="0" w:line="240" w:lineRule="auto"/>
        <w:jc w:val="both"/>
        <w:rPr>
          <w:sz w:val="22"/>
          <w:szCs w:val="22"/>
        </w:rPr>
      </w:pPr>
      <w:r w:rsidRPr="00446448">
        <w:rPr>
          <w:sz w:val="22"/>
          <w:szCs w:val="22"/>
        </w:rPr>
        <w:t xml:space="preserve">'Reclassify spending on goods and services for school </w:t>
      </w:r>
      <w:proofErr w:type="gramStart"/>
      <w:r w:rsidRPr="00446448">
        <w:rPr>
          <w:sz w:val="22"/>
          <w:szCs w:val="22"/>
        </w:rPr>
        <w:t>meal</w:t>
      </w:r>
      <w:proofErr w:type="gramEnd"/>
      <w:r w:rsidRPr="00446448">
        <w:rPr>
          <w:sz w:val="22"/>
          <w:szCs w:val="22"/>
        </w:rPr>
        <w:t xml:space="preserve">/nutrition programs' - </w:t>
      </w:r>
      <w:r>
        <w:rPr>
          <w:sz w:val="22"/>
          <w:szCs w:val="22"/>
        </w:rPr>
        <w:t>t</w:t>
      </w:r>
      <w:r w:rsidRPr="00446448">
        <w:rPr>
          <w:sz w:val="22"/>
          <w:szCs w:val="22"/>
        </w:rPr>
        <w:t>hese are already classified as social transfers in kind to households in the national accounts (in group 09.6). This should be considered by the GFSM review if found important by the IMF, and not the COFOG review</w:t>
      </w:r>
    </w:p>
    <w:p w14:paraId="219B6803" w14:textId="77777777" w:rsidR="00446448" w:rsidRPr="00446448" w:rsidRDefault="00446448" w:rsidP="00446448">
      <w:pPr>
        <w:pStyle w:val="ListParagraph"/>
        <w:numPr>
          <w:ilvl w:val="0"/>
          <w:numId w:val="27"/>
        </w:numPr>
        <w:spacing w:after="0" w:line="240" w:lineRule="auto"/>
        <w:jc w:val="both"/>
        <w:rPr>
          <w:sz w:val="22"/>
          <w:szCs w:val="22"/>
        </w:rPr>
      </w:pPr>
      <w:r w:rsidRPr="00446448">
        <w:rPr>
          <w:sz w:val="22"/>
          <w:szCs w:val="22"/>
        </w:rPr>
        <w:t>UOE and ISCED are two different things, here they are mingled. How should this be assessed in this case?</w:t>
      </w:r>
    </w:p>
    <w:p w14:paraId="5ADA14A4" w14:textId="3C7FA52C" w:rsidR="00446448" w:rsidRPr="00713D4C" w:rsidRDefault="00446448" w:rsidP="00446448">
      <w:pPr>
        <w:pStyle w:val="ListParagraph"/>
        <w:numPr>
          <w:ilvl w:val="0"/>
          <w:numId w:val="27"/>
        </w:numPr>
        <w:spacing w:after="0" w:line="240" w:lineRule="auto"/>
        <w:jc w:val="both"/>
        <w:rPr>
          <w:sz w:val="22"/>
          <w:szCs w:val="22"/>
        </w:rPr>
      </w:pPr>
      <w:r w:rsidRPr="00446448">
        <w:rPr>
          <w:sz w:val="22"/>
          <w:szCs w:val="22"/>
        </w:rPr>
        <w:t>There should continue to be a group to allocate education not definable by level. Informal education is part of education, and the primary purpose is education. This is already "segregated" in its own group</w:t>
      </w:r>
    </w:p>
    <w:p w14:paraId="60184D34" w14:textId="77777777" w:rsidR="00DC0BBC" w:rsidRDefault="00DC0BBC" w:rsidP="00450C7E">
      <w:pPr>
        <w:spacing w:after="0" w:line="240" w:lineRule="auto"/>
        <w:jc w:val="both"/>
        <w:rPr>
          <w:sz w:val="22"/>
          <w:szCs w:val="22"/>
        </w:rPr>
      </w:pPr>
    </w:p>
    <w:p w14:paraId="58B74310" w14:textId="77777777" w:rsidR="00DC0BBC" w:rsidRDefault="00DC0BBC" w:rsidP="00450C7E">
      <w:pPr>
        <w:spacing w:after="0" w:line="240" w:lineRule="auto"/>
        <w:jc w:val="both"/>
        <w:rPr>
          <w:sz w:val="22"/>
          <w:szCs w:val="22"/>
        </w:rPr>
      </w:pPr>
    </w:p>
    <w:p w14:paraId="6227B071" w14:textId="11E68051" w:rsidR="008D7F38" w:rsidRDefault="00DC0BBC" w:rsidP="008D7F38">
      <w:pPr>
        <w:spacing w:after="0" w:line="240" w:lineRule="auto"/>
        <w:jc w:val="both"/>
        <w:rPr>
          <w:sz w:val="22"/>
          <w:szCs w:val="22"/>
          <w:u w:val="single"/>
        </w:rPr>
      </w:pPr>
      <w:r w:rsidRPr="00DC0BBC">
        <w:rPr>
          <w:sz w:val="22"/>
          <w:szCs w:val="22"/>
          <w:u w:val="single"/>
        </w:rPr>
        <w:t>A10. Social protection</w:t>
      </w:r>
    </w:p>
    <w:p w14:paraId="5EF7BC21" w14:textId="77777777" w:rsidR="00DC0BBC" w:rsidRDefault="00DC0BBC" w:rsidP="008D7F38">
      <w:pPr>
        <w:spacing w:after="0" w:line="240" w:lineRule="auto"/>
        <w:jc w:val="both"/>
        <w:rPr>
          <w:sz w:val="22"/>
          <w:szCs w:val="22"/>
        </w:rPr>
      </w:pPr>
    </w:p>
    <w:p w14:paraId="555C3E1F" w14:textId="6B05731F" w:rsidR="00466933" w:rsidRDefault="00466933" w:rsidP="0061129D">
      <w:pPr>
        <w:spacing w:after="0" w:line="240" w:lineRule="auto"/>
        <w:jc w:val="both"/>
        <w:rPr>
          <w:sz w:val="22"/>
          <w:szCs w:val="22"/>
        </w:rPr>
      </w:pPr>
      <w:r>
        <w:rPr>
          <w:sz w:val="22"/>
          <w:szCs w:val="22"/>
        </w:rPr>
        <w:t>Original proposals:</w:t>
      </w:r>
    </w:p>
    <w:p w14:paraId="643D83C9" w14:textId="77777777" w:rsidR="00466933" w:rsidRPr="00386114" w:rsidRDefault="00466933" w:rsidP="00D25872">
      <w:pPr>
        <w:pStyle w:val="ListParagraph"/>
        <w:numPr>
          <w:ilvl w:val="0"/>
          <w:numId w:val="3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lastRenderedPageBreak/>
        <w:t xml:space="preserve">Clarify the treatment of expenditure related to migration which may currently be included under 10.7 (Social exclusion n.e.c.), 03.1 (Police services) and 01.2 (Foreign economic aid), or create a new dedicated category </w:t>
      </w:r>
    </w:p>
    <w:p w14:paraId="26F59E9F" w14:textId="77777777" w:rsidR="00466933" w:rsidRPr="00386114" w:rsidRDefault="00466933" w:rsidP="00D25872">
      <w:pPr>
        <w:pStyle w:val="ListParagraph"/>
        <w:numPr>
          <w:ilvl w:val="0"/>
          <w:numId w:val="3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Clarify that 10.6.0 (Housing) includes cash benefits in addition to benefits in kind, as noted in the exclusion to 06.1.0</w:t>
      </w:r>
    </w:p>
    <w:p w14:paraId="37D3031E" w14:textId="77777777" w:rsidR="00466933" w:rsidRPr="00386114" w:rsidRDefault="00466933" w:rsidP="00D25872">
      <w:pPr>
        <w:pStyle w:val="ListParagraph"/>
        <w:numPr>
          <w:ilvl w:val="0"/>
          <w:numId w:val="3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Add a sub-category for support to low-income earners in 10.7 (Social exclusion n.e.c.)</w:t>
      </w:r>
    </w:p>
    <w:p w14:paraId="352B6912" w14:textId="77777777" w:rsidR="00466933" w:rsidRPr="00386114" w:rsidRDefault="00466933" w:rsidP="00D25872">
      <w:pPr>
        <w:pStyle w:val="ListParagraph"/>
        <w:numPr>
          <w:ilvl w:val="0"/>
          <w:numId w:val="3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Clarify the individual/collective breakdown of residual expenditure classified in 10.9 “Social protection n.e.c.” given that 10.1-10.7 are considered for individual expenditure and 10.8-10.9 for collective expenditure</w:t>
      </w:r>
    </w:p>
    <w:p w14:paraId="5D6AA2D7" w14:textId="77777777" w:rsidR="00466933" w:rsidRPr="00386114" w:rsidRDefault="00466933" w:rsidP="00D25872">
      <w:pPr>
        <w:pStyle w:val="ListParagraph"/>
        <w:numPr>
          <w:ilvl w:val="0"/>
          <w:numId w:val="37"/>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Add a sub-category for housing aid to be provided after natural disasters</w:t>
      </w:r>
    </w:p>
    <w:p w14:paraId="104955FE" w14:textId="77777777" w:rsidR="00466933" w:rsidRDefault="00466933" w:rsidP="008D7F38">
      <w:pPr>
        <w:spacing w:after="0" w:line="240" w:lineRule="auto"/>
        <w:jc w:val="both"/>
        <w:rPr>
          <w:sz w:val="22"/>
          <w:szCs w:val="22"/>
        </w:rPr>
      </w:pPr>
    </w:p>
    <w:p w14:paraId="27A8CD92" w14:textId="77777777" w:rsidR="008D7F38" w:rsidRPr="0039008C" w:rsidRDefault="008D7F38" w:rsidP="008D7F38">
      <w:pPr>
        <w:spacing w:after="0" w:line="240" w:lineRule="auto"/>
        <w:jc w:val="both"/>
        <w:rPr>
          <w:sz w:val="22"/>
          <w:szCs w:val="22"/>
        </w:rPr>
      </w:pPr>
      <w:r>
        <w:rPr>
          <w:sz w:val="22"/>
          <w:szCs w:val="22"/>
        </w:rPr>
        <w:t>Additional proposals:</w:t>
      </w:r>
    </w:p>
    <w:p w14:paraId="11E330CF" w14:textId="6325C16D" w:rsidR="008D7F38" w:rsidRPr="0039008C" w:rsidRDefault="00271FF1" w:rsidP="00D25872">
      <w:pPr>
        <w:pStyle w:val="ListParagraph"/>
        <w:numPr>
          <w:ilvl w:val="0"/>
          <w:numId w:val="27"/>
        </w:numPr>
        <w:spacing w:after="0" w:line="240" w:lineRule="auto"/>
        <w:jc w:val="both"/>
        <w:rPr>
          <w:sz w:val="22"/>
          <w:szCs w:val="22"/>
        </w:rPr>
      </w:pPr>
      <w:r>
        <w:rPr>
          <w:sz w:val="22"/>
          <w:szCs w:val="22"/>
        </w:rPr>
        <w:t>S</w:t>
      </w:r>
      <w:r w:rsidRPr="00271FF1">
        <w:rPr>
          <w:sz w:val="22"/>
          <w:szCs w:val="22"/>
        </w:rPr>
        <w:t>upport this division being split into social security and goods/services provision of social protection. Social security is a very large, transfer-based system in most countries, and therefore would warrant its own separate division</w:t>
      </w:r>
    </w:p>
    <w:p w14:paraId="53D435B6" w14:textId="3839F0F5" w:rsidR="008D7F38" w:rsidRDefault="005938CA" w:rsidP="00D25872">
      <w:pPr>
        <w:pStyle w:val="ListParagraph"/>
        <w:numPr>
          <w:ilvl w:val="0"/>
          <w:numId w:val="27"/>
        </w:numPr>
        <w:spacing w:after="0" w:line="240" w:lineRule="auto"/>
        <w:jc w:val="both"/>
        <w:rPr>
          <w:sz w:val="22"/>
          <w:szCs w:val="22"/>
        </w:rPr>
      </w:pPr>
      <w:r>
        <w:rPr>
          <w:sz w:val="22"/>
          <w:szCs w:val="22"/>
        </w:rPr>
        <w:t>C</w:t>
      </w:r>
      <w:r w:rsidRPr="005938CA">
        <w:rPr>
          <w:sz w:val="22"/>
          <w:szCs w:val="22"/>
        </w:rPr>
        <w:t>onsider</w:t>
      </w:r>
      <w:r>
        <w:rPr>
          <w:sz w:val="22"/>
          <w:szCs w:val="22"/>
        </w:rPr>
        <w:t xml:space="preserve"> </w:t>
      </w:r>
      <w:r w:rsidRPr="005938CA">
        <w:rPr>
          <w:sz w:val="22"/>
          <w:szCs w:val="22"/>
        </w:rPr>
        <w:t xml:space="preserve">guidance to allow for perhaps </w:t>
      </w:r>
      <w:proofErr w:type="gramStart"/>
      <w:r w:rsidRPr="005938CA">
        <w:rPr>
          <w:sz w:val="22"/>
          <w:szCs w:val="22"/>
        </w:rPr>
        <w:t>more lower</w:t>
      </w:r>
      <w:proofErr w:type="gramEnd"/>
      <w:r w:rsidRPr="005938CA">
        <w:rPr>
          <w:sz w:val="22"/>
          <w:szCs w:val="22"/>
        </w:rPr>
        <w:t>-level breakdowns so governments don</w:t>
      </w:r>
      <w:r w:rsidR="00B953A6">
        <w:rPr>
          <w:sz w:val="22"/>
          <w:szCs w:val="22"/>
        </w:rPr>
        <w:t>’</w:t>
      </w:r>
      <w:r w:rsidRPr="005938CA">
        <w:rPr>
          <w:sz w:val="22"/>
          <w:szCs w:val="22"/>
        </w:rPr>
        <w:t>t put too much expenditure on the n.e.c. sub-categories if they don</w:t>
      </w:r>
      <w:r w:rsidR="00B953A6">
        <w:rPr>
          <w:sz w:val="22"/>
          <w:szCs w:val="22"/>
        </w:rPr>
        <w:t>’</w:t>
      </w:r>
      <w:r w:rsidRPr="005938CA">
        <w:rPr>
          <w:sz w:val="22"/>
          <w:szCs w:val="22"/>
        </w:rPr>
        <w:t>t fully align with the others</w:t>
      </w:r>
    </w:p>
    <w:p w14:paraId="56B7C321" w14:textId="07896CC1" w:rsidR="00347FB5" w:rsidRDefault="00347FB5" w:rsidP="00D25872">
      <w:pPr>
        <w:pStyle w:val="ListParagraph"/>
        <w:numPr>
          <w:ilvl w:val="0"/>
          <w:numId w:val="27"/>
        </w:numPr>
        <w:spacing w:after="0" w:line="240" w:lineRule="auto"/>
        <w:jc w:val="both"/>
        <w:rPr>
          <w:sz w:val="22"/>
          <w:szCs w:val="22"/>
        </w:rPr>
      </w:pPr>
      <w:r w:rsidRPr="00347FB5">
        <w:rPr>
          <w:sz w:val="22"/>
          <w:szCs w:val="22"/>
        </w:rPr>
        <w:t xml:space="preserve">To add </w:t>
      </w:r>
      <w:proofErr w:type="gramStart"/>
      <w:r w:rsidRPr="00347FB5">
        <w:rPr>
          <w:sz w:val="22"/>
          <w:szCs w:val="22"/>
        </w:rPr>
        <w:t>a  clarification</w:t>
      </w:r>
      <w:proofErr w:type="gramEnd"/>
      <w:r w:rsidRPr="00347FB5">
        <w:rPr>
          <w:sz w:val="22"/>
          <w:szCs w:val="22"/>
        </w:rPr>
        <w:t xml:space="preserve"> regarding the provision of temporary housing for </w:t>
      </w:r>
      <w:proofErr w:type="gramStart"/>
      <w:r w:rsidRPr="00347FB5">
        <w:rPr>
          <w:sz w:val="22"/>
          <w:szCs w:val="22"/>
        </w:rPr>
        <w:t>the war</w:t>
      </w:r>
      <w:proofErr w:type="gramEnd"/>
      <w:r w:rsidRPr="00347FB5">
        <w:rPr>
          <w:sz w:val="22"/>
          <w:szCs w:val="22"/>
        </w:rPr>
        <w:t xml:space="preserve"> evacuees</w:t>
      </w:r>
    </w:p>
    <w:p w14:paraId="52EEF91F" w14:textId="690F0206" w:rsidR="00484768" w:rsidRPr="00970289" w:rsidRDefault="00484768" w:rsidP="00D25872">
      <w:pPr>
        <w:pStyle w:val="ListParagraph"/>
        <w:numPr>
          <w:ilvl w:val="0"/>
          <w:numId w:val="27"/>
        </w:numPr>
        <w:spacing w:after="0" w:line="240" w:lineRule="auto"/>
        <w:jc w:val="both"/>
        <w:rPr>
          <w:sz w:val="22"/>
          <w:szCs w:val="22"/>
        </w:rPr>
      </w:pPr>
      <w:r w:rsidRPr="00484768">
        <w:rPr>
          <w:sz w:val="22"/>
          <w:szCs w:val="22"/>
        </w:rPr>
        <w:t>More links to ESSPROS data</w:t>
      </w:r>
    </w:p>
    <w:p w14:paraId="775F2EAE" w14:textId="77777777" w:rsidR="008D7F38" w:rsidRDefault="008D7F38" w:rsidP="008D7F38">
      <w:pPr>
        <w:spacing w:after="0" w:line="240" w:lineRule="auto"/>
        <w:jc w:val="both"/>
        <w:rPr>
          <w:sz w:val="22"/>
          <w:szCs w:val="22"/>
          <w:u w:val="single"/>
        </w:rPr>
      </w:pPr>
    </w:p>
    <w:p w14:paraId="198EB243" w14:textId="77777777" w:rsidR="008D7F38" w:rsidRPr="003A32A6" w:rsidRDefault="008D7F38" w:rsidP="008D7F38">
      <w:pPr>
        <w:spacing w:after="0" w:line="240" w:lineRule="auto"/>
        <w:jc w:val="both"/>
        <w:rPr>
          <w:sz w:val="22"/>
          <w:szCs w:val="22"/>
        </w:rPr>
      </w:pPr>
      <w:r>
        <w:rPr>
          <w:sz w:val="22"/>
          <w:szCs w:val="22"/>
        </w:rPr>
        <w:t>Concerns/objections:</w:t>
      </w:r>
    </w:p>
    <w:p w14:paraId="1259814B" w14:textId="5069F2CF" w:rsidR="008D7F38" w:rsidRDefault="009D20D8" w:rsidP="00D25872">
      <w:pPr>
        <w:pStyle w:val="ListParagraph"/>
        <w:numPr>
          <w:ilvl w:val="0"/>
          <w:numId w:val="27"/>
        </w:numPr>
        <w:spacing w:after="0" w:line="240" w:lineRule="auto"/>
        <w:jc w:val="both"/>
        <w:rPr>
          <w:sz w:val="22"/>
          <w:szCs w:val="22"/>
        </w:rPr>
      </w:pPr>
      <w:r>
        <w:rPr>
          <w:sz w:val="22"/>
          <w:szCs w:val="22"/>
        </w:rPr>
        <w:t>P</w:t>
      </w:r>
      <w:r w:rsidRPr="009D20D8">
        <w:rPr>
          <w:sz w:val="22"/>
          <w:szCs w:val="22"/>
        </w:rPr>
        <w:t>roposed modifications will not change the quality of data already compiled</w:t>
      </w:r>
    </w:p>
    <w:p w14:paraId="6CB7AA14" w14:textId="3A66920E" w:rsidR="00DC0BBC" w:rsidRDefault="008B75B2" w:rsidP="00D25872">
      <w:pPr>
        <w:pStyle w:val="ListParagraph"/>
        <w:numPr>
          <w:ilvl w:val="0"/>
          <w:numId w:val="27"/>
        </w:numPr>
        <w:spacing w:after="0" w:line="240" w:lineRule="auto"/>
        <w:jc w:val="both"/>
        <w:rPr>
          <w:sz w:val="22"/>
          <w:szCs w:val="22"/>
        </w:rPr>
      </w:pPr>
      <w:r>
        <w:rPr>
          <w:sz w:val="22"/>
          <w:szCs w:val="22"/>
        </w:rPr>
        <w:t xml:space="preserve">Re: migration, </w:t>
      </w:r>
      <w:r w:rsidR="00F90165">
        <w:rPr>
          <w:sz w:val="22"/>
          <w:szCs w:val="22"/>
        </w:rPr>
        <w:t>n</w:t>
      </w:r>
      <w:r w:rsidR="00F90165" w:rsidRPr="00F90165">
        <w:rPr>
          <w:sz w:val="22"/>
          <w:szCs w:val="22"/>
        </w:rPr>
        <w:t>ew group already proposed in div 03. Other existing groups should cover migration. Discussion welcome to further clarify</w:t>
      </w:r>
    </w:p>
    <w:p w14:paraId="21AEC814" w14:textId="16BC5A23" w:rsidR="005B4FFB" w:rsidRDefault="005B4FFB" w:rsidP="00D25872">
      <w:pPr>
        <w:pStyle w:val="ListParagraph"/>
        <w:numPr>
          <w:ilvl w:val="0"/>
          <w:numId w:val="27"/>
        </w:numPr>
        <w:spacing w:after="0" w:line="240" w:lineRule="auto"/>
        <w:jc w:val="both"/>
        <w:rPr>
          <w:sz w:val="22"/>
          <w:szCs w:val="22"/>
        </w:rPr>
      </w:pPr>
      <w:r>
        <w:rPr>
          <w:sz w:val="22"/>
          <w:szCs w:val="22"/>
        </w:rPr>
        <w:t>D</w:t>
      </w:r>
      <w:r w:rsidRPr="005B4FFB">
        <w:rPr>
          <w:sz w:val="22"/>
          <w:szCs w:val="22"/>
        </w:rPr>
        <w:t>o not support creating a subcategory</w:t>
      </w:r>
      <w:r>
        <w:rPr>
          <w:sz w:val="22"/>
          <w:szCs w:val="22"/>
        </w:rPr>
        <w:t xml:space="preserve"> for migration</w:t>
      </w:r>
      <w:r w:rsidRPr="005B4FFB">
        <w:rPr>
          <w:sz w:val="22"/>
          <w:szCs w:val="22"/>
        </w:rPr>
        <w:t xml:space="preserve"> as this most likely will not capture all the related expenditure d</w:t>
      </w:r>
      <w:r>
        <w:rPr>
          <w:sz w:val="22"/>
          <w:szCs w:val="22"/>
        </w:rPr>
        <w:t>ue</w:t>
      </w:r>
      <w:r w:rsidRPr="005B4FFB">
        <w:rPr>
          <w:sz w:val="22"/>
          <w:szCs w:val="22"/>
        </w:rPr>
        <w:t xml:space="preserve"> to </w:t>
      </w:r>
      <w:proofErr w:type="gramStart"/>
      <w:r w:rsidRPr="005B4FFB">
        <w:rPr>
          <w:sz w:val="22"/>
          <w:szCs w:val="22"/>
        </w:rPr>
        <w:t>complex</w:t>
      </w:r>
      <w:proofErr w:type="gramEnd"/>
      <w:r w:rsidRPr="005B4FFB">
        <w:rPr>
          <w:sz w:val="22"/>
          <w:szCs w:val="22"/>
        </w:rPr>
        <w:t xml:space="preserve"> nature of category</w:t>
      </w:r>
    </w:p>
    <w:p w14:paraId="2975666D" w14:textId="535DC0A0" w:rsidR="00F90165" w:rsidRDefault="00030883" w:rsidP="00D25872">
      <w:pPr>
        <w:pStyle w:val="ListParagraph"/>
        <w:numPr>
          <w:ilvl w:val="0"/>
          <w:numId w:val="27"/>
        </w:numPr>
        <w:spacing w:after="0" w:line="240" w:lineRule="auto"/>
        <w:jc w:val="both"/>
        <w:rPr>
          <w:sz w:val="22"/>
          <w:szCs w:val="22"/>
        </w:rPr>
      </w:pPr>
      <w:r>
        <w:rPr>
          <w:sz w:val="22"/>
          <w:szCs w:val="22"/>
        </w:rPr>
        <w:t>Re: proposal to c</w:t>
      </w:r>
      <w:r w:rsidRPr="00030883">
        <w:rPr>
          <w:sz w:val="22"/>
          <w:szCs w:val="22"/>
        </w:rPr>
        <w:t>larify that 10.6.0 (Housing) includes cash benefits</w:t>
      </w:r>
      <w:r>
        <w:rPr>
          <w:sz w:val="22"/>
          <w:szCs w:val="22"/>
        </w:rPr>
        <w:t>, m</w:t>
      </w:r>
      <w:r w:rsidRPr="00030883">
        <w:rPr>
          <w:sz w:val="22"/>
          <w:szCs w:val="22"/>
        </w:rPr>
        <w:t>ix</w:t>
      </w:r>
      <w:r>
        <w:rPr>
          <w:sz w:val="22"/>
          <w:szCs w:val="22"/>
        </w:rPr>
        <w:t>es</w:t>
      </w:r>
      <w:r w:rsidRPr="00030883">
        <w:rPr>
          <w:sz w:val="22"/>
          <w:szCs w:val="22"/>
        </w:rPr>
        <w:t xml:space="preserve"> up COFOG and economic transactions</w:t>
      </w:r>
    </w:p>
    <w:p w14:paraId="5CBB7FD2" w14:textId="5AAE9BF7" w:rsidR="00030883" w:rsidRDefault="0071036B" w:rsidP="00D25872">
      <w:pPr>
        <w:pStyle w:val="ListParagraph"/>
        <w:numPr>
          <w:ilvl w:val="0"/>
          <w:numId w:val="27"/>
        </w:numPr>
        <w:spacing w:after="0" w:line="240" w:lineRule="auto"/>
        <w:jc w:val="both"/>
        <w:rPr>
          <w:sz w:val="22"/>
          <w:szCs w:val="22"/>
        </w:rPr>
      </w:pPr>
      <w:r>
        <w:rPr>
          <w:sz w:val="22"/>
          <w:szCs w:val="22"/>
        </w:rPr>
        <w:t xml:space="preserve">Re: </w:t>
      </w:r>
      <w:r w:rsidRPr="0071036B">
        <w:rPr>
          <w:sz w:val="22"/>
          <w:szCs w:val="22"/>
        </w:rPr>
        <w:t>low-income earners in 10.7</w:t>
      </w:r>
      <w:r>
        <w:rPr>
          <w:sz w:val="22"/>
          <w:szCs w:val="22"/>
        </w:rPr>
        <w:t>, s</w:t>
      </w:r>
      <w:r w:rsidRPr="0071036B">
        <w:rPr>
          <w:sz w:val="22"/>
          <w:szCs w:val="22"/>
        </w:rPr>
        <w:t>eems many classes could be envisaged under 10.7. A common definition of low-income earner needed</w:t>
      </w:r>
    </w:p>
    <w:p w14:paraId="046FB4A1" w14:textId="562B2851" w:rsidR="00121578" w:rsidRDefault="00121578" w:rsidP="00D25872">
      <w:pPr>
        <w:pStyle w:val="ListParagraph"/>
        <w:numPr>
          <w:ilvl w:val="0"/>
          <w:numId w:val="27"/>
        </w:numPr>
        <w:spacing w:after="0" w:line="240" w:lineRule="auto"/>
        <w:jc w:val="both"/>
        <w:rPr>
          <w:sz w:val="22"/>
          <w:szCs w:val="22"/>
        </w:rPr>
      </w:pPr>
      <w:r>
        <w:rPr>
          <w:sz w:val="22"/>
          <w:szCs w:val="22"/>
        </w:rPr>
        <w:t>N</w:t>
      </w:r>
      <w:r w:rsidRPr="00121578">
        <w:rPr>
          <w:sz w:val="22"/>
          <w:szCs w:val="22"/>
        </w:rPr>
        <w:t xml:space="preserve">eed clear definition of </w:t>
      </w:r>
      <w:r w:rsidR="00B953A6">
        <w:rPr>
          <w:sz w:val="22"/>
          <w:szCs w:val="22"/>
        </w:rPr>
        <w:t>‘</w:t>
      </w:r>
      <w:r w:rsidRPr="00121578">
        <w:rPr>
          <w:sz w:val="22"/>
          <w:szCs w:val="22"/>
        </w:rPr>
        <w:t xml:space="preserve"> Support to low-income earners</w:t>
      </w:r>
      <w:r w:rsidR="00B953A6">
        <w:rPr>
          <w:sz w:val="22"/>
          <w:szCs w:val="22"/>
        </w:rPr>
        <w:t>’</w:t>
      </w:r>
      <w:r w:rsidRPr="00121578">
        <w:rPr>
          <w:sz w:val="22"/>
          <w:szCs w:val="22"/>
        </w:rPr>
        <w:t xml:space="preserve"> are made before  we can support</w:t>
      </w:r>
    </w:p>
    <w:p w14:paraId="518D0464" w14:textId="65407A73" w:rsidR="00803491" w:rsidRDefault="00803491" w:rsidP="00D25872">
      <w:pPr>
        <w:pStyle w:val="ListParagraph"/>
        <w:numPr>
          <w:ilvl w:val="0"/>
          <w:numId w:val="27"/>
        </w:numPr>
        <w:spacing w:after="0" w:line="240" w:lineRule="auto"/>
        <w:jc w:val="both"/>
        <w:rPr>
          <w:sz w:val="22"/>
          <w:szCs w:val="22"/>
        </w:rPr>
      </w:pPr>
      <w:r>
        <w:rPr>
          <w:sz w:val="22"/>
          <w:szCs w:val="22"/>
        </w:rPr>
        <w:t xml:space="preserve">Re: </w:t>
      </w:r>
      <w:r w:rsidRPr="00803491">
        <w:rPr>
          <w:sz w:val="22"/>
          <w:szCs w:val="22"/>
        </w:rPr>
        <w:t>individual/collective breakdown</w:t>
      </w:r>
      <w:r>
        <w:rPr>
          <w:sz w:val="22"/>
          <w:szCs w:val="22"/>
        </w:rPr>
        <w:t xml:space="preserve">, we </w:t>
      </w:r>
      <w:r w:rsidRPr="00803491">
        <w:rPr>
          <w:sz w:val="22"/>
          <w:szCs w:val="22"/>
        </w:rPr>
        <w:t>think the explanatory text under 10.90 is rather clear</w:t>
      </w:r>
    </w:p>
    <w:p w14:paraId="11B725C0" w14:textId="63106FAB" w:rsidR="00B4239D" w:rsidRDefault="00B4239D" w:rsidP="00D25872">
      <w:pPr>
        <w:pStyle w:val="ListParagraph"/>
        <w:numPr>
          <w:ilvl w:val="0"/>
          <w:numId w:val="27"/>
        </w:numPr>
        <w:spacing w:after="0" w:line="240" w:lineRule="auto"/>
        <w:jc w:val="both"/>
        <w:rPr>
          <w:sz w:val="22"/>
          <w:szCs w:val="22"/>
        </w:rPr>
      </w:pPr>
      <w:r w:rsidRPr="00B4239D">
        <w:rPr>
          <w:sz w:val="22"/>
          <w:szCs w:val="22"/>
        </w:rPr>
        <w:t>About COFOG 10.9, it is supposed to be collective by definition, however there are some expenditure, bordering between collective and individual that can be classified only there</w:t>
      </w:r>
    </w:p>
    <w:p w14:paraId="3E22E0E2" w14:textId="62F4B633" w:rsidR="00F935AF" w:rsidRDefault="00F935AF" w:rsidP="00D25872">
      <w:pPr>
        <w:pStyle w:val="ListParagraph"/>
        <w:numPr>
          <w:ilvl w:val="0"/>
          <w:numId w:val="27"/>
        </w:numPr>
        <w:spacing w:after="0" w:line="240" w:lineRule="auto"/>
        <w:jc w:val="both"/>
        <w:rPr>
          <w:sz w:val="22"/>
          <w:szCs w:val="22"/>
        </w:rPr>
      </w:pPr>
      <w:r>
        <w:rPr>
          <w:sz w:val="22"/>
          <w:szCs w:val="22"/>
        </w:rPr>
        <w:t>Re: housing aid, w</w:t>
      </w:r>
      <w:r w:rsidRPr="00F935AF">
        <w:rPr>
          <w:sz w:val="22"/>
          <w:szCs w:val="22"/>
        </w:rPr>
        <w:t>ould housing aid related to natural disasters be of higher importance in COFOG than displacement due to war, pandemic</w:t>
      </w:r>
      <w:r>
        <w:rPr>
          <w:sz w:val="22"/>
          <w:szCs w:val="22"/>
        </w:rPr>
        <w:t>?</w:t>
      </w:r>
    </w:p>
    <w:p w14:paraId="1EEFF697" w14:textId="598A2C17" w:rsidR="007E0420" w:rsidRPr="007E0420" w:rsidRDefault="007E0420" w:rsidP="00D25872">
      <w:pPr>
        <w:pStyle w:val="ListParagraph"/>
        <w:numPr>
          <w:ilvl w:val="0"/>
          <w:numId w:val="27"/>
        </w:numPr>
        <w:spacing w:after="0" w:line="240" w:lineRule="auto"/>
        <w:jc w:val="both"/>
        <w:rPr>
          <w:sz w:val="22"/>
          <w:szCs w:val="22"/>
        </w:rPr>
      </w:pPr>
      <w:r w:rsidRPr="007E0420">
        <w:rPr>
          <w:sz w:val="22"/>
          <w:szCs w:val="22"/>
        </w:rPr>
        <w:t xml:space="preserve">Sub-category for housing aid after a natural </w:t>
      </w:r>
      <w:proofErr w:type="gramStart"/>
      <w:r w:rsidRPr="007E0420">
        <w:rPr>
          <w:sz w:val="22"/>
          <w:szCs w:val="22"/>
        </w:rPr>
        <w:t>disaster,</w:t>
      </w:r>
      <w:proofErr w:type="gramEnd"/>
      <w:r w:rsidRPr="007E0420">
        <w:rPr>
          <w:sz w:val="22"/>
          <w:szCs w:val="22"/>
        </w:rPr>
        <w:t xml:space="preserve"> might fit well with any new climate change category</w:t>
      </w:r>
    </w:p>
    <w:p w14:paraId="659F8DB2" w14:textId="77777777" w:rsidR="007E0420" w:rsidRDefault="007E0420" w:rsidP="00D25872">
      <w:pPr>
        <w:pStyle w:val="ListParagraph"/>
        <w:numPr>
          <w:ilvl w:val="0"/>
          <w:numId w:val="27"/>
        </w:numPr>
        <w:spacing w:after="0" w:line="240" w:lineRule="auto"/>
        <w:jc w:val="both"/>
        <w:rPr>
          <w:sz w:val="22"/>
          <w:szCs w:val="22"/>
        </w:rPr>
      </w:pPr>
      <w:r w:rsidRPr="007E0420">
        <w:rPr>
          <w:sz w:val="22"/>
          <w:szCs w:val="22"/>
        </w:rPr>
        <w:t>Need to ensure the proposals here align with those under A03, with regard to immigration</w:t>
      </w:r>
    </w:p>
    <w:p w14:paraId="2DA9F7B4" w14:textId="149AEAE3" w:rsidR="006927A5" w:rsidRDefault="006927A5" w:rsidP="00D25872">
      <w:pPr>
        <w:pStyle w:val="ListParagraph"/>
        <w:numPr>
          <w:ilvl w:val="0"/>
          <w:numId w:val="27"/>
        </w:numPr>
        <w:spacing w:after="0" w:line="240" w:lineRule="auto"/>
        <w:jc w:val="both"/>
        <w:rPr>
          <w:sz w:val="22"/>
          <w:szCs w:val="22"/>
        </w:rPr>
      </w:pPr>
      <w:r>
        <w:rPr>
          <w:sz w:val="22"/>
          <w:szCs w:val="22"/>
        </w:rPr>
        <w:t>E</w:t>
      </w:r>
      <w:r w:rsidRPr="006927A5">
        <w:rPr>
          <w:sz w:val="22"/>
          <w:szCs w:val="22"/>
        </w:rPr>
        <w:t xml:space="preserve">xpenditure on migration has different purposes (public order and safety, social protection) </w:t>
      </w:r>
      <w:r w:rsidR="009B308E">
        <w:rPr>
          <w:sz w:val="22"/>
          <w:szCs w:val="22"/>
        </w:rPr>
        <w:t xml:space="preserve">and </w:t>
      </w:r>
      <w:r w:rsidRPr="006927A5">
        <w:rPr>
          <w:sz w:val="22"/>
          <w:szCs w:val="22"/>
        </w:rPr>
        <w:t xml:space="preserve">should not be mixed in one group. </w:t>
      </w:r>
      <w:r w:rsidR="009B308E">
        <w:rPr>
          <w:sz w:val="22"/>
          <w:szCs w:val="22"/>
        </w:rPr>
        <w:t>W</w:t>
      </w:r>
      <w:r w:rsidRPr="006927A5">
        <w:rPr>
          <w:sz w:val="22"/>
          <w:szCs w:val="22"/>
        </w:rPr>
        <w:t>here expenditure on refugees follow the same rules as expenditure on other parts of the population, expenditure should be assigned to function of purpose (e.g. 09.1)</w:t>
      </w:r>
    </w:p>
    <w:p w14:paraId="2C55036D" w14:textId="77777777" w:rsidR="008D7F38" w:rsidRDefault="008D7F38" w:rsidP="00450C7E">
      <w:pPr>
        <w:spacing w:after="0" w:line="240" w:lineRule="auto"/>
        <w:jc w:val="both"/>
        <w:rPr>
          <w:sz w:val="22"/>
          <w:szCs w:val="22"/>
        </w:rPr>
      </w:pPr>
    </w:p>
    <w:p w14:paraId="0662650A" w14:textId="77777777" w:rsidR="00713D4C" w:rsidRDefault="00713D4C" w:rsidP="00450C7E">
      <w:pPr>
        <w:spacing w:after="0" w:line="240" w:lineRule="auto"/>
        <w:jc w:val="both"/>
        <w:rPr>
          <w:sz w:val="22"/>
          <w:szCs w:val="22"/>
        </w:rPr>
      </w:pPr>
    </w:p>
    <w:p w14:paraId="779022AD" w14:textId="77777777" w:rsidR="00AE1A21" w:rsidRDefault="00AE1A21" w:rsidP="00450C7E">
      <w:pPr>
        <w:spacing w:after="0" w:line="240" w:lineRule="auto"/>
        <w:jc w:val="both"/>
        <w:rPr>
          <w:sz w:val="22"/>
          <w:szCs w:val="22"/>
        </w:rPr>
      </w:pPr>
    </w:p>
    <w:p w14:paraId="27B8B62D" w14:textId="214B457E" w:rsidR="00713D4C" w:rsidRDefault="00713D4C" w:rsidP="007E255F">
      <w:pPr>
        <w:spacing w:after="0" w:line="240" w:lineRule="auto"/>
        <w:jc w:val="both"/>
        <w:rPr>
          <w:sz w:val="22"/>
          <w:szCs w:val="22"/>
          <w:u w:val="single"/>
        </w:rPr>
      </w:pPr>
      <w:r w:rsidRPr="00DC0BBC">
        <w:rPr>
          <w:sz w:val="22"/>
          <w:szCs w:val="22"/>
          <w:u w:val="single"/>
        </w:rPr>
        <w:lastRenderedPageBreak/>
        <w:t>A1</w:t>
      </w:r>
      <w:r w:rsidR="007E255F">
        <w:rPr>
          <w:sz w:val="22"/>
          <w:szCs w:val="22"/>
          <w:u w:val="single"/>
        </w:rPr>
        <w:t>1</w:t>
      </w:r>
      <w:r w:rsidRPr="00DC0BBC">
        <w:rPr>
          <w:sz w:val="22"/>
          <w:szCs w:val="22"/>
          <w:u w:val="single"/>
        </w:rPr>
        <w:t xml:space="preserve">. </w:t>
      </w:r>
      <w:r w:rsidR="007E255F" w:rsidRPr="007E255F">
        <w:rPr>
          <w:sz w:val="22"/>
          <w:szCs w:val="22"/>
          <w:u w:val="single"/>
        </w:rPr>
        <w:t>Cross-cutting issues</w:t>
      </w:r>
    </w:p>
    <w:p w14:paraId="0B854EA3" w14:textId="77777777" w:rsidR="007E255F" w:rsidRDefault="007E255F" w:rsidP="007E255F">
      <w:pPr>
        <w:spacing w:after="0" w:line="240" w:lineRule="auto"/>
        <w:jc w:val="both"/>
        <w:rPr>
          <w:sz w:val="22"/>
          <w:szCs w:val="22"/>
        </w:rPr>
      </w:pPr>
    </w:p>
    <w:p w14:paraId="502AD5C9" w14:textId="1201EFB4" w:rsidR="001500B0" w:rsidRDefault="001500B0" w:rsidP="001500B0">
      <w:pPr>
        <w:spacing w:after="0" w:line="240" w:lineRule="auto"/>
        <w:jc w:val="both"/>
        <w:rPr>
          <w:sz w:val="22"/>
          <w:szCs w:val="22"/>
        </w:rPr>
      </w:pPr>
      <w:r>
        <w:rPr>
          <w:sz w:val="22"/>
          <w:szCs w:val="22"/>
        </w:rPr>
        <w:t>Original proposals:</w:t>
      </w:r>
    </w:p>
    <w:p w14:paraId="13FC948D" w14:textId="77777777" w:rsidR="001500B0" w:rsidRPr="00386114" w:rsidRDefault="001500B0" w:rsidP="00D25872">
      <w:pPr>
        <w:pStyle w:val="ListParagraph"/>
        <w:numPr>
          <w:ilvl w:val="0"/>
          <w:numId w:val="36"/>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Civil protection in the event of disasters and climate change, land reclamation projects</w:t>
      </w:r>
    </w:p>
    <w:p w14:paraId="5BDBAF8D" w14:textId="77777777" w:rsidR="001500B0" w:rsidRPr="00386114" w:rsidRDefault="001500B0" w:rsidP="00D25872">
      <w:pPr>
        <w:pStyle w:val="ListParagraph"/>
        <w:numPr>
          <w:ilvl w:val="0"/>
          <w:numId w:val="36"/>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Long-term care, between Divisions 07 and 10</w:t>
      </w:r>
    </w:p>
    <w:p w14:paraId="15EA9542" w14:textId="77777777" w:rsidR="001500B0" w:rsidRPr="00386114" w:rsidRDefault="001500B0" w:rsidP="00D25872">
      <w:pPr>
        <w:pStyle w:val="ListParagraph"/>
        <w:numPr>
          <w:ilvl w:val="0"/>
          <w:numId w:val="36"/>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Activities potentially under 05.4 (Protection of Biodiversity and Landscape) that support forest related intervention and realign them under 04.2.2 (Forestry)</w:t>
      </w:r>
    </w:p>
    <w:p w14:paraId="636CC111" w14:textId="77777777" w:rsidR="001500B0" w:rsidRPr="00386114" w:rsidRDefault="001500B0" w:rsidP="00D25872">
      <w:pPr>
        <w:pStyle w:val="ListParagraph"/>
        <w:numPr>
          <w:ilvl w:val="0"/>
          <w:numId w:val="36"/>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Water-related expenditure, which is split between “housing and community amenities” (water supply), and “environmental protection” (wastewater management)</w:t>
      </w:r>
    </w:p>
    <w:p w14:paraId="5E379CF0" w14:textId="77777777" w:rsidR="001500B0" w:rsidRPr="00386114" w:rsidRDefault="001500B0" w:rsidP="00D25872">
      <w:pPr>
        <w:pStyle w:val="ListParagraph"/>
        <w:numPr>
          <w:ilvl w:val="0"/>
          <w:numId w:val="36"/>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Net-zero related spending</w:t>
      </w:r>
    </w:p>
    <w:p w14:paraId="578492B2" w14:textId="376E206C" w:rsidR="001500B0" w:rsidRPr="001500B0" w:rsidRDefault="001500B0" w:rsidP="00D25872">
      <w:pPr>
        <w:pStyle w:val="ListParagraph"/>
        <w:numPr>
          <w:ilvl w:val="0"/>
          <w:numId w:val="36"/>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Food security and nutrition</w:t>
      </w:r>
    </w:p>
    <w:p w14:paraId="0FE42E2F" w14:textId="77777777" w:rsidR="001500B0" w:rsidRDefault="001500B0" w:rsidP="00713D4C">
      <w:pPr>
        <w:spacing w:after="0" w:line="240" w:lineRule="auto"/>
        <w:jc w:val="both"/>
        <w:rPr>
          <w:sz w:val="22"/>
          <w:szCs w:val="22"/>
        </w:rPr>
      </w:pPr>
    </w:p>
    <w:p w14:paraId="22E20869" w14:textId="77777777" w:rsidR="001500B0" w:rsidRDefault="001500B0" w:rsidP="00713D4C">
      <w:pPr>
        <w:spacing w:after="0" w:line="240" w:lineRule="auto"/>
        <w:jc w:val="both"/>
        <w:rPr>
          <w:sz w:val="22"/>
          <w:szCs w:val="22"/>
        </w:rPr>
      </w:pPr>
    </w:p>
    <w:p w14:paraId="7431A82C" w14:textId="3FCC7CF1" w:rsidR="00713D4C" w:rsidRPr="0039008C" w:rsidRDefault="00713D4C" w:rsidP="00713D4C">
      <w:pPr>
        <w:spacing w:after="0" w:line="240" w:lineRule="auto"/>
        <w:jc w:val="both"/>
        <w:rPr>
          <w:sz w:val="22"/>
          <w:szCs w:val="22"/>
        </w:rPr>
      </w:pPr>
      <w:r>
        <w:rPr>
          <w:sz w:val="22"/>
          <w:szCs w:val="22"/>
        </w:rPr>
        <w:t>Additional proposals:</w:t>
      </w:r>
    </w:p>
    <w:p w14:paraId="724F947D" w14:textId="66A69736" w:rsidR="00713D4C" w:rsidRPr="00B162CE" w:rsidRDefault="00BF510E" w:rsidP="00D25872">
      <w:pPr>
        <w:pStyle w:val="ListParagraph"/>
        <w:numPr>
          <w:ilvl w:val="0"/>
          <w:numId w:val="27"/>
        </w:numPr>
        <w:spacing w:after="0" w:line="240" w:lineRule="auto"/>
        <w:jc w:val="both"/>
        <w:rPr>
          <w:sz w:val="22"/>
          <w:szCs w:val="22"/>
        </w:rPr>
      </w:pPr>
      <w:r w:rsidRPr="00BF510E">
        <w:rPr>
          <w:sz w:val="22"/>
          <w:szCs w:val="22"/>
        </w:rPr>
        <w:t>To better realign especially issues related to environment and social protection</w:t>
      </w:r>
    </w:p>
    <w:p w14:paraId="720073C5" w14:textId="77777777" w:rsidR="00713D4C" w:rsidRDefault="00713D4C" w:rsidP="00713D4C">
      <w:pPr>
        <w:spacing w:after="0" w:line="240" w:lineRule="auto"/>
        <w:jc w:val="both"/>
        <w:rPr>
          <w:sz w:val="22"/>
          <w:szCs w:val="22"/>
          <w:u w:val="single"/>
        </w:rPr>
      </w:pPr>
    </w:p>
    <w:p w14:paraId="16665038" w14:textId="77777777" w:rsidR="00713D4C" w:rsidRPr="003A32A6" w:rsidRDefault="00713D4C" w:rsidP="00713D4C">
      <w:pPr>
        <w:spacing w:after="0" w:line="240" w:lineRule="auto"/>
        <w:jc w:val="both"/>
        <w:rPr>
          <w:sz w:val="22"/>
          <w:szCs w:val="22"/>
        </w:rPr>
      </w:pPr>
      <w:r>
        <w:rPr>
          <w:sz w:val="22"/>
          <w:szCs w:val="22"/>
        </w:rPr>
        <w:t>Concerns/objections:</w:t>
      </w:r>
    </w:p>
    <w:p w14:paraId="6E202D5D" w14:textId="00AB6A1F" w:rsidR="00713D4C" w:rsidRDefault="00083AC4" w:rsidP="00D25872">
      <w:pPr>
        <w:pStyle w:val="ListParagraph"/>
        <w:numPr>
          <w:ilvl w:val="0"/>
          <w:numId w:val="27"/>
        </w:numPr>
        <w:spacing w:after="0" w:line="240" w:lineRule="auto"/>
        <w:jc w:val="both"/>
        <w:rPr>
          <w:sz w:val="22"/>
          <w:szCs w:val="22"/>
        </w:rPr>
      </w:pPr>
      <w:r w:rsidRPr="00083AC4">
        <w:rPr>
          <w:sz w:val="22"/>
          <w:szCs w:val="22"/>
        </w:rPr>
        <w:t xml:space="preserve">Obtaining data to </w:t>
      </w:r>
      <w:proofErr w:type="gramStart"/>
      <w:r w:rsidRPr="00083AC4">
        <w:rPr>
          <w:sz w:val="22"/>
          <w:szCs w:val="22"/>
        </w:rPr>
        <w:t>breakdown</w:t>
      </w:r>
      <w:proofErr w:type="gramEnd"/>
      <w:r w:rsidRPr="00083AC4">
        <w:rPr>
          <w:sz w:val="22"/>
          <w:szCs w:val="22"/>
        </w:rPr>
        <w:t xml:space="preserve"> multi-purpose expenditure is difficult and COFOG compilation would depend on too many technical coefficients, which probably would only be revised during benchmark revisions</w:t>
      </w:r>
    </w:p>
    <w:p w14:paraId="4590C198" w14:textId="538B7AE4" w:rsidR="00BA6589" w:rsidRDefault="00BA6589" w:rsidP="00D25872">
      <w:pPr>
        <w:pStyle w:val="ListParagraph"/>
        <w:numPr>
          <w:ilvl w:val="0"/>
          <w:numId w:val="27"/>
        </w:numPr>
        <w:spacing w:after="0" w:line="240" w:lineRule="auto"/>
        <w:jc w:val="both"/>
        <w:rPr>
          <w:sz w:val="22"/>
          <w:szCs w:val="22"/>
        </w:rPr>
      </w:pPr>
      <w:r>
        <w:rPr>
          <w:sz w:val="22"/>
          <w:szCs w:val="22"/>
        </w:rPr>
        <w:t>Re: long-term care, s</w:t>
      </w:r>
      <w:r w:rsidRPr="00BA6589">
        <w:rPr>
          <w:sz w:val="22"/>
          <w:szCs w:val="22"/>
        </w:rPr>
        <w:t>eems in practice difficult to distinguish social protection and health services to the relevant beneficiaries</w:t>
      </w:r>
    </w:p>
    <w:p w14:paraId="3480F9FA" w14:textId="7E683EB9" w:rsidR="001B61E6" w:rsidRPr="00BA6589" w:rsidRDefault="001B61E6" w:rsidP="00D25872">
      <w:pPr>
        <w:pStyle w:val="ListParagraph"/>
        <w:numPr>
          <w:ilvl w:val="0"/>
          <w:numId w:val="27"/>
        </w:numPr>
        <w:spacing w:after="0" w:line="240" w:lineRule="auto"/>
        <w:jc w:val="both"/>
        <w:rPr>
          <w:sz w:val="22"/>
          <w:szCs w:val="22"/>
        </w:rPr>
      </w:pPr>
      <w:r w:rsidRPr="001B61E6">
        <w:rPr>
          <w:sz w:val="22"/>
          <w:szCs w:val="22"/>
        </w:rPr>
        <w:t>Having long-term care contained within one division would be preferable</w:t>
      </w:r>
    </w:p>
    <w:p w14:paraId="5D5FC82C" w14:textId="7526687E" w:rsidR="00BA6589" w:rsidRPr="00BA6589" w:rsidRDefault="00BA6589" w:rsidP="00D25872">
      <w:pPr>
        <w:pStyle w:val="ListParagraph"/>
        <w:numPr>
          <w:ilvl w:val="0"/>
          <w:numId w:val="27"/>
        </w:numPr>
        <w:spacing w:after="0" w:line="240" w:lineRule="auto"/>
        <w:jc w:val="both"/>
        <w:rPr>
          <w:sz w:val="22"/>
          <w:szCs w:val="22"/>
        </w:rPr>
      </w:pPr>
      <w:r w:rsidRPr="00BA6589">
        <w:rPr>
          <w:sz w:val="22"/>
          <w:szCs w:val="22"/>
        </w:rPr>
        <w:t>Net-zero spending</w:t>
      </w:r>
      <w:r>
        <w:rPr>
          <w:sz w:val="22"/>
          <w:szCs w:val="22"/>
        </w:rPr>
        <w:t xml:space="preserve"> </w:t>
      </w:r>
      <w:r w:rsidRPr="00BA6589">
        <w:rPr>
          <w:sz w:val="22"/>
          <w:szCs w:val="22"/>
        </w:rPr>
        <w:t>concept is broad and hardly operational in COFOG, and measures should already be captured in specific groups of div 05</w:t>
      </w:r>
      <w:r>
        <w:rPr>
          <w:sz w:val="22"/>
          <w:szCs w:val="22"/>
        </w:rPr>
        <w:t xml:space="preserve"> </w:t>
      </w:r>
      <w:r w:rsidRPr="00BA6589">
        <w:rPr>
          <w:sz w:val="22"/>
          <w:szCs w:val="22"/>
        </w:rPr>
        <w:t>(04)</w:t>
      </w:r>
    </w:p>
    <w:p w14:paraId="63792B64" w14:textId="432C57A1" w:rsidR="00713D4C" w:rsidRDefault="00BA6589" w:rsidP="00D25872">
      <w:pPr>
        <w:pStyle w:val="ListParagraph"/>
        <w:numPr>
          <w:ilvl w:val="0"/>
          <w:numId w:val="27"/>
        </w:numPr>
        <w:spacing w:after="0" w:line="240" w:lineRule="auto"/>
        <w:jc w:val="both"/>
        <w:rPr>
          <w:sz w:val="22"/>
          <w:szCs w:val="22"/>
        </w:rPr>
      </w:pPr>
      <w:r>
        <w:rPr>
          <w:sz w:val="22"/>
          <w:szCs w:val="22"/>
        </w:rPr>
        <w:t>R</w:t>
      </w:r>
      <w:r w:rsidR="009D1538">
        <w:rPr>
          <w:sz w:val="22"/>
          <w:szCs w:val="22"/>
        </w:rPr>
        <w:t>e</w:t>
      </w:r>
      <w:r>
        <w:rPr>
          <w:sz w:val="22"/>
          <w:szCs w:val="22"/>
        </w:rPr>
        <w:t>: f</w:t>
      </w:r>
      <w:r w:rsidRPr="00BA6589">
        <w:rPr>
          <w:sz w:val="22"/>
          <w:szCs w:val="22"/>
        </w:rPr>
        <w:t>ood security and nutrition</w:t>
      </w:r>
      <w:r w:rsidR="00C464CC">
        <w:rPr>
          <w:sz w:val="22"/>
          <w:szCs w:val="22"/>
        </w:rPr>
        <w:t>, s</w:t>
      </w:r>
      <w:r w:rsidRPr="00BA6589">
        <w:rPr>
          <w:sz w:val="22"/>
          <w:szCs w:val="22"/>
        </w:rPr>
        <w:t>ee div 10, e.g.</w:t>
      </w:r>
      <w:r w:rsidR="00C464CC">
        <w:rPr>
          <w:sz w:val="22"/>
          <w:szCs w:val="22"/>
        </w:rPr>
        <w:t xml:space="preserve"> </w:t>
      </w:r>
      <w:r w:rsidRPr="00BA6589">
        <w:rPr>
          <w:sz w:val="22"/>
          <w:szCs w:val="22"/>
        </w:rPr>
        <w:t>group 10.7</w:t>
      </w:r>
      <w:r w:rsidR="00C464CC">
        <w:rPr>
          <w:sz w:val="22"/>
          <w:szCs w:val="22"/>
        </w:rPr>
        <w:t>, seems</w:t>
      </w:r>
      <w:r w:rsidRPr="00BA6589">
        <w:rPr>
          <w:sz w:val="22"/>
          <w:szCs w:val="22"/>
        </w:rPr>
        <w:t xml:space="preserve"> a discussion on dividing group 10.7 into classes by broad categories of vulnerability could be considered</w:t>
      </w:r>
    </w:p>
    <w:p w14:paraId="10FE965A" w14:textId="47D1B45D" w:rsidR="00197B64" w:rsidRDefault="00197B64" w:rsidP="00D25872">
      <w:pPr>
        <w:pStyle w:val="ListParagraph"/>
        <w:numPr>
          <w:ilvl w:val="0"/>
          <w:numId w:val="27"/>
        </w:numPr>
        <w:spacing w:after="0" w:line="240" w:lineRule="auto"/>
        <w:jc w:val="both"/>
        <w:rPr>
          <w:sz w:val="22"/>
          <w:szCs w:val="22"/>
        </w:rPr>
      </w:pPr>
      <w:proofErr w:type="gramStart"/>
      <w:r>
        <w:rPr>
          <w:sz w:val="22"/>
          <w:szCs w:val="22"/>
        </w:rPr>
        <w:t>Feels</w:t>
      </w:r>
      <w:proofErr w:type="gramEnd"/>
      <w:r>
        <w:rPr>
          <w:sz w:val="22"/>
          <w:szCs w:val="22"/>
        </w:rPr>
        <w:t xml:space="preserve"> s</w:t>
      </w:r>
      <w:r w:rsidRPr="00197B64">
        <w:rPr>
          <w:sz w:val="22"/>
          <w:szCs w:val="22"/>
        </w:rPr>
        <w:t>imilar to issue B2 and that most of the problems could be solved through an effective way of allocating primary and secondary spending to different categories</w:t>
      </w:r>
    </w:p>
    <w:p w14:paraId="22B96C89" w14:textId="77777777" w:rsidR="00713D4C" w:rsidRDefault="00713D4C" w:rsidP="00450C7E">
      <w:pPr>
        <w:spacing w:after="0" w:line="240" w:lineRule="auto"/>
        <w:jc w:val="both"/>
        <w:rPr>
          <w:sz w:val="22"/>
          <w:szCs w:val="22"/>
        </w:rPr>
      </w:pPr>
    </w:p>
    <w:p w14:paraId="2527B06D" w14:textId="77777777" w:rsidR="00713D4C" w:rsidRDefault="00713D4C" w:rsidP="00450C7E">
      <w:pPr>
        <w:spacing w:after="0" w:line="240" w:lineRule="auto"/>
        <w:jc w:val="both"/>
        <w:rPr>
          <w:sz w:val="22"/>
          <w:szCs w:val="22"/>
        </w:rPr>
      </w:pPr>
    </w:p>
    <w:p w14:paraId="56EA9DFC" w14:textId="1E121FF3" w:rsidR="00713D4C" w:rsidRDefault="00713D4C" w:rsidP="00713D4C">
      <w:pPr>
        <w:spacing w:after="0" w:line="240" w:lineRule="auto"/>
        <w:jc w:val="both"/>
        <w:rPr>
          <w:sz w:val="22"/>
          <w:szCs w:val="22"/>
          <w:u w:val="single"/>
        </w:rPr>
      </w:pPr>
      <w:r w:rsidRPr="00DC0BBC">
        <w:rPr>
          <w:sz w:val="22"/>
          <w:szCs w:val="22"/>
          <w:u w:val="single"/>
        </w:rPr>
        <w:t>A1</w:t>
      </w:r>
      <w:r w:rsidR="007E255F">
        <w:rPr>
          <w:sz w:val="22"/>
          <w:szCs w:val="22"/>
          <w:u w:val="single"/>
        </w:rPr>
        <w:t>2</w:t>
      </w:r>
      <w:r w:rsidRPr="00DC0BBC">
        <w:rPr>
          <w:sz w:val="22"/>
          <w:szCs w:val="22"/>
          <w:u w:val="single"/>
        </w:rPr>
        <w:t xml:space="preserve">. </w:t>
      </w:r>
      <w:r w:rsidR="007E255F">
        <w:rPr>
          <w:sz w:val="22"/>
          <w:szCs w:val="22"/>
          <w:u w:val="single"/>
        </w:rPr>
        <w:t>R&amp;D</w:t>
      </w:r>
    </w:p>
    <w:p w14:paraId="01BBB48D" w14:textId="77777777" w:rsidR="00713D4C" w:rsidRDefault="00713D4C" w:rsidP="00713D4C">
      <w:pPr>
        <w:spacing w:after="0" w:line="240" w:lineRule="auto"/>
        <w:jc w:val="both"/>
        <w:rPr>
          <w:sz w:val="22"/>
          <w:szCs w:val="22"/>
        </w:rPr>
      </w:pPr>
    </w:p>
    <w:p w14:paraId="1BC861EC" w14:textId="5CE9D849" w:rsidR="000502E0" w:rsidRDefault="000502E0" w:rsidP="00713D4C">
      <w:pPr>
        <w:spacing w:after="0" w:line="240" w:lineRule="auto"/>
        <w:jc w:val="both"/>
        <w:rPr>
          <w:sz w:val="22"/>
          <w:szCs w:val="22"/>
        </w:rPr>
      </w:pPr>
      <w:r>
        <w:rPr>
          <w:sz w:val="22"/>
          <w:szCs w:val="22"/>
        </w:rPr>
        <w:t>Original proposals:</w:t>
      </w:r>
    </w:p>
    <w:p w14:paraId="3E80D061" w14:textId="77777777" w:rsidR="00A05912" w:rsidRPr="00386114" w:rsidRDefault="00A05912" w:rsidP="00D25872">
      <w:pPr>
        <w:pStyle w:val="ListParagraph"/>
        <w:numPr>
          <w:ilvl w:val="0"/>
          <w:numId w:val="35"/>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Whether expenditures related to R&amp;D are better grouped into a single COFOG division or stay aligned within their respective divisions</w:t>
      </w:r>
    </w:p>
    <w:p w14:paraId="6EC6EC68" w14:textId="77777777" w:rsidR="00A05912" w:rsidRPr="00386114" w:rsidRDefault="00A05912" w:rsidP="00D25872">
      <w:pPr>
        <w:pStyle w:val="ListParagraph"/>
        <w:numPr>
          <w:ilvl w:val="0"/>
          <w:numId w:val="35"/>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Whether to include additional breakdowns on R&amp;D expenditures at the lower group or class level</w:t>
      </w:r>
    </w:p>
    <w:p w14:paraId="60684372" w14:textId="77777777" w:rsidR="00A05912" w:rsidRPr="00386114" w:rsidRDefault="00A05912" w:rsidP="00D25872">
      <w:pPr>
        <w:pStyle w:val="ListParagraph"/>
        <w:numPr>
          <w:ilvl w:val="0"/>
          <w:numId w:val="35"/>
        </w:numPr>
        <w:pBdr>
          <w:top w:val="single" w:sz="4" w:space="1" w:color="auto"/>
          <w:left w:val="single" w:sz="4" w:space="4" w:color="auto"/>
          <w:bottom w:val="single" w:sz="4" w:space="1" w:color="auto"/>
          <w:right w:val="single" w:sz="4" w:space="4" w:color="auto"/>
        </w:pBdr>
        <w:spacing w:after="0" w:line="240" w:lineRule="auto"/>
        <w:jc w:val="both"/>
        <w:rPr>
          <w:sz w:val="22"/>
          <w:szCs w:val="22"/>
        </w:rPr>
      </w:pPr>
      <w:r w:rsidRPr="00386114">
        <w:rPr>
          <w:sz w:val="22"/>
          <w:szCs w:val="22"/>
        </w:rPr>
        <w:t xml:space="preserve">Improved alignment with the “Nomenclature for the Analysis and Comparison of Scientific Programmes and Budget” (NABS) that is used for the reporting of Government Budgets for R&amp;D </w:t>
      </w:r>
    </w:p>
    <w:p w14:paraId="1AF05B63" w14:textId="77777777" w:rsidR="00A05912" w:rsidRPr="00386114" w:rsidRDefault="00A05912" w:rsidP="00D25872">
      <w:pPr>
        <w:pStyle w:val="ListParagraph"/>
        <w:numPr>
          <w:ilvl w:val="0"/>
          <w:numId w:val="35"/>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Inclusion of R&amp;D from tertiary educational institutions</w:t>
      </w:r>
    </w:p>
    <w:p w14:paraId="5BBFB6BF" w14:textId="77777777" w:rsidR="000502E0" w:rsidRDefault="000502E0" w:rsidP="00713D4C">
      <w:pPr>
        <w:spacing w:after="0" w:line="240" w:lineRule="auto"/>
        <w:jc w:val="both"/>
        <w:rPr>
          <w:sz w:val="22"/>
          <w:szCs w:val="22"/>
        </w:rPr>
      </w:pPr>
    </w:p>
    <w:p w14:paraId="190A3D32" w14:textId="473873CF" w:rsidR="00713D4C" w:rsidRPr="0039008C" w:rsidRDefault="00713D4C" w:rsidP="00713D4C">
      <w:pPr>
        <w:spacing w:after="0" w:line="240" w:lineRule="auto"/>
        <w:jc w:val="both"/>
        <w:rPr>
          <w:sz w:val="22"/>
          <w:szCs w:val="22"/>
        </w:rPr>
      </w:pPr>
      <w:r>
        <w:rPr>
          <w:sz w:val="22"/>
          <w:szCs w:val="22"/>
        </w:rPr>
        <w:t>Additional proposals:</w:t>
      </w:r>
    </w:p>
    <w:p w14:paraId="2FC520DC" w14:textId="4E1516F6" w:rsidR="00713D4C" w:rsidRPr="00EB68B8" w:rsidRDefault="00436177" w:rsidP="00D25872">
      <w:pPr>
        <w:pStyle w:val="ListParagraph"/>
        <w:numPr>
          <w:ilvl w:val="0"/>
          <w:numId w:val="27"/>
        </w:numPr>
        <w:spacing w:after="0" w:line="240" w:lineRule="auto"/>
        <w:jc w:val="both"/>
        <w:rPr>
          <w:sz w:val="22"/>
          <w:szCs w:val="22"/>
        </w:rPr>
      </w:pPr>
      <w:r>
        <w:rPr>
          <w:sz w:val="22"/>
          <w:szCs w:val="22"/>
        </w:rPr>
        <w:t>S</w:t>
      </w:r>
      <w:r w:rsidRPr="00436177">
        <w:rPr>
          <w:sz w:val="22"/>
          <w:szCs w:val="22"/>
        </w:rPr>
        <w:t xml:space="preserve">hould be a sub-group within R&amp;D to determine which economic fields benefit from the </w:t>
      </w:r>
      <w:r>
        <w:rPr>
          <w:sz w:val="22"/>
          <w:szCs w:val="22"/>
        </w:rPr>
        <w:t>R&amp;D</w:t>
      </w:r>
    </w:p>
    <w:p w14:paraId="32801469" w14:textId="77777777" w:rsidR="00713D4C" w:rsidRDefault="00713D4C" w:rsidP="00713D4C">
      <w:pPr>
        <w:spacing w:after="0" w:line="240" w:lineRule="auto"/>
        <w:jc w:val="both"/>
        <w:rPr>
          <w:sz w:val="22"/>
          <w:szCs w:val="22"/>
          <w:u w:val="single"/>
        </w:rPr>
      </w:pPr>
    </w:p>
    <w:p w14:paraId="769BC35A" w14:textId="77777777" w:rsidR="00713D4C" w:rsidRPr="003A32A6" w:rsidRDefault="00713D4C" w:rsidP="00713D4C">
      <w:pPr>
        <w:spacing w:after="0" w:line="240" w:lineRule="auto"/>
        <w:jc w:val="both"/>
        <w:rPr>
          <w:sz w:val="22"/>
          <w:szCs w:val="22"/>
        </w:rPr>
      </w:pPr>
      <w:r>
        <w:rPr>
          <w:sz w:val="22"/>
          <w:szCs w:val="22"/>
        </w:rPr>
        <w:t>Concerns/objections:</w:t>
      </w:r>
    </w:p>
    <w:p w14:paraId="50A25146" w14:textId="545A57C8" w:rsidR="00713D4C" w:rsidRDefault="009267AD" w:rsidP="00D25872">
      <w:pPr>
        <w:pStyle w:val="ListParagraph"/>
        <w:numPr>
          <w:ilvl w:val="0"/>
          <w:numId w:val="27"/>
        </w:numPr>
        <w:spacing w:after="0" w:line="240" w:lineRule="auto"/>
        <w:jc w:val="both"/>
        <w:rPr>
          <w:sz w:val="22"/>
          <w:szCs w:val="22"/>
        </w:rPr>
      </w:pPr>
      <w:r w:rsidRPr="009267AD">
        <w:rPr>
          <w:sz w:val="22"/>
          <w:szCs w:val="22"/>
        </w:rPr>
        <w:t xml:space="preserve">Compilation of R&amp;D is already today complicated. Further details </w:t>
      </w:r>
      <w:proofErr w:type="gramStart"/>
      <w:r w:rsidRPr="009267AD">
        <w:rPr>
          <w:sz w:val="22"/>
          <w:szCs w:val="22"/>
        </w:rPr>
        <w:t>seem not</w:t>
      </w:r>
      <w:proofErr w:type="gramEnd"/>
      <w:r w:rsidRPr="009267AD">
        <w:rPr>
          <w:sz w:val="22"/>
          <w:szCs w:val="22"/>
        </w:rPr>
        <w:t xml:space="preserve"> advisable</w:t>
      </w:r>
    </w:p>
    <w:p w14:paraId="7E14D4C0" w14:textId="03F90CC5" w:rsidR="00713D4C" w:rsidRDefault="0030120C" w:rsidP="00D25872">
      <w:pPr>
        <w:pStyle w:val="ListParagraph"/>
        <w:numPr>
          <w:ilvl w:val="0"/>
          <w:numId w:val="27"/>
        </w:numPr>
        <w:spacing w:after="0" w:line="240" w:lineRule="auto"/>
        <w:jc w:val="both"/>
        <w:rPr>
          <w:sz w:val="22"/>
          <w:szCs w:val="22"/>
        </w:rPr>
      </w:pPr>
      <w:r w:rsidRPr="0030120C">
        <w:rPr>
          <w:sz w:val="22"/>
          <w:szCs w:val="22"/>
        </w:rPr>
        <w:lastRenderedPageBreak/>
        <w:t>COFOG doesn</w:t>
      </w:r>
      <w:r w:rsidR="00B953A6">
        <w:rPr>
          <w:sz w:val="22"/>
          <w:szCs w:val="22"/>
        </w:rPr>
        <w:t>’</w:t>
      </w:r>
      <w:r w:rsidRPr="0030120C">
        <w:rPr>
          <w:sz w:val="22"/>
          <w:szCs w:val="22"/>
        </w:rPr>
        <w:t xml:space="preserve">t align with FRASCATI, which is required for OECD reporting. </w:t>
      </w:r>
      <w:proofErr w:type="gramStart"/>
      <w:r>
        <w:rPr>
          <w:sz w:val="22"/>
          <w:szCs w:val="22"/>
        </w:rPr>
        <w:t>C</w:t>
      </w:r>
      <w:r w:rsidRPr="0030120C">
        <w:rPr>
          <w:sz w:val="22"/>
          <w:szCs w:val="22"/>
        </w:rPr>
        <w:t>onsidered</w:t>
      </w:r>
      <w:proofErr w:type="gramEnd"/>
      <w:r w:rsidRPr="0030120C">
        <w:rPr>
          <w:sz w:val="22"/>
          <w:szCs w:val="22"/>
        </w:rPr>
        <w:t xml:space="preserve"> </w:t>
      </w:r>
      <w:proofErr w:type="gramStart"/>
      <w:r w:rsidRPr="0030120C">
        <w:rPr>
          <w:sz w:val="22"/>
          <w:szCs w:val="22"/>
        </w:rPr>
        <w:t>feasibility</w:t>
      </w:r>
      <w:proofErr w:type="gramEnd"/>
      <w:r w:rsidRPr="0030120C">
        <w:rPr>
          <w:sz w:val="22"/>
          <w:szCs w:val="22"/>
        </w:rPr>
        <w:t xml:space="preserve"> of aligning data </w:t>
      </w:r>
      <w:proofErr w:type="gramStart"/>
      <w:r w:rsidRPr="0030120C">
        <w:rPr>
          <w:sz w:val="22"/>
          <w:szCs w:val="22"/>
        </w:rPr>
        <w:t>requirements, but</w:t>
      </w:r>
      <w:proofErr w:type="gramEnd"/>
      <w:r w:rsidRPr="0030120C">
        <w:rPr>
          <w:sz w:val="22"/>
          <w:szCs w:val="22"/>
        </w:rPr>
        <w:t xml:space="preserve"> seems impossible currently. FRASCATI manual says “use of COFOG headings for government institutions in the context of R&amp;D statistics cannot be recommended by this manual, because categories are not </w:t>
      </w:r>
      <w:r w:rsidR="00760728" w:rsidRPr="00760728">
        <w:rPr>
          <w:sz w:val="22"/>
          <w:szCs w:val="22"/>
        </w:rPr>
        <w:t>optimised for the purpose</w:t>
      </w:r>
      <w:r w:rsidRPr="0030120C">
        <w:rPr>
          <w:sz w:val="22"/>
          <w:szCs w:val="22"/>
        </w:rPr>
        <w:t xml:space="preserve"> of describing R&amp;D expenditures”</w:t>
      </w:r>
    </w:p>
    <w:p w14:paraId="295B4708" w14:textId="77777777" w:rsidR="00663D50" w:rsidRPr="00ED4E69" w:rsidRDefault="00663D50" w:rsidP="00663D50">
      <w:pPr>
        <w:pStyle w:val="ListParagraph"/>
        <w:numPr>
          <w:ilvl w:val="0"/>
          <w:numId w:val="27"/>
        </w:numPr>
        <w:spacing w:after="0" w:line="240" w:lineRule="auto"/>
        <w:jc w:val="both"/>
        <w:rPr>
          <w:sz w:val="22"/>
          <w:szCs w:val="22"/>
        </w:rPr>
      </w:pPr>
      <w:r>
        <w:rPr>
          <w:sz w:val="22"/>
          <w:szCs w:val="22"/>
        </w:rPr>
        <w:t>A</w:t>
      </w:r>
      <w:r w:rsidRPr="00ED4E69">
        <w:rPr>
          <w:sz w:val="22"/>
          <w:szCs w:val="22"/>
        </w:rPr>
        <w:t xml:space="preserve">lready challenging to have the 11 groups related to R&amp;D and harmonization has proven difficult. </w:t>
      </w:r>
      <w:proofErr w:type="gramStart"/>
      <w:r>
        <w:rPr>
          <w:sz w:val="22"/>
          <w:szCs w:val="22"/>
        </w:rPr>
        <w:t>S</w:t>
      </w:r>
      <w:r w:rsidRPr="00ED4E69">
        <w:rPr>
          <w:sz w:val="22"/>
          <w:szCs w:val="22"/>
        </w:rPr>
        <w:t>hould</w:t>
      </w:r>
      <w:proofErr w:type="gramEnd"/>
      <w:r w:rsidRPr="00ED4E69">
        <w:rPr>
          <w:sz w:val="22"/>
          <w:szCs w:val="22"/>
        </w:rPr>
        <w:t xml:space="preserve"> be a consolidation of R&amp;D expenditure rather than reliance on further assumptions</w:t>
      </w:r>
    </w:p>
    <w:p w14:paraId="704BDC9C" w14:textId="0F19930B" w:rsidR="00663D50" w:rsidRPr="00663D50" w:rsidRDefault="00663D50" w:rsidP="00663D50">
      <w:pPr>
        <w:pStyle w:val="ListParagraph"/>
        <w:numPr>
          <w:ilvl w:val="0"/>
          <w:numId w:val="27"/>
        </w:numPr>
        <w:spacing w:after="0" w:line="240" w:lineRule="auto"/>
        <w:jc w:val="both"/>
        <w:rPr>
          <w:sz w:val="22"/>
          <w:szCs w:val="22"/>
        </w:rPr>
      </w:pPr>
      <w:r w:rsidRPr="00ED4E69">
        <w:rPr>
          <w:sz w:val="22"/>
          <w:szCs w:val="22"/>
        </w:rPr>
        <w:t>Alignment seems not possible as expenditure in universities in NABS is not split according to purpose. Following NABS implies overstatement of education division. Moreover, NABS not aligned with national account concepts on sectorization &amp; accrual</w:t>
      </w:r>
    </w:p>
    <w:p w14:paraId="0FE81E99" w14:textId="77777777" w:rsidR="00713D4C" w:rsidRDefault="00713D4C" w:rsidP="00450C7E">
      <w:pPr>
        <w:spacing w:after="0" w:line="240" w:lineRule="auto"/>
        <w:jc w:val="both"/>
        <w:rPr>
          <w:sz w:val="22"/>
          <w:szCs w:val="22"/>
        </w:rPr>
      </w:pPr>
    </w:p>
    <w:p w14:paraId="5679E593" w14:textId="77777777" w:rsidR="00AC4B7E" w:rsidRDefault="00AC4B7E" w:rsidP="00450C7E">
      <w:pPr>
        <w:spacing w:after="0" w:line="240" w:lineRule="auto"/>
        <w:jc w:val="both"/>
        <w:rPr>
          <w:sz w:val="22"/>
          <w:szCs w:val="22"/>
        </w:rPr>
      </w:pPr>
    </w:p>
    <w:p w14:paraId="71A47D88" w14:textId="189C4734" w:rsidR="00AC4B7E" w:rsidRDefault="00AC4B7E" w:rsidP="00CA19D1">
      <w:pPr>
        <w:spacing w:after="0" w:line="240" w:lineRule="auto"/>
        <w:jc w:val="both"/>
        <w:rPr>
          <w:sz w:val="22"/>
          <w:szCs w:val="22"/>
          <w:u w:val="single"/>
        </w:rPr>
      </w:pPr>
      <w:r w:rsidRPr="00DC0BBC">
        <w:rPr>
          <w:sz w:val="22"/>
          <w:szCs w:val="22"/>
          <w:u w:val="single"/>
        </w:rPr>
        <w:t>A1</w:t>
      </w:r>
      <w:r>
        <w:rPr>
          <w:sz w:val="22"/>
          <w:szCs w:val="22"/>
          <w:u w:val="single"/>
        </w:rPr>
        <w:t xml:space="preserve">3. </w:t>
      </w:r>
      <w:r w:rsidR="00285307">
        <w:rPr>
          <w:sz w:val="22"/>
          <w:szCs w:val="22"/>
          <w:u w:val="single"/>
        </w:rPr>
        <w:t>Digitalization</w:t>
      </w:r>
    </w:p>
    <w:p w14:paraId="4E70D0C1" w14:textId="77777777" w:rsidR="00AC4B7E" w:rsidRDefault="00AC4B7E" w:rsidP="00AC4B7E">
      <w:pPr>
        <w:spacing w:after="0" w:line="240" w:lineRule="auto"/>
        <w:jc w:val="both"/>
        <w:rPr>
          <w:sz w:val="22"/>
          <w:szCs w:val="22"/>
          <w:u w:val="single"/>
        </w:rPr>
      </w:pPr>
    </w:p>
    <w:p w14:paraId="128F0DA2" w14:textId="7E76FB1D" w:rsidR="00E0577F" w:rsidRDefault="00E0577F" w:rsidP="00AC4B7E">
      <w:pPr>
        <w:spacing w:after="0" w:line="240" w:lineRule="auto"/>
        <w:jc w:val="both"/>
        <w:rPr>
          <w:sz w:val="22"/>
          <w:szCs w:val="22"/>
        </w:rPr>
      </w:pPr>
      <w:r>
        <w:rPr>
          <w:sz w:val="22"/>
          <w:szCs w:val="22"/>
        </w:rPr>
        <w:t>Original proposals:</w:t>
      </w:r>
    </w:p>
    <w:p w14:paraId="6C7F4120" w14:textId="77777777" w:rsidR="00E0577F" w:rsidRDefault="00E0577F" w:rsidP="00AC4B7E">
      <w:pPr>
        <w:spacing w:after="0" w:line="240" w:lineRule="auto"/>
        <w:jc w:val="both"/>
        <w:rPr>
          <w:sz w:val="22"/>
          <w:szCs w:val="22"/>
        </w:rPr>
      </w:pPr>
    </w:p>
    <w:p w14:paraId="5727ED1A" w14:textId="77777777" w:rsidR="00E0577F" w:rsidRPr="00386114" w:rsidRDefault="00E0577F" w:rsidP="00D25872">
      <w:pPr>
        <w:pStyle w:val="ListParagraph"/>
        <w:numPr>
          <w:ilvl w:val="0"/>
          <w:numId w:val="48"/>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Further develop guidance on the treatment of expenditures related to digitalization</w:t>
      </w:r>
    </w:p>
    <w:p w14:paraId="31BFF01D" w14:textId="77777777" w:rsidR="00E0577F" w:rsidRPr="00386114" w:rsidRDefault="00E0577F" w:rsidP="00D25872">
      <w:pPr>
        <w:pStyle w:val="ListParagraph"/>
        <w:numPr>
          <w:ilvl w:val="0"/>
          <w:numId w:val="48"/>
        </w:numPr>
        <w:pBdr>
          <w:top w:val="single" w:sz="4" w:space="1" w:color="auto"/>
          <w:left w:val="single" w:sz="4" w:space="4" w:color="auto"/>
          <w:bottom w:val="single" w:sz="4" w:space="1" w:color="auto"/>
          <w:right w:val="single" w:sz="4" w:space="4" w:color="auto"/>
        </w:pBdr>
        <w:spacing w:line="240" w:lineRule="auto"/>
        <w:jc w:val="both"/>
        <w:rPr>
          <w:sz w:val="22"/>
          <w:szCs w:val="22"/>
        </w:rPr>
      </w:pPr>
      <w:r w:rsidRPr="00386114">
        <w:rPr>
          <w:sz w:val="22"/>
          <w:szCs w:val="22"/>
        </w:rPr>
        <w:t>Review priority areas including the digital economy, data, free digital assets and services, and crypto assets</w:t>
      </w:r>
    </w:p>
    <w:p w14:paraId="336224BB" w14:textId="07CCAD97" w:rsidR="00E0577F" w:rsidRPr="00E0577F" w:rsidRDefault="00E0577F" w:rsidP="00D25872">
      <w:pPr>
        <w:pStyle w:val="ListParagraph"/>
        <w:numPr>
          <w:ilvl w:val="0"/>
          <w:numId w:val="48"/>
        </w:numPr>
        <w:pBdr>
          <w:top w:val="single" w:sz="4" w:space="1" w:color="auto"/>
          <w:left w:val="single" w:sz="4" w:space="4" w:color="auto"/>
          <w:bottom w:val="single" w:sz="4" w:space="1" w:color="auto"/>
          <w:right w:val="single" w:sz="4" w:space="4" w:color="auto"/>
        </w:pBdr>
        <w:spacing w:after="0" w:line="240" w:lineRule="auto"/>
        <w:jc w:val="both"/>
        <w:rPr>
          <w:sz w:val="22"/>
          <w:szCs w:val="22"/>
        </w:rPr>
      </w:pPr>
      <w:r w:rsidRPr="00386114">
        <w:rPr>
          <w:sz w:val="22"/>
          <w:szCs w:val="22"/>
        </w:rPr>
        <w:t xml:space="preserve">Explore the feasibility in linking digitalization, which is considered as a tool in providing services to citizens in an efficient way, to the purposes of government expenditure </w:t>
      </w:r>
    </w:p>
    <w:p w14:paraId="572F67F2" w14:textId="77777777" w:rsidR="00E0577F" w:rsidRDefault="00E0577F" w:rsidP="002F051A">
      <w:pPr>
        <w:spacing w:after="0" w:line="240" w:lineRule="auto"/>
        <w:jc w:val="both"/>
        <w:rPr>
          <w:sz w:val="22"/>
          <w:szCs w:val="22"/>
        </w:rPr>
      </w:pPr>
    </w:p>
    <w:p w14:paraId="590549D0" w14:textId="150AB787" w:rsidR="00AC4B7E" w:rsidRPr="003A32A6" w:rsidRDefault="00AC4B7E" w:rsidP="00AC4B7E">
      <w:pPr>
        <w:spacing w:after="0" w:line="240" w:lineRule="auto"/>
        <w:jc w:val="both"/>
        <w:rPr>
          <w:sz w:val="22"/>
          <w:szCs w:val="22"/>
        </w:rPr>
      </w:pPr>
      <w:r>
        <w:rPr>
          <w:sz w:val="22"/>
          <w:szCs w:val="22"/>
        </w:rPr>
        <w:t>Concerns/objections:</w:t>
      </w:r>
    </w:p>
    <w:p w14:paraId="4FBD464A" w14:textId="77777777" w:rsidR="00CA19D1" w:rsidRDefault="00CA19D1" w:rsidP="00D25872">
      <w:pPr>
        <w:pStyle w:val="ListParagraph"/>
        <w:numPr>
          <w:ilvl w:val="0"/>
          <w:numId w:val="27"/>
        </w:numPr>
        <w:spacing w:after="0" w:line="240" w:lineRule="auto"/>
        <w:jc w:val="both"/>
        <w:rPr>
          <w:sz w:val="22"/>
          <w:szCs w:val="22"/>
        </w:rPr>
      </w:pPr>
      <w:r w:rsidRPr="00B81718">
        <w:rPr>
          <w:sz w:val="22"/>
          <w:szCs w:val="22"/>
        </w:rPr>
        <w:t>Digitalization is a means to an end, not a function per se</w:t>
      </w:r>
    </w:p>
    <w:p w14:paraId="2B3E55E2" w14:textId="77777777" w:rsidR="00CA19D1" w:rsidRDefault="00CA19D1" w:rsidP="00D25872">
      <w:pPr>
        <w:pStyle w:val="ListParagraph"/>
        <w:numPr>
          <w:ilvl w:val="0"/>
          <w:numId w:val="27"/>
        </w:numPr>
        <w:spacing w:after="0" w:line="240" w:lineRule="auto"/>
        <w:jc w:val="both"/>
        <w:rPr>
          <w:sz w:val="22"/>
          <w:szCs w:val="22"/>
        </w:rPr>
      </w:pPr>
      <w:r w:rsidRPr="00393266">
        <w:rPr>
          <w:sz w:val="22"/>
          <w:szCs w:val="22"/>
        </w:rPr>
        <w:t>Mixing objectives and means</w:t>
      </w:r>
    </w:p>
    <w:p w14:paraId="11718024" w14:textId="77777777" w:rsidR="00CA19D1" w:rsidRDefault="00CA19D1" w:rsidP="00D25872">
      <w:pPr>
        <w:pStyle w:val="ListParagraph"/>
        <w:numPr>
          <w:ilvl w:val="0"/>
          <w:numId w:val="27"/>
        </w:numPr>
        <w:spacing w:after="0" w:line="240" w:lineRule="auto"/>
        <w:jc w:val="both"/>
        <w:rPr>
          <w:sz w:val="22"/>
          <w:szCs w:val="22"/>
        </w:rPr>
      </w:pPr>
      <w:proofErr w:type="gramStart"/>
      <w:r>
        <w:rPr>
          <w:sz w:val="22"/>
          <w:szCs w:val="22"/>
        </w:rPr>
        <w:t>Should</w:t>
      </w:r>
      <w:proofErr w:type="gramEnd"/>
      <w:r>
        <w:rPr>
          <w:sz w:val="22"/>
          <w:szCs w:val="22"/>
        </w:rPr>
        <w:t xml:space="preserve"> be in R&amp;D</w:t>
      </w:r>
    </w:p>
    <w:p w14:paraId="4A4DB207" w14:textId="77777777" w:rsidR="00CA19D1" w:rsidRDefault="00CA19D1" w:rsidP="00D25872">
      <w:pPr>
        <w:pStyle w:val="ListParagraph"/>
        <w:numPr>
          <w:ilvl w:val="0"/>
          <w:numId w:val="27"/>
        </w:numPr>
        <w:spacing w:after="0" w:line="240" w:lineRule="auto"/>
        <w:jc w:val="both"/>
        <w:rPr>
          <w:sz w:val="22"/>
          <w:szCs w:val="22"/>
        </w:rPr>
      </w:pPr>
      <w:r>
        <w:rPr>
          <w:sz w:val="22"/>
          <w:szCs w:val="22"/>
        </w:rPr>
        <w:t>N</w:t>
      </w:r>
      <w:r w:rsidRPr="00960A67">
        <w:rPr>
          <w:sz w:val="22"/>
          <w:szCs w:val="22"/>
        </w:rPr>
        <w:t>ot worthy of its own functions. Digitalisation is more of a tool to accomplish other functions</w:t>
      </w:r>
    </w:p>
    <w:p w14:paraId="21B3A54A" w14:textId="77777777" w:rsidR="00CA19D1" w:rsidRDefault="00CA19D1" w:rsidP="00D25872">
      <w:pPr>
        <w:pStyle w:val="ListParagraph"/>
        <w:numPr>
          <w:ilvl w:val="0"/>
          <w:numId w:val="27"/>
        </w:numPr>
        <w:spacing w:after="0" w:line="240" w:lineRule="auto"/>
        <w:jc w:val="both"/>
        <w:rPr>
          <w:sz w:val="22"/>
          <w:szCs w:val="22"/>
        </w:rPr>
      </w:pPr>
      <w:r w:rsidRPr="0025007B">
        <w:rPr>
          <w:sz w:val="22"/>
          <w:szCs w:val="22"/>
        </w:rPr>
        <w:t>Nearly never the primary function of the expenditure</w:t>
      </w:r>
    </w:p>
    <w:p w14:paraId="47F72B2A" w14:textId="386C714C" w:rsidR="00AC4B7E" w:rsidRPr="00CA19D1" w:rsidRDefault="00CA19D1" w:rsidP="00D25872">
      <w:pPr>
        <w:pStyle w:val="ListParagraph"/>
        <w:numPr>
          <w:ilvl w:val="0"/>
          <w:numId w:val="27"/>
        </w:numPr>
        <w:spacing w:after="0" w:line="240" w:lineRule="auto"/>
        <w:jc w:val="both"/>
        <w:rPr>
          <w:sz w:val="22"/>
          <w:szCs w:val="22"/>
        </w:rPr>
      </w:pPr>
      <w:proofErr w:type="gramStart"/>
      <w:r w:rsidRPr="00C7235D">
        <w:rPr>
          <w:sz w:val="22"/>
          <w:szCs w:val="22"/>
        </w:rPr>
        <w:t>Would</w:t>
      </w:r>
      <w:proofErr w:type="gramEnd"/>
      <w:r w:rsidRPr="00C7235D">
        <w:rPr>
          <w:sz w:val="22"/>
          <w:szCs w:val="22"/>
        </w:rPr>
        <w:t xml:space="preserve"> be wary of over-expanding this section because of the challenges for many countries in respect to moving into the digital economy, and evolution of crypto and related activities</w:t>
      </w:r>
    </w:p>
    <w:p w14:paraId="663AC02C" w14:textId="77777777" w:rsidR="00AC4B7E" w:rsidRDefault="00AC4B7E" w:rsidP="00450C7E">
      <w:pPr>
        <w:spacing w:after="0" w:line="240" w:lineRule="auto"/>
        <w:jc w:val="both"/>
        <w:rPr>
          <w:sz w:val="22"/>
          <w:szCs w:val="22"/>
        </w:rPr>
      </w:pPr>
    </w:p>
    <w:p w14:paraId="24D214B1" w14:textId="77777777" w:rsidR="002F051A" w:rsidRDefault="002F051A" w:rsidP="00450C7E">
      <w:pPr>
        <w:spacing w:after="0" w:line="240" w:lineRule="auto"/>
        <w:jc w:val="both"/>
        <w:rPr>
          <w:sz w:val="22"/>
          <w:szCs w:val="22"/>
        </w:rPr>
      </w:pPr>
    </w:p>
    <w:p w14:paraId="327C92D6" w14:textId="6D6BCC0A" w:rsidR="00285307" w:rsidRDefault="00285307" w:rsidP="00F441E6">
      <w:pPr>
        <w:spacing w:after="0" w:line="240" w:lineRule="auto"/>
        <w:jc w:val="both"/>
        <w:rPr>
          <w:sz w:val="22"/>
          <w:szCs w:val="22"/>
          <w:u w:val="single"/>
        </w:rPr>
      </w:pPr>
      <w:r w:rsidRPr="00DC0BBC">
        <w:rPr>
          <w:sz w:val="22"/>
          <w:szCs w:val="22"/>
          <w:u w:val="single"/>
        </w:rPr>
        <w:t>A1</w:t>
      </w:r>
      <w:r>
        <w:rPr>
          <w:sz w:val="22"/>
          <w:szCs w:val="22"/>
          <w:u w:val="single"/>
        </w:rPr>
        <w:t>4. Gender</w:t>
      </w:r>
    </w:p>
    <w:p w14:paraId="7019F5CE" w14:textId="77777777" w:rsidR="00285307" w:rsidRDefault="00285307" w:rsidP="00285307">
      <w:pPr>
        <w:spacing w:after="0" w:line="240" w:lineRule="auto"/>
        <w:jc w:val="both"/>
        <w:rPr>
          <w:sz w:val="22"/>
          <w:szCs w:val="22"/>
          <w:u w:val="single"/>
        </w:rPr>
      </w:pPr>
    </w:p>
    <w:p w14:paraId="7D9FC997" w14:textId="07494830" w:rsidR="002F051A" w:rsidRPr="002F051A" w:rsidRDefault="002F051A" w:rsidP="002F051A">
      <w:pPr>
        <w:spacing w:after="0" w:line="240" w:lineRule="auto"/>
        <w:jc w:val="both"/>
        <w:rPr>
          <w:sz w:val="22"/>
          <w:szCs w:val="22"/>
        </w:rPr>
      </w:pPr>
      <w:r w:rsidRPr="002F051A">
        <w:rPr>
          <w:sz w:val="22"/>
          <w:szCs w:val="22"/>
        </w:rPr>
        <w:t>Original proposals:</w:t>
      </w:r>
    </w:p>
    <w:p w14:paraId="423C66EF" w14:textId="77777777" w:rsidR="002F051A" w:rsidRPr="00386114" w:rsidRDefault="002F051A" w:rsidP="00D25872">
      <w:pPr>
        <w:pStyle w:val="ListParagraph"/>
        <w:numPr>
          <w:ilvl w:val="0"/>
          <w:numId w:val="49"/>
        </w:numPr>
        <w:pBdr>
          <w:top w:val="single" w:sz="4" w:space="1" w:color="auto"/>
          <w:left w:val="single" w:sz="4" w:space="4" w:color="auto"/>
          <w:bottom w:val="single" w:sz="4" w:space="1" w:color="auto"/>
          <w:right w:val="single" w:sz="4" w:space="4" w:color="auto"/>
        </w:pBdr>
        <w:spacing w:line="240" w:lineRule="auto"/>
        <w:rPr>
          <w:sz w:val="22"/>
          <w:szCs w:val="22"/>
        </w:rPr>
      </w:pPr>
      <w:r w:rsidRPr="00386114">
        <w:rPr>
          <w:sz w:val="22"/>
          <w:szCs w:val="22"/>
        </w:rPr>
        <w:t xml:space="preserve">Incorporate a ‘gender’ group within each division </w:t>
      </w:r>
    </w:p>
    <w:p w14:paraId="3D7B9A42" w14:textId="307DB1B0" w:rsidR="00E0577F" w:rsidRPr="002F051A" w:rsidRDefault="002F051A" w:rsidP="00D25872">
      <w:pPr>
        <w:pStyle w:val="ListParagraph"/>
        <w:numPr>
          <w:ilvl w:val="0"/>
          <w:numId w:val="49"/>
        </w:numPr>
        <w:pBdr>
          <w:top w:val="single" w:sz="4" w:space="1" w:color="auto"/>
          <w:left w:val="single" w:sz="4" w:space="4" w:color="auto"/>
          <w:bottom w:val="single" w:sz="4" w:space="1" w:color="auto"/>
          <w:right w:val="single" w:sz="4" w:space="4" w:color="auto"/>
        </w:pBdr>
        <w:spacing w:line="240" w:lineRule="auto"/>
        <w:rPr>
          <w:sz w:val="22"/>
          <w:szCs w:val="22"/>
        </w:rPr>
      </w:pPr>
      <w:r w:rsidRPr="00386114">
        <w:rPr>
          <w:sz w:val="22"/>
          <w:szCs w:val="22"/>
        </w:rPr>
        <w:t>Consider other dimensions of discrimination such as race and age</w:t>
      </w:r>
    </w:p>
    <w:p w14:paraId="2EF7C66A" w14:textId="77777777" w:rsidR="00285307" w:rsidRPr="003A32A6" w:rsidRDefault="00285307" w:rsidP="00285307">
      <w:pPr>
        <w:spacing w:after="0" w:line="240" w:lineRule="auto"/>
        <w:jc w:val="both"/>
        <w:rPr>
          <w:sz w:val="22"/>
          <w:szCs w:val="22"/>
        </w:rPr>
      </w:pPr>
      <w:r>
        <w:rPr>
          <w:sz w:val="22"/>
          <w:szCs w:val="22"/>
        </w:rPr>
        <w:t>Concerns/objections:</w:t>
      </w:r>
    </w:p>
    <w:p w14:paraId="6D3F6347" w14:textId="61D1BD3F" w:rsidR="00236620" w:rsidRDefault="00236620" w:rsidP="00D25872">
      <w:pPr>
        <w:pStyle w:val="ListParagraph"/>
        <w:numPr>
          <w:ilvl w:val="0"/>
          <w:numId w:val="27"/>
        </w:numPr>
        <w:spacing w:after="0" w:line="240" w:lineRule="auto"/>
        <w:jc w:val="both"/>
        <w:rPr>
          <w:sz w:val="22"/>
          <w:szCs w:val="22"/>
        </w:rPr>
      </w:pPr>
      <w:r>
        <w:rPr>
          <w:sz w:val="22"/>
          <w:szCs w:val="22"/>
        </w:rPr>
        <w:t>S</w:t>
      </w:r>
      <w:r w:rsidR="001275C2" w:rsidRPr="001275C2">
        <w:rPr>
          <w:sz w:val="22"/>
          <w:szCs w:val="22"/>
        </w:rPr>
        <w:t>uch information is not available in government financial statement</w:t>
      </w:r>
      <w:r w:rsidR="001275C2">
        <w:rPr>
          <w:sz w:val="22"/>
          <w:szCs w:val="22"/>
        </w:rPr>
        <w:t>s</w:t>
      </w:r>
    </w:p>
    <w:p w14:paraId="2CF1E1AF" w14:textId="6A6BBD78" w:rsidR="00CA19D1" w:rsidRPr="0039008E" w:rsidRDefault="00236620" w:rsidP="00D25872">
      <w:pPr>
        <w:pStyle w:val="ListParagraph"/>
        <w:numPr>
          <w:ilvl w:val="0"/>
          <w:numId w:val="27"/>
        </w:numPr>
        <w:spacing w:after="0" w:line="240" w:lineRule="auto"/>
        <w:jc w:val="both"/>
        <w:rPr>
          <w:sz w:val="22"/>
          <w:szCs w:val="22"/>
        </w:rPr>
      </w:pPr>
      <w:r>
        <w:rPr>
          <w:sz w:val="22"/>
          <w:szCs w:val="22"/>
        </w:rPr>
        <w:t>V</w:t>
      </w:r>
      <w:r w:rsidRPr="00776F3C">
        <w:rPr>
          <w:sz w:val="22"/>
          <w:szCs w:val="22"/>
        </w:rPr>
        <w:t>ery hard to identify within the source data, especially if a gender group were to be introduced within each COFOG division</w:t>
      </w:r>
    </w:p>
    <w:p w14:paraId="472C4907" w14:textId="255E721A" w:rsidR="00236620" w:rsidRPr="00236620" w:rsidRDefault="00236620" w:rsidP="00D25872">
      <w:pPr>
        <w:pStyle w:val="ListParagraph"/>
        <w:numPr>
          <w:ilvl w:val="0"/>
          <w:numId w:val="27"/>
        </w:numPr>
        <w:spacing w:after="0" w:line="240" w:lineRule="auto"/>
        <w:jc w:val="both"/>
        <w:rPr>
          <w:sz w:val="22"/>
          <w:szCs w:val="22"/>
        </w:rPr>
      </w:pPr>
      <w:r>
        <w:rPr>
          <w:sz w:val="22"/>
          <w:szCs w:val="22"/>
        </w:rPr>
        <w:t>D</w:t>
      </w:r>
      <w:r w:rsidRPr="0048782A">
        <w:rPr>
          <w:sz w:val="22"/>
          <w:szCs w:val="22"/>
        </w:rPr>
        <w:t>ifficult to implement, even if it was desirable</w:t>
      </w:r>
    </w:p>
    <w:p w14:paraId="7F94E149" w14:textId="6648B46A" w:rsidR="00A6511C" w:rsidRDefault="00A6511C" w:rsidP="00D25872">
      <w:pPr>
        <w:pStyle w:val="ListParagraph"/>
        <w:numPr>
          <w:ilvl w:val="0"/>
          <w:numId w:val="27"/>
        </w:numPr>
        <w:spacing w:after="0" w:line="240" w:lineRule="auto"/>
        <w:jc w:val="both"/>
        <w:rPr>
          <w:sz w:val="22"/>
          <w:szCs w:val="22"/>
        </w:rPr>
      </w:pPr>
      <w:r w:rsidRPr="00A6511C">
        <w:rPr>
          <w:sz w:val="22"/>
          <w:szCs w:val="22"/>
        </w:rPr>
        <w:t>Do not see it meaningful to address gender in each division</w:t>
      </w:r>
      <w:r>
        <w:rPr>
          <w:sz w:val="22"/>
          <w:szCs w:val="22"/>
        </w:rPr>
        <w:t>…</w:t>
      </w:r>
      <w:r w:rsidRPr="00A6511C">
        <w:rPr>
          <w:sz w:val="22"/>
          <w:szCs w:val="22"/>
        </w:rPr>
        <w:t xml:space="preserve">other statistical products could address this topic better. However, in 10.7 social exclusion foresees recording of measures </w:t>
      </w:r>
      <w:r w:rsidRPr="00A6511C">
        <w:rPr>
          <w:sz w:val="22"/>
          <w:szCs w:val="22"/>
        </w:rPr>
        <w:lastRenderedPageBreak/>
        <w:t xml:space="preserve">against discrimination and support to different groups of vulnerable people. Perhaps </w:t>
      </w:r>
      <w:r w:rsidR="0083223A">
        <w:rPr>
          <w:sz w:val="22"/>
          <w:szCs w:val="22"/>
        </w:rPr>
        <w:t xml:space="preserve">consider </w:t>
      </w:r>
      <w:r w:rsidRPr="00A6511C">
        <w:rPr>
          <w:sz w:val="22"/>
          <w:szCs w:val="22"/>
        </w:rPr>
        <w:t xml:space="preserve">a split of this group </w:t>
      </w:r>
    </w:p>
    <w:p w14:paraId="1CFE7691" w14:textId="18EDAA19" w:rsidR="004F1137" w:rsidRDefault="004F1137" w:rsidP="00D25872">
      <w:pPr>
        <w:pStyle w:val="ListParagraph"/>
        <w:numPr>
          <w:ilvl w:val="0"/>
          <w:numId w:val="27"/>
        </w:numPr>
        <w:spacing w:after="0" w:line="240" w:lineRule="auto"/>
        <w:jc w:val="both"/>
        <w:rPr>
          <w:sz w:val="22"/>
          <w:szCs w:val="22"/>
        </w:rPr>
      </w:pPr>
      <w:r w:rsidRPr="004F1137">
        <w:rPr>
          <w:sz w:val="22"/>
          <w:szCs w:val="22"/>
        </w:rPr>
        <w:t>Specific expenditure on gender issues and discrimination should be recorded in one division, like in social protection</w:t>
      </w:r>
    </w:p>
    <w:p w14:paraId="13D70FA1" w14:textId="32E003D5" w:rsidR="0031163D" w:rsidRDefault="0031163D" w:rsidP="00D25872">
      <w:pPr>
        <w:pStyle w:val="ListParagraph"/>
        <w:numPr>
          <w:ilvl w:val="0"/>
          <w:numId w:val="27"/>
        </w:numPr>
        <w:spacing w:after="0" w:line="240" w:lineRule="auto"/>
        <w:jc w:val="both"/>
        <w:rPr>
          <w:sz w:val="22"/>
          <w:szCs w:val="22"/>
        </w:rPr>
      </w:pPr>
      <w:r w:rsidRPr="0031163D">
        <w:rPr>
          <w:sz w:val="22"/>
          <w:szCs w:val="22"/>
        </w:rPr>
        <w:t xml:space="preserve">It is </w:t>
      </w:r>
      <w:proofErr w:type="gramStart"/>
      <w:r w:rsidRPr="0031163D">
        <w:rPr>
          <w:sz w:val="22"/>
          <w:szCs w:val="22"/>
        </w:rPr>
        <w:t>in</w:t>
      </w:r>
      <w:proofErr w:type="gramEnd"/>
      <w:r w:rsidRPr="0031163D">
        <w:rPr>
          <w:sz w:val="22"/>
          <w:szCs w:val="22"/>
        </w:rPr>
        <w:t xml:space="preserve"> GF</w:t>
      </w:r>
      <w:r>
        <w:rPr>
          <w:sz w:val="22"/>
          <w:szCs w:val="22"/>
        </w:rPr>
        <w:t xml:space="preserve"> </w:t>
      </w:r>
      <w:r w:rsidRPr="0031163D">
        <w:rPr>
          <w:sz w:val="22"/>
          <w:szCs w:val="22"/>
        </w:rPr>
        <w:t>10.07</w:t>
      </w:r>
    </w:p>
    <w:p w14:paraId="43EF0DB6" w14:textId="2FD63DAB" w:rsidR="00273087" w:rsidRDefault="00273087" w:rsidP="00D25872">
      <w:pPr>
        <w:pStyle w:val="ListParagraph"/>
        <w:numPr>
          <w:ilvl w:val="0"/>
          <w:numId w:val="27"/>
        </w:numPr>
        <w:spacing w:after="0" w:line="240" w:lineRule="auto"/>
        <w:jc w:val="both"/>
        <w:rPr>
          <w:sz w:val="22"/>
          <w:szCs w:val="22"/>
        </w:rPr>
      </w:pPr>
      <w:r w:rsidRPr="00273087">
        <w:rPr>
          <w:sz w:val="22"/>
          <w:szCs w:val="22"/>
        </w:rPr>
        <w:t xml:space="preserve">I agree it is a cross-cutting </w:t>
      </w:r>
      <w:proofErr w:type="gramStart"/>
      <w:r w:rsidRPr="00273087">
        <w:rPr>
          <w:sz w:val="22"/>
          <w:szCs w:val="22"/>
        </w:rPr>
        <w:t>issue</w:t>
      </w:r>
      <w:proofErr w:type="gramEnd"/>
      <w:r w:rsidRPr="00273087">
        <w:rPr>
          <w:sz w:val="22"/>
          <w:szCs w:val="22"/>
        </w:rPr>
        <w:t xml:space="preserve"> but I see a lot of difficulties </w:t>
      </w:r>
      <w:proofErr w:type="gramStart"/>
      <w:r w:rsidRPr="00273087">
        <w:rPr>
          <w:sz w:val="22"/>
          <w:szCs w:val="22"/>
        </w:rPr>
        <w:t>to add</w:t>
      </w:r>
      <w:proofErr w:type="gramEnd"/>
      <w:r w:rsidRPr="00273087">
        <w:rPr>
          <w:sz w:val="22"/>
          <w:szCs w:val="22"/>
        </w:rPr>
        <w:t xml:space="preserve"> a gender tag to the COFOG expenditure. Gender tagging  does not have a shared methodology, as it is not under any common regulation</w:t>
      </w:r>
    </w:p>
    <w:p w14:paraId="17806F51" w14:textId="1A9456BA" w:rsidR="00B66B7B" w:rsidRDefault="00EF798D" w:rsidP="00D25872">
      <w:pPr>
        <w:pStyle w:val="ListParagraph"/>
        <w:numPr>
          <w:ilvl w:val="0"/>
          <w:numId w:val="27"/>
        </w:numPr>
        <w:spacing w:after="0" w:line="240" w:lineRule="auto"/>
        <w:jc w:val="both"/>
        <w:rPr>
          <w:sz w:val="22"/>
          <w:szCs w:val="22"/>
        </w:rPr>
      </w:pPr>
      <w:r>
        <w:rPr>
          <w:sz w:val="22"/>
          <w:szCs w:val="22"/>
        </w:rPr>
        <w:t>T</w:t>
      </w:r>
      <w:r w:rsidR="00B66B7B" w:rsidRPr="00B66B7B">
        <w:rPr>
          <w:sz w:val="22"/>
          <w:szCs w:val="22"/>
        </w:rPr>
        <w:t>opics mentioned</w:t>
      </w:r>
      <w:r w:rsidR="00B66B7B">
        <w:rPr>
          <w:sz w:val="22"/>
          <w:szCs w:val="22"/>
        </w:rPr>
        <w:t xml:space="preserve"> </w:t>
      </w:r>
      <w:r w:rsidR="00B66B7B" w:rsidRPr="00B66B7B">
        <w:rPr>
          <w:sz w:val="22"/>
          <w:szCs w:val="22"/>
        </w:rPr>
        <w:t>are extremely relevant, as are other cross-cutting agendas</w:t>
      </w:r>
      <w:r w:rsidR="00B66B7B">
        <w:rPr>
          <w:sz w:val="22"/>
          <w:szCs w:val="22"/>
        </w:rPr>
        <w:t>…</w:t>
      </w:r>
      <w:r w:rsidR="00B66B7B" w:rsidRPr="00B66B7B">
        <w:rPr>
          <w:sz w:val="22"/>
          <w:szCs w:val="22"/>
        </w:rPr>
        <w:t>However, these should be developed parallel to COFOG rather than incorporated into its methodology. Including such agendas directly in the COFOG framework would make its compilation excessively burdensome, potentially undermining its feasibility and effectiveness</w:t>
      </w:r>
    </w:p>
    <w:p w14:paraId="6E5E850B" w14:textId="3669308E" w:rsidR="002C2607" w:rsidRDefault="002C2607" w:rsidP="00D25872">
      <w:pPr>
        <w:pStyle w:val="ListParagraph"/>
        <w:numPr>
          <w:ilvl w:val="0"/>
          <w:numId w:val="27"/>
        </w:numPr>
        <w:spacing w:after="0" w:line="240" w:lineRule="auto"/>
        <w:jc w:val="both"/>
        <w:rPr>
          <w:sz w:val="22"/>
          <w:szCs w:val="22"/>
        </w:rPr>
      </w:pPr>
      <w:r w:rsidRPr="002C2607">
        <w:rPr>
          <w:sz w:val="22"/>
          <w:szCs w:val="22"/>
        </w:rPr>
        <w:t xml:space="preserve">What is </w:t>
      </w:r>
      <w:proofErr w:type="gramStart"/>
      <w:r w:rsidRPr="002C2607">
        <w:rPr>
          <w:sz w:val="22"/>
          <w:szCs w:val="22"/>
        </w:rPr>
        <w:t>meant by gender</w:t>
      </w:r>
      <w:proofErr w:type="gramEnd"/>
      <w:r w:rsidRPr="002C2607">
        <w:rPr>
          <w:sz w:val="22"/>
          <w:szCs w:val="22"/>
        </w:rPr>
        <w:t xml:space="preserve"> </w:t>
      </w:r>
      <w:proofErr w:type="gramStart"/>
      <w:r w:rsidRPr="002C2607">
        <w:rPr>
          <w:sz w:val="22"/>
          <w:szCs w:val="22"/>
        </w:rPr>
        <w:t>in</w:t>
      </w:r>
      <w:proofErr w:type="gramEnd"/>
      <w:r w:rsidRPr="002C2607">
        <w:rPr>
          <w:sz w:val="22"/>
          <w:szCs w:val="22"/>
        </w:rPr>
        <w:t xml:space="preserve"> context of COFOG? </w:t>
      </w:r>
      <w:r w:rsidR="00F441E6">
        <w:rPr>
          <w:sz w:val="22"/>
          <w:szCs w:val="22"/>
        </w:rPr>
        <w:t>…a</w:t>
      </w:r>
      <w:r w:rsidRPr="002C2607">
        <w:rPr>
          <w:sz w:val="22"/>
          <w:szCs w:val="22"/>
        </w:rPr>
        <w:t>s in coverage of the population beyond the male/female binary, or about women</w:t>
      </w:r>
      <w:r w:rsidR="00B953A6">
        <w:rPr>
          <w:sz w:val="22"/>
          <w:szCs w:val="22"/>
        </w:rPr>
        <w:t>’</w:t>
      </w:r>
      <w:r w:rsidRPr="002C2607">
        <w:rPr>
          <w:sz w:val="22"/>
          <w:szCs w:val="22"/>
        </w:rPr>
        <w:t>s contribution to the economy etc?</w:t>
      </w:r>
    </w:p>
    <w:p w14:paraId="41D74A70" w14:textId="0438F14C" w:rsidR="0093472A" w:rsidRDefault="0093472A" w:rsidP="00D25872">
      <w:pPr>
        <w:pStyle w:val="ListParagraph"/>
        <w:numPr>
          <w:ilvl w:val="0"/>
          <w:numId w:val="27"/>
        </w:numPr>
        <w:spacing w:after="0" w:line="240" w:lineRule="auto"/>
        <w:jc w:val="both"/>
        <w:rPr>
          <w:sz w:val="22"/>
          <w:szCs w:val="22"/>
        </w:rPr>
      </w:pPr>
      <w:r w:rsidRPr="0093472A">
        <w:rPr>
          <w:sz w:val="22"/>
          <w:szCs w:val="22"/>
        </w:rPr>
        <w:t xml:space="preserve">COFOG is a classification used in national accounts. NA uses "households" as </w:t>
      </w:r>
      <w:proofErr w:type="gramStart"/>
      <w:r w:rsidRPr="0093472A">
        <w:rPr>
          <w:sz w:val="22"/>
          <w:szCs w:val="22"/>
        </w:rPr>
        <w:t>smallest</w:t>
      </w:r>
      <w:proofErr w:type="gramEnd"/>
      <w:r w:rsidRPr="0093472A">
        <w:rPr>
          <w:sz w:val="22"/>
          <w:szCs w:val="22"/>
        </w:rPr>
        <w:t xml:space="preserve"> unit, which can comprise more than one person of different genders. What happens in the individual household is not captured in NA. As such COFOG is the wrong classification</w:t>
      </w:r>
    </w:p>
    <w:p w14:paraId="13C40004" w14:textId="77777777" w:rsidR="009F4C18" w:rsidRDefault="009F4C18" w:rsidP="00450C7E">
      <w:pPr>
        <w:spacing w:after="0" w:line="240" w:lineRule="auto"/>
        <w:jc w:val="both"/>
        <w:rPr>
          <w:sz w:val="22"/>
          <w:szCs w:val="22"/>
        </w:rPr>
      </w:pPr>
    </w:p>
    <w:p w14:paraId="0454901A" w14:textId="77777777" w:rsidR="00285307" w:rsidRDefault="00285307" w:rsidP="00450C7E">
      <w:pPr>
        <w:spacing w:after="0" w:line="240" w:lineRule="auto"/>
        <w:jc w:val="both"/>
        <w:rPr>
          <w:sz w:val="22"/>
          <w:szCs w:val="22"/>
        </w:rPr>
      </w:pPr>
    </w:p>
    <w:p w14:paraId="58AAA076" w14:textId="49E6DEA3" w:rsidR="00285307" w:rsidRDefault="00285307" w:rsidP="00285307">
      <w:pPr>
        <w:spacing w:after="0" w:line="240" w:lineRule="auto"/>
        <w:jc w:val="both"/>
        <w:rPr>
          <w:sz w:val="22"/>
          <w:szCs w:val="22"/>
          <w:u w:val="single"/>
        </w:rPr>
      </w:pPr>
      <w:r w:rsidRPr="00DC0BBC">
        <w:rPr>
          <w:sz w:val="22"/>
          <w:szCs w:val="22"/>
          <w:u w:val="single"/>
        </w:rPr>
        <w:t>A1</w:t>
      </w:r>
      <w:r>
        <w:rPr>
          <w:sz w:val="22"/>
          <w:szCs w:val="22"/>
          <w:u w:val="single"/>
        </w:rPr>
        <w:t xml:space="preserve">5. Indigenous </w:t>
      </w:r>
      <w:r w:rsidR="00B7531D">
        <w:rPr>
          <w:sz w:val="22"/>
          <w:szCs w:val="22"/>
          <w:u w:val="single"/>
        </w:rPr>
        <w:t>p</w:t>
      </w:r>
      <w:r w:rsidR="005E2411">
        <w:rPr>
          <w:sz w:val="22"/>
          <w:szCs w:val="22"/>
          <w:u w:val="single"/>
        </w:rPr>
        <w:t>eoples</w:t>
      </w:r>
    </w:p>
    <w:p w14:paraId="24DAAD21" w14:textId="77777777" w:rsidR="00285307" w:rsidRDefault="00285307" w:rsidP="00285307">
      <w:pPr>
        <w:spacing w:after="0" w:line="240" w:lineRule="auto"/>
        <w:jc w:val="both"/>
        <w:rPr>
          <w:sz w:val="22"/>
          <w:szCs w:val="22"/>
        </w:rPr>
      </w:pPr>
    </w:p>
    <w:p w14:paraId="3000D6D4" w14:textId="6F227FF0" w:rsidR="00CF4638" w:rsidRDefault="00CF4638" w:rsidP="00285307">
      <w:pPr>
        <w:spacing w:after="0" w:line="240" w:lineRule="auto"/>
        <w:jc w:val="both"/>
        <w:rPr>
          <w:sz w:val="22"/>
          <w:szCs w:val="22"/>
        </w:rPr>
      </w:pPr>
      <w:r>
        <w:rPr>
          <w:sz w:val="22"/>
          <w:szCs w:val="22"/>
        </w:rPr>
        <w:t>Original proposals:</w:t>
      </w:r>
    </w:p>
    <w:p w14:paraId="39FB306D" w14:textId="77777777" w:rsidR="00CF4638" w:rsidRDefault="00CF4638" w:rsidP="00285307">
      <w:pPr>
        <w:spacing w:after="0" w:line="240" w:lineRule="auto"/>
        <w:jc w:val="both"/>
        <w:rPr>
          <w:sz w:val="22"/>
          <w:szCs w:val="22"/>
        </w:rPr>
      </w:pPr>
    </w:p>
    <w:p w14:paraId="514B2E5D" w14:textId="2739AC97" w:rsidR="00CF4638" w:rsidRPr="00CF4638" w:rsidRDefault="00CF4638" w:rsidP="00D25872">
      <w:pPr>
        <w:pStyle w:val="ListParagraph"/>
        <w:numPr>
          <w:ilvl w:val="0"/>
          <w:numId w:val="50"/>
        </w:numPr>
        <w:pBdr>
          <w:top w:val="single" w:sz="4" w:space="1" w:color="auto"/>
          <w:left w:val="single" w:sz="4" w:space="4" w:color="auto"/>
          <w:bottom w:val="single" w:sz="4" w:space="1" w:color="auto"/>
          <w:right w:val="single" w:sz="4" w:space="4" w:color="auto"/>
        </w:pBdr>
        <w:spacing w:after="240" w:line="240" w:lineRule="auto"/>
        <w:rPr>
          <w:sz w:val="22"/>
          <w:szCs w:val="22"/>
        </w:rPr>
      </w:pPr>
      <w:r>
        <w:rPr>
          <w:sz w:val="22"/>
          <w:szCs w:val="22"/>
        </w:rPr>
        <w:t>C</w:t>
      </w:r>
      <w:r w:rsidRPr="00386114">
        <w:rPr>
          <w:sz w:val="22"/>
          <w:szCs w:val="22"/>
        </w:rPr>
        <w:t xml:space="preserve">onsider further guidance on treatment of expenditures related to indigenous peoples and local communities </w:t>
      </w:r>
    </w:p>
    <w:p w14:paraId="743091CB" w14:textId="77777777" w:rsidR="00285307" w:rsidRPr="0039008C" w:rsidRDefault="00285307" w:rsidP="00285307">
      <w:pPr>
        <w:spacing w:after="0" w:line="240" w:lineRule="auto"/>
        <w:jc w:val="both"/>
        <w:rPr>
          <w:sz w:val="22"/>
          <w:szCs w:val="22"/>
        </w:rPr>
      </w:pPr>
      <w:r>
        <w:rPr>
          <w:sz w:val="22"/>
          <w:szCs w:val="22"/>
        </w:rPr>
        <w:t>Additional proposals:</w:t>
      </w:r>
    </w:p>
    <w:p w14:paraId="06560B8A" w14:textId="355A7BB7" w:rsidR="00285307" w:rsidRPr="0039008C" w:rsidRDefault="00705B13" w:rsidP="00D25872">
      <w:pPr>
        <w:pStyle w:val="ListParagraph"/>
        <w:numPr>
          <w:ilvl w:val="0"/>
          <w:numId w:val="27"/>
        </w:numPr>
        <w:spacing w:after="0" w:line="240" w:lineRule="auto"/>
        <w:jc w:val="both"/>
        <w:rPr>
          <w:sz w:val="22"/>
          <w:szCs w:val="22"/>
        </w:rPr>
      </w:pPr>
      <w:r w:rsidRPr="00705B13">
        <w:rPr>
          <w:sz w:val="22"/>
          <w:szCs w:val="22"/>
        </w:rPr>
        <w:t>Indigenous peoples and local communities. See COFOG 10.7 and comment related to A14</w:t>
      </w:r>
      <w:r w:rsidR="005351C6">
        <w:rPr>
          <w:sz w:val="22"/>
          <w:szCs w:val="22"/>
        </w:rPr>
        <w:t xml:space="preserve"> [4</w:t>
      </w:r>
      <w:r w:rsidR="005351C6" w:rsidRPr="005351C6">
        <w:rPr>
          <w:sz w:val="22"/>
          <w:szCs w:val="22"/>
          <w:vertAlign w:val="superscript"/>
        </w:rPr>
        <w:t>th</w:t>
      </w:r>
      <w:r w:rsidR="005351C6">
        <w:rPr>
          <w:sz w:val="22"/>
          <w:szCs w:val="22"/>
        </w:rPr>
        <w:t xml:space="preserve"> bullet point above]</w:t>
      </w:r>
      <w:r w:rsidRPr="00705B13">
        <w:rPr>
          <w:sz w:val="22"/>
          <w:szCs w:val="22"/>
        </w:rPr>
        <w:t>. Support to local communities would probably be related to education, health etc</w:t>
      </w:r>
      <w:r w:rsidR="005351C6">
        <w:rPr>
          <w:sz w:val="22"/>
          <w:szCs w:val="22"/>
        </w:rPr>
        <w:t>.</w:t>
      </w:r>
    </w:p>
    <w:p w14:paraId="2E056B1A" w14:textId="53890C75" w:rsidR="00285307" w:rsidRDefault="009C234C" w:rsidP="00D25872">
      <w:pPr>
        <w:pStyle w:val="ListParagraph"/>
        <w:numPr>
          <w:ilvl w:val="0"/>
          <w:numId w:val="27"/>
        </w:numPr>
        <w:spacing w:after="0" w:line="240" w:lineRule="auto"/>
        <w:jc w:val="both"/>
        <w:rPr>
          <w:sz w:val="22"/>
          <w:szCs w:val="22"/>
        </w:rPr>
      </w:pPr>
      <w:r w:rsidRPr="009C234C">
        <w:rPr>
          <w:sz w:val="22"/>
          <w:szCs w:val="22"/>
        </w:rPr>
        <w:t xml:space="preserve">Suggest </w:t>
      </w:r>
      <w:proofErr w:type="gramStart"/>
      <w:r w:rsidRPr="009C234C">
        <w:rPr>
          <w:sz w:val="22"/>
          <w:szCs w:val="22"/>
        </w:rPr>
        <w:t>to create</w:t>
      </w:r>
      <w:proofErr w:type="gramEnd"/>
      <w:r w:rsidRPr="009C234C">
        <w:rPr>
          <w:sz w:val="22"/>
          <w:szCs w:val="22"/>
        </w:rPr>
        <w:t xml:space="preserve"> new group under division 04 which then breakdown to have several classes focus on gender, indigenous people, race, age etc.</w:t>
      </w:r>
    </w:p>
    <w:p w14:paraId="2EB0EBCB" w14:textId="37F450D6" w:rsidR="00587EB9" w:rsidRDefault="00587EB9" w:rsidP="00D25872">
      <w:pPr>
        <w:pStyle w:val="ListParagraph"/>
        <w:numPr>
          <w:ilvl w:val="0"/>
          <w:numId w:val="27"/>
        </w:numPr>
        <w:spacing w:after="0" w:line="240" w:lineRule="auto"/>
        <w:jc w:val="both"/>
        <w:rPr>
          <w:sz w:val="22"/>
          <w:szCs w:val="22"/>
        </w:rPr>
      </w:pPr>
      <w:r w:rsidRPr="00587EB9">
        <w:rPr>
          <w:sz w:val="22"/>
          <w:szCs w:val="22"/>
        </w:rPr>
        <w:t xml:space="preserve">Indigenous settlements represent a significant expense item in Canada. </w:t>
      </w:r>
      <w:r>
        <w:rPr>
          <w:sz w:val="22"/>
          <w:szCs w:val="22"/>
        </w:rPr>
        <w:t>R</w:t>
      </w:r>
      <w:r w:rsidRPr="00587EB9">
        <w:rPr>
          <w:sz w:val="22"/>
          <w:szCs w:val="22"/>
        </w:rPr>
        <w:t xml:space="preserve">ecommend to either add a specific COFOG code or update the definition(s) to clarify their treatment and placement—ex. </w:t>
      </w:r>
      <w:proofErr w:type="gramStart"/>
      <w:r w:rsidR="00B953A6" w:rsidRPr="00587EB9">
        <w:rPr>
          <w:sz w:val="22"/>
          <w:szCs w:val="22"/>
        </w:rPr>
        <w:t>S</w:t>
      </w:r>
      <w:r w:rsidRPr="00587EB9">
        <w:rPr>
          <w:sz w:val="22"/>
          <w:szCs w:val="22"/>
        </w:rPr>
        <w:t>ocial</w:t>
      </w:r>
      <w:proofErr w:type="gramEnd"/>
      <w:r w:rsidRPr="00587EB9">
        <w:rPr>
          <w:sz w:val="22"/>
          <w:szCs w:val="22"/>
        </w:rPr>
        <w:t xml:space="preserve"> exclusion. Additional code should be considered in the GFS economic classification as well</w:t>
      </w:r>
    </w:p>
    <w:p w14:paraId="636AD33A" w14:textId="5259269E" w:rsidR="0021357D" w:rsidRPr="00970289" w:rsidRDefault="00547973" w:rsidP="00D25872">
      <w:pPr>
        <w:pStyle w:val="ListParagraph"/>
        <w:numPr>
          <w:ilvl w:val="0"/>
          <w:numId w:val="27"/>
        </w:numPr>
        <w:spacing w:after="0" w:line="240" w:lineRule="auto"/>
        <w:jc w:val="both"/>
        <w:rPr>
          <w:sz w:val="22"/>
          <w:szCs w:val="22"/>
        </w:rPr>
      </w:pPr>
      <w:r>
        <w:rPr>
          <w:sz w:val="22"/>
          <w:szCs w:val="22"/>
        </w:rPr>
        <w:t>C</w:t>
      </w:r>
      <w:r w:rsidR="0021357D" w:rsidRPr="0021357D">
        <w:rPr>
          <w:sz w:val="22"/>
          <w:szCs w:val="22"/>
        </w:rPr>
        <w:t>onsider indigenous funding and transactions with communities and government (bi-directional)</w:t>
      </w:r>
      <w:r w:rsidR="00FD2840">
        <w:rPr>
          <w:sz w:val="22"/>
          <w:szCs w:val="22"/>
        </w:rPr>
        <w:t xml:space="preserve"> </w:t>
      </w:r>
      <w:r w:rsidR="00FD2840" w:rsidRPr="0021357D">
        <w:rPr>
          <w:sz w:val="22"/>
          <w:szCs w:val="22"/>
        </w:rPr>
        <w:t>e.g.</w:t>
      </w:r>
      <w:r w:rsidR="0021357D" w:rsidRPr="0021357D">
        <w:rPr>
          <w:sz w:val="22"/>
          <w:szCs w:val="22"/>
        </w:rPr>
        <w:t xml:space="preserve"> government support to indigenous communities to build infrastructure etc, or indigenous communities supporting government by funding research institutes, education facilities etc, as well as indigenous community governance and resource/land management and usage</w:t>
      </w:r>
    </w:p>
    <w:p w14:paraId="5F467C0D" w14:textId="77777777" w:rsidR="00285307" w:rsidRDefault="00285307" w:rsidP="00285307">
      <w:pPr>
        <w:spacing w:after="0" w:line="240" w:lineRule="auto"/>
        <w:jc w:val="both"/>
        <w:rPr>
          <w:sz w:val="22"/>
          <w:szCs w:val="22"/>
          <w:u w:val="single"/>
        </w:rPr>
      </w:pPr>
    </w:p>
    <w:p w14:paraId="2E11DB09" w14:textId="77777777" w:rsidR="00285307" w:rsidRPr="003A32A6" w:rsidRDefault="00285307" w:rsidP="00285307">
      <w:pPr>
        <w:spacing w:after="0" w:line="240" w:lineRule="auto"/>
        <w:jc w:val="both"/>
        <w:rPr>
          <w:sz w:val="22"/>
          <w:szCs w:val="22"/>
        </w:rPr>
      </w:pPr>
      <w:r>
        <w:rPr>
          <w:sz w:val="22"/>
          <w:szCs w:val="22"/>
        </w:rPr>
        <w:t>Concerns/objections:</w:t>
      </w:r>
    </w:p>
    <w:p w14:paraId="7E0CB9B7" w14:textId="170453CA" w:rsidR="00285307" w:rsidRDefault="00333F21" w:rsidP="00D25872">
      <w:pPr>
        <w:pStyle w:val="ListParagraph"/>
        <w:numPr>
          <w:ilvl w:val="0"/>
          <w:numId w:val="27"/>
        </w:numPr>
        <w:spacing w:after="0" w:line="240" w:lineRule="auto"/>
        <w:jc w:val="both"/>
        <w:rPr>
          <w:sz w:val="22"/>
          <w:szCs w:val="22"/>
        </w:rPr>
      </w:pPr>
      <w:r>
        <w:rPr>
          <w:sz w:val="22"/>
          <w:szCs w:val="22"/>
        </w:rPr>
        <w:t>Not a priority/not relevant/not applicable</w:t>
      </w:r>
    </w:p>
    <w:p w14:paraId="2C3FEE9D" w14:textId="69FF9D1E" w:rsidR="00285307" w:rsidRPr="00587E3D" w:rsidRDefault="00712F5B" w:rsidP="00D25872">
      <w:pPr>
        <w:pStyle w:val="ListParagraph"/>
        <w:numPr>
          <w:ilvl w:val="0"/>
          <w:numId w:val="27"/>
        </w:numPr>
        <w:spacing w:after="0" w:line="240" w:lineRule="auto"/>
        <w:jc w:val="both"/>
        <w:rPr>
          <w:sz w:val="22"/>
          <w:szCs w:val="22"/>
        </w:rPr>
      </w:pPr>
      <w:r w:rsidRPr="00712F5B">
        <w:rPr>
          <w:sz w:val="22"/>
          <w:szCs w:val="22"/>
        </w:rPr>
        <w:t>Very hard to identify within the source data</w:t>
      </w:r>
    </w:p>
    <w:p w14:paraId="5EBB75FF" w14:textId="77777777" w:rsidR="00285307" w:rsidRDefault="00285307" w:rsidP="00450C7E">
      <w:pPr>
        <w:spacing w:after="0" w:line="240" w:lineRule="auto"/>
        <w:jc w:val="both"/>
        <w:rPr>
          <w:sz w:val="22"/>
          <w:szCs w:val="22"/>
        </w:rPr>
      </w:pPr>
    </w:p>
    <w:p w14:paraId="6BB926E2" w14:textId="77777777" w:rsidR="00CF4638" w:rsidRDefault="00CF4638" w:rsidP="00450C7E">
      <w:pPr>
        <w:spacing w:after="0" w:line="240" w:lineRule="auto"/>
        <w:jc w:val="both"/>
        <w:rPr>
          <w:sz w:val="22"/>
          <w:szCs w:val="22"/>
        </w:rPr>
      </w:pPr>
    </w:p>
    <w:p w14:paraId="19E8E17E" w14:textId="254AF9DA" w:rsidR="00B7531D" w:rsidRPr="001253CF" w:rsidRDefault="001253CF" w:rsidP="00B7531D">
      <w:pPr>
        <w:spacing w:after="0" w:line="240" w:lineRule="auto"/>
        <w:jc w:val="both"/>
        <w:rPr>
          <w:sz w:val="22"/>
          <w:szCs w:val="22"/>
          <w:u w:val="single"/>
          <w:lang w:val="fr-FR"/>
        </w:rPr>
      </w:pPr>
      <w:r w:rsidRPr="001253CF">
        <w:rPr>
          <w:sz w:val="22"/>
          <w:szCs w:val="22"/>
          <w:u w:val="single"/>
          <w:lang w:val="fr-FR"/>
        </w:rPr>
        <w:lastRenderedPageBreak/>
        <w:t>B</w:t>
      </w:r>
      <w:r w:rsidR="00B7531D" w:rsidRPr="001253CF">
        <w:rPr>
          <w:sz w:val="22"/>
          <w:szCs w:val="22"/>
          <w:u w:val="single"/>
          <w:lang w:val="fr-FR"/>
        </w:rPr>
        <w:t xml:space="preserve">1. </w:t>
      </w:r>
      <w:r w:rsidRPr="001253CF">
        <w:rPr>
          <w:sz w:val="22"/>
          <w:szCs w:val="22"/>
          <w:u w:val="single"/>
          <w:lang w:val="fr-FR"/>
        </w:rPr>
        <w:t>COFOG structure/classification principles</w:t>
      </w:r>
    </w:p>
    <w:p w14:paraId="161F6DC0" w14:textId="77777777" w:rsidR="00B7531D" w:rsidRDefault="00B7531D" w:rsidP="00B7531D">
      <w:pPr>
        <w:spacing w:after="0" w:line="240" w:lineRule="auto"/>
        <w:jc w:val="both"/>
        <w:rPr>
          <w:sz w:val="22"/>
          <w:szCs w:val="22"/>
          <w:lang w:val="fr-FR"/>
        </w:rPr>
      </w:pPr>
    </w:p>
    <w:p w14:paraId="38480A93" w14:textId="1326EDAD" w:rsidR="00CE588F" w:rsidRDefault="00B07E2F" w:rsidP="00A46036">
      <w:pPr>
        <w:spacing w:after="0" w:line="240" w:lineRule="auto"/>
        <w:jc w:val="both"/>
        <w:rPr>
          <w:sz w:val="22"/>
          <w:szCs w:val="22"/>
          <w:lang w:val="fr-FR"/>
        </w:rPr>
      </w:pPr>
      <w:r>
        <w:rPr>
          <w:sz w:val="22"/>
          <w:szCs w:val="22"/>
        </w:rPr>
        <w:t>Original proposal/discussion</w:t>
      </w:r>
      <w:r w:rsidR="00CE588F">
        <w:rPr>
          <w:sz w:val="22"/>
          <w:szCs w:val="22"/>
          <w:lang w:val="fr-FR"/>
        </w:rPr>
        <w:t>:</w:t>
      </w:r>
    </w:p>
    <w:p w14:paraId="0AF8FC2E" w14:textId="2042BB25" w:rsidR="00CF4638" w:rsidRPr="001253CF" w:rsidRDefault="00A46036" w:rsidP="00A46036">
      <w:pPr>
        <w:spacing w:after="0" w:line="240" w:lineRule="auto"/>
        <w:jc w:val="both"/>
        <w:rPr>
          <w:sz w:val="22"/>
          <w:szCs w:val="22"/>
          <w:lang w:val="fr-FR"/>
        </w:rPr>
      </w:pPr>
      <w:r>
        <w:rPr>
          <w:noProof/>
        </w:rPr>
        <mc:AlternateContent>
          <mc:Choice Requires="wps">
            <w:drawing>
              <wp:anchor distT="0" distB="0" distL="114300" distR="114300" simplePos="0" relativeHeight="251658240" behindDoc="0" locked="0" layoutInCell="1" allowOverlap="1" wp14:anchorId="002781E7" wp14:editId="06AF215C">
                <wp:simplePos x="0" y="0"/>
                <wp:positionH relativeFrom="column">
                  <wp:posOffset>0</wp:posOffset>
                </wp:positionH>
                <wp:positionV relativeFrom="paragraph">
                  <wp:posOffset>0</wp:posOffset>
                </wp:positionV>
                <wp:extent cx="1828800" cy="1828800"/>
                <wp:effectExtent l="0" t="0" r="0" b="0"/>
                <wp:wrapSquare wrapText="bothSides"/>
                <wp:docPr id="197294465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8B06F4D" w14:textId="77777777" w:rsidR="00A46036" w:rsidRPr="00386114" w:rsidRDefault="00A46036" w:rsidP="00A46036">
                            <w:pPr>
                              <w:spacing w:line="240" w:lineRule="auto"/>
                              <w:rPr>
                                <w:sz w:val="22"/>
                                <w:szCs w:val="22"/>
                              </w:rPr>
                            </w:pPr>
                            <w:r w:rsidRPr="00386114">
                              <w:rPr>
                                <w:sz w:val="22"/>
                                <w:szCs w:val="22"/>
                              </w:rPr>
                              <w:t>The revision of COFOG provides an opportunity to review the underlying scope, principles, concepts and the underlying structure of the classification and to strengthen the alignment with international reporting for relevant statistics and indicators. The revision process would benefit from a clear elaboration on the main COFOG classification principles, including but not limited to the following issues:</w:t>
                            </w:r>
                          </w:p>
                          <w:p w14:paraId="63AAB264"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 xml:space="preserve">consistency with the national </w:t>
                            </w:r>
                            <w:proofErr w:type="gramStart"/>
                            <w:r w:rsidRPr="00386114">
                              <w:rPr>
                                <w:sz w:val="22"/>
                                <w:szCs w:val="22"/>
                              </w:rPr>
                              <w:t>accounts</w:t>
                            </w:r>
                            <w:proofErr w:type="gramEnd"/>
                            <w:r w:rsidRPr="00386114">
                              <w:rPr>
                                <w:sz w:val="22"/>
                                <w:szCs w:val="22"/>
                              </w:rPr>
                              <w:t xml:space="preserve"> framework</w:t>
                            </w:r>
                          </w:p>
                          <w:p w14:paraId="268A82DE"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units of classification</w:t>
                            </w:r>
                          </w:p>
                          <w:p w14:paraId="2ACB3EA4"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 xml:space="preserve">principles of mutual exclusive classes and primary purpose </w:t>
                            </w:r>
                          </w:p>
                          <w:p w14:paraId="522ED1B3"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balance in size of main divisions</w:t>
                            </w:r>
                          </w:p>
                          <w:p w14:paraId="692F9BBD"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level of hierarchical classification</w:t>
                            </w:r>
                          </w:p>
                          <w:p w14:paraId="62768816"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 xml:space="preserve">applicability for state and local government and social security fund sectors in addition to the central government sector </w:t>
                            </w:r>
                          </w:p>
                          <w:p w14:paraId="784F9971"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treatment of preventative expenditure</w:t>
                            </w:r>
                          </w:p>
                          <w:p w14:paraId="20BE8202"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development of official alternative aggregates or indicators along cross-cutting themes</w:t>
                            </w:r>
                          </w:p>
                          <w:p w14:paraId="478E473D"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development of guidance</w:t>
                            </w:r>
                          </w:p>
                          <w:p w14:paraId="384FD810" w14:textId="77777777" w:rsidR="00A46036" w:rsidRPr="006C3F2D" w:rsidRDefault="00A46036" w:rsidP="00D25872">
                            <w:pPr>
                              <w:numPr>
                                <w:ilvl w:val="0"/>
                                <w:numId w:val="6"/>
                              </w:numPr>
                              <w:spacing w:after="0" w:line="240" w:lineRule="auto"/>
                              <w:jc w:val="both"/>
                              <w:rPr>
                                <w:sz w:val="22"/>
                                <w:szCs w:val="22"/>
                              </w:rPr>
                            </w:pPr>
                            <w:r w:rsidRPr="00386114">
                              <w:rPr>
                                <w:sz w:val="22"/>
                                <w:szCs w:val="22"/>
                              </w:rPr>
                              <w:t>cross-classification of economic transactions and COFOG groups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2781E7"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38B06F4D" w14:textId="77777777" w:rsidR="00A46036" w:rsidRPr="00386114" w:rsidRDefault="00A46036" w:rsidP="00A46036">
                      <w:pPr>
                        <w:spacing w:line="240" w:lineRule="auto"/>
                        <w:rPr>
                          <w:sz w:val="22"/>
                          <w:szCs w:val="22"/>
                        </w:rPr>
                      </w:pPr>
                      <w:r w:rsidRPr="00386114">
                        <w:rPr>
                          <w:sz w:val="22"/>
                          <w:szCs w:val="22"/>
                        </w:rPr>
                        <w:t>The revision of COFOG provides an opportunity to review the underlying scope, principles, concepts and the underlying structure of the classification and to strengthen the alignment with international reporting for relevant statistics and indicators. The revision process would benefit from a clear elaboration on the main COFOG classification principles, including but not limited to the following issues:</w:t>
                      </w:r>
                    </w:p>
                    <w:p w14:paraId="63AAB264"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 xml:space="preserve">consistency with the national </w:t>
                      </w:r>
                      <w:proofErr w:type="gramStart"/>
                      <w:r w:rsidRPr="00386114">
                        <w:rPr>
                          <w:sz w:val="22"/>
                          <w:szCs w:val="22"/>
                        </w:rPr>
                        <w:t>accounts</w:t>
                      </w:r>
                      <w:proofErr w:type="gramEnd"/>
                      <w:r w:rsidRPr="00386114">
                        <w:rPr>
                          <w:sz w:val="22"/>
                          <w:szCs w:val="22"/>
                        </w:rPr>
                        <w:t xml:space="preserve"> framework</w:t>
                      </w:r>
                    </w:p>
                    <w:p w14:paraId="268A82DE"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units of classification</w:t>
                      </w:r>
                    </w:p>
                    <w:p w14:paraId="2ACB3EA4"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 xml:space="preserve">principles of mutual exclusive classes and primary purpose </w:t>
                      </w:r>
                    </w:p>
                    <w:p w14:paraId="522ED1B3"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balance in size of main divisions</w:t>
                      </w:r>
                    </w:p>
                    <w:p w14:paraId="692F9BBD"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level of hierarchical classification</w:t>
                      </w:r>
                    </w:p>
                    <w:p w14:paraId="62768816"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 xml:space="preserve">applicability for state and local government and social security fund sectors in addition to the central government sector </w:t>
                      </w:r>
                    </w:p>
                    <w:p w14:paraId="784F9971"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treatment of preventative expenditure</w:t>
                      </w:r>
                    </w:p>
                    <w:p w14:paraId="20BE8202"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development of official alternative aggregates or indicators along cross-cutting themes</w:t>
                      </w:r>
                    </w:p>
                    <w:p w14:paraId="478E473D" w14:textId="77777777" w:rsidR="00A46036" w:rsidRPr="00386114" w:rsidRDefault="00A46036" w:rsidP="00D25872">
                      <w:pPr>
                        <w:numPr>
                          <w:ilvl w:val="0"/>
                          <w:numId w:val="6"/>
                        </w:numPr>
                        <w:spacing w:after="0" w:line="240" w:lineRule="auto"/>
                        <w:jc w:val="both"/>
                        <w:rPr>
                          <w:sz w:val="22"/>
                          <w:szCs w:val="22"/>
                        </w:rPr>
                      </w:pPr>
                      <w:r w:rsidRPr="00386114">
                        <w:rPr>
                          <w:sz w:val="22"/>
                          <w:szCs w:val="22"/>
                        </w:rPr>
                        <w:t>development of guidance</w:t>
                      </w:r>
                    </w:p>
                    <w:p w14:paraId="384FD810" w14:textId="77777777" w:rsidR="00A46036" w:rsidRPr="006C3F2D" w:rsidRDefault="00A46036" w:rsidP="00D25872">
                      <w:pPr>
                        <w:numPr>
                          <w:ilvl w:val="0"/>
                          <w:numId w:val="6"/>
                        </w:numPr>
                        <w:spacing w:after="0" w:line="240" w:lineRule="auto"/>
                        <w:jc w:val="both"/>
                        <w:rPr>
                          <w:sz w:val="22"/>
                          <w:szCs w:val="22"/>
                        </w:rPr>
                      </w:pPr>
                      <w:r w:rsidRPr="00386114">
                        <w:rPr>
                          <w:sz w:val="22"/>
                          <w:szCs w:val="22"/>
                        </w:rPr>
                        <w:t>cross-classification of economic transactions and COFOG groups</w:t>
                      </w:r>
                    </w:p>
                  </w:txbxContent>
                </v:textbox>
                <w10:wrap type="square"/>
              </v:shape>
            </w:pict>
          </mc:Fallback>
        </mc:AlternateContent>
      </w:r>
    </w:p>
    <w:p w14:paraId="7D1D847B" w14:textId="77777777" w:rsidR="0032795F" w:rsidRPr="0039008C" w:rsidRDefault="0032795F" w:rsidP="0032795F">
      <w:pPr>
        <w:spacing w:after="0" w:line="240" w:lineRule="auto"/>
        <w:jc w:val="both"/>
        <w:rPr>
          <w:sz w:val="22"/>
          <w:szCs w:val="22"/>
        </w:rPr>
      </w:pPr>
      <w:r>
        <w:rPr>
          <w:sz w:val="22"/>
          <w:szCs w:val="22"/>
        </w:rPr>
        <w:t>Additional proposals:</w:t>
      </w:r>
    </w:p>
    <w:p w14:paraId="00A82B95" w14:textId="77777777" w:rsidR="005153ED" w:rsidRPr="005153ED" w:rsidRDefault="005153ED" w:rsidP="00D25872">
      <w:pPr>
        <w:pStyle w:val="ListParagraph"/>
        <w:numPr>
          <w:ilvl w:val="0"/>
          <w:numId w:val="27"/>
        </w:numPr>
        <w:spacing w:after="0" w:line="240" w:lineRule="auto"/>
        <w:jc w:val="both"/>
        <w:rPr>
          <w:sz w:val="22"/>
          <w:szCs w:val="22"/>
        </w:rPr>
      </w:pPr>
      <w:proofErr w:type="gramStart"/>
      <w:r w:rsidRPr="005153ED">
        <w:rPr>
          <w:sz w:val="22"/>
          <w:szCs w:val="22"/>
        </w:rPr>
        <w:t>Purpose</w:t>
      </w:r>
      <w:proofErr w:type="gramEnd"/>
      <w:r w:rsidRPr="005153ED">
        <w:rPr>
          <w:sz w:val="22"/>
          <w:szCs w:val="22"/>
        </w:rPr>
        <w:t xml:space="preserve"> is to enable international comparison - feel this is missing from the principles</w:t>
      </w:r>
    </w:p>
    <w:p w14:paraId="4E9CAC39" w14:textId="77777777" w:rsidR="005153ED" w:rsidRPr="005153ED" w:rsidRDefault="005153ED" w:rsidP="00D25872">
      <w:pPr>
        <w:pStyle w:val="ListParagraph"/>
        <w:numPr>
          <w:ilvl w:val="0"/>
          <w:numId w:val="27"/>
        </w:numPr>
        <w:spacing w:after="0" w:line="240" w:lineRule="auto"/>
        <w:jc w:val="both"/>
        <w:rPr>
          <w:sz w:val="22"/>
          <w:szCs w:val="22"/>
        </w:rPr>
      </w:pPr>
      <w:r w:rsidRPr="005153ED">
        <w:rPr>
          <w:sz w:val="22"/>
          <w:szCs w:val="22"/>
        </w:rPr>
        <w:t>Determine whether balance across the divisions or coherence is more important. A review of the applicability of the classifications across different layers of government (such as has been done in ESA manuals for the different economic transactions) would be helpful</w:t>
      </w:r>
    </w:p>
    <w:p w14:paraId="6B87F048" w14:textId="77777777" w:rsidR="005153ED" w:rsidRPr="005153ED" w:rsidRDefault="005153ED" w:rsidP="00D25872">
      <w:pPr>
        <w:pStyle w:val="ListParagraph"/>
        <w:numPr>
          <w:ilvl w:val="0"/>
          <w:numId w:val="27"/>
        </w:numPr>
        <w:spacing w:after="0" w:line="240" w:lineRule="auto"/>
        <w:jc w:val="both"/>
        <w:rPr>
          <w:sz w:val="22"/>
          <w:szCs w:val="22"/>
        </w:rPr>
      </w:pPr>
      <w:r w:rsidRPr="005153ED">
        <w:rPr>
          <w:sz w:val="22"/>
          <w:szCs w:val="22"/>
        </w:rPr>
        <w:t>It would be useful to see the use of the most detailed COFOG categories</w:t>
      </w:r>
    </w:p>
    <w:p w14:paraId="5919DCD6" w14:textId="77777777" w:rsidR="005153ED" w:rsidRPr="005153ED" w:rsidRDefault="005153ED" w:rsidP="00D25872">
      <w:pPr>
        <w:pStyle w:val="ListParagraph"/>
        <w:numPr>
          <w:ilvl w:val="0"/>
          <w:numId w:val="27"/>
        </w:numPr>
        <w:spacing w:after="0" w:line="240" w:lineRule="auto"/>
        <w:jc w:val="both"/>
        <w:rPr>
          <w:sz w:val="22"/>
          <w:szCs w:val="22"/>
        </w:rPr>
      </w:pPr>
      <w:r w:rsidRPr="005153ED">
        <w:rPr>
          <w:sz w:val="22"/>
          <w:szCs w:val="22"/>
        </w:rPr>
        <w:t>Structure should be representative of reality and not adhere to principles of balance of feasibility. Mutual exclusivity of categories may potentially need to be relaxed</w:t>
      </w:r>
    </w:p>
    <w:p w14:paraId="5039E01F" w14:textId="77777777" w:rsidR="005153ED" w:rsidRPr="005153ED" w:rsidRDefault="005153ED" w:rsidP="00D25872">
      <w:pPr>
        <w:pStyle w:val="ListParagraph"/>
        <w:numPr>
          <w:ilvl w:val="0"/>
          <w:numId w:val="27"/>
        </w:numPr>
        <w:spacing w:after="0" w:line="240" w:lineRule="auto"/>
        <w:jc w:val="both"/>
        <w:rPr>
          <w:sz w:val="22"/>
          <w:szCs w:val="22"/>
        </w:rPr>
      </w:pPr>
      <w:r w:rsidRPr="005153ED">
        <w:rPr>
          <w:sz w:val="22"/>
          <w:szCs w:val="22"/>
        </w:rPr>
        <w:t xml:space="preserve">Is a hierarchic classification what is needed or is there a more modernized approach?  A coding index would be useful for </w:t>
      </w:r>
      <w:proofErr w:type="gramStart"/>
      <w:r w:rsidRPr="005153ED">
        <w:rPr>
          <w:sz w:val="22"/>
          <w:szCs w:val="22"/>
        </w:rPr>
        <w:t>search</w:t>
      </w:r>
      <w:proofErr w:type="gramEnd"/>
      <w:r w:rsidRPr="005153ED">
        <w:rPr>
          <w:sz w:val="22"/>
          <w:szCs w:val="22"/>
        </w:rPr>
        <w:t xml:space="preserve"> and discovery and/or APIs for platform integration and accessibility  </w:t>
      </w:r>
    </w:p>
    <w:p w14:paraId="5757F20E" w14:textId="77777777" w:rsidR="005153ED" w:rsidRPr="005153ED" w:rsidRDefault="005153ED" w:rsidP="00D25872">
      <w:pPr>
        <w:pStyle w:val="ListParagraph"/>
        <w:numPr>
          <w:ilvl w:val="0"/>
          <w:numId w:val="27"/>
        </w:numPr>
        <w:spacing w:after="0" w:line="240" w:lineRule="auto"/>
        <w:jc w:val="both"/>
        <w:rPr>
          <w:sz w:val="22"/>
          <w:szCs w:val="22"/>
        </w:rPr>
      </w:pPr>
      <w:r w:rsidRPr="005153ED">
        <w:rPr>
          <w:sz w:val="22"/>
          <w:szCs w:val="22"/>
        </w:rPr>
        <w:t>If it is to be used for an analytical approach, then looking at how BEC is structured might be useful</w:t>
      </w:r>
    </w:p>
    <w:p w14:paraId="63EDF965" w14:textId="77777777" w:rsidR="005153ED" w:rsidRPr="005153ED" w:rsidRDefault="005153ED" w:rsidP="00D25872">
      <w:pPr>
        <w:pStyle w:val="ListParagraph"/>
        <w:numPr>
          <w:ilvl w:val="0"/>
          <w:numId w:val="27"/>
        </w:numPr>
        <w:spacing w:after="0" w:line="240" w:lineRule="auto"/>
        <w:jc w:val="both"/>
        <w:rPr>
          <w:sz w:val="22"/>
          <w:szCs w:val="22"/>
        </w:rPr>
      </w:pPr>
      <w:r w:rsidRPr="005153ED">
        <w:rPr>
          <w:sz w:val="22"/>
          <w:szCs w:val="22"/>
        </w:rPr>
        <w:t xml:space="preserve">Applicability for state and local government and social security fund sectors in addition to the central government sector  </w:t>
      </w:r>
    </w:p>
    <w:p w14:paraId="32CDB55A" w14:textId="77777777" w:rsidR="0032795F" w:rsidRDefault="0032795F" w:rsidP="0032795F">
      <w:pPr>
        <w:spacing w:after="0" w:line="240" w:lineRule="auto"/>
        <w:jc w:val="both"/>
        <w:rPr>
          <w:sz w:val="22"/>
          <w:szCs w:val="22"/>
          <w:u w:val="single"/>
        </w:rPr>
      </w:pPr>
    </w:p>
    <w:p w14:paraId="18B31630" w14:textId="77777777" w:rsidR="0032795F" w:rsidRPr="003A32A6" w:rsidRDefault="0032795F" w:rsidP="0032795F">
      <w:pPr>
        <w:spacing w:after="0" w:line="240" w:lineRule="auto"/>
        <w:jc w:val="both"/>
        <w:rPr>
          <w:sz w:val="22"/>
          <w:szCs w:val="22"/>
        </w:rPr>
      </w:pPr>
      <w:r>
        <w:rPr>
          <w:sz w:val="22"/>
          <w:szCs w:val="22"/>
        </w:rPr>
        <w:t>Concerns/objections:</w:t>
      </w:r>
    </w:p>
    <w:p w14:paraId="3C2DA68A" w14:textId="77777777" w:rsidR="0068454D" w:rsidRPr="0068454D" w:rsidRDefault="0068454D" w:rsidP="00D25872">
      <w:pPr>
        <w:numPr>
          <w:ilvl w:val="0"/>
          <w:numId w:val="33"/>
        </w:numPr>
        <w:spacing w:after="0" w:line="240" w:lineRule="auto"/>
        <w:jc w:val="both"/>
        <w:rPr>
          <w:sz w:val="22"/>
          <w:szCs w:val="22"/>
        </w:rPr>
      </w:pPr>
      <w:r w:rsidRPr="0068454D">
        <w:rPr>
          <w:sz w:val="22"/>
          <w:szCs w:val="22"/>
        </w:rPr>
        <w:t>Maintain as far as possible the COFOG structure/classification principles</w:t>
      </w:r>
    </w:p>
    <w:p w14:paraId="3E5ABF92" w14:textId="77777777" w:rsidR="0068454D" w:rsidRPr="0068454D" w:rsidRDefault="0068454D" w:rsidP="00D25872">
      <w:pPr>
        <w:numPr>
          <w:ilvl w:val="0"/>
          <w:numId w:val="33"/>
        </w:numPr>
        <w:spacing w:after="0" w:line="240" w:lineRule="auto"/>
        <w:jc w:val="both"/>
        <w:rPr>
          <w:sz w:val="22"/>
          <w:szCs w:val="22"/>
        </w:rPr>
      </w:pPr>
      <w:r w:rsidRPr="0068454D">
        <w:rPr>
          <w:sz w:val="22"/>
          <w:szCs w:val="22"/>
        </w:rPr>
        <w:t>Prerequisite that revision maintains relationship with relevant fundamental principles of national accounts/GFS so the role of COFOG in drawing the line between individual and collective goods and services provided by government units is kept</w:t>
      </w:r>
    </w:p>
    <w:p w14:paraId="3A7409CC" w14:textId="77777777" w:rsidR="0068454D" w:rsidRPr="0068454D" w:rsidRDefault="0068454D" w:rsidP="00D25872">
      <w:pPr>
        <w:numPr>
          <w:ilvl w:val="0"/>
          <w:numId w:val="33"/>
        </w:numPr>
        <w:spacing w:after="0" w:line="240" w:lineRule="auto"/>
        <w:jc w:val="both"/>
        <w:rPr>
          <w:sz w:val="22"/>
          <w:szCs w:val="22"/>
        </w:rPr>
      </w:pPr>
      <w:r w:rsidRPr="0068454D">
        <w:rPr>
          <w:sz w:val="22"/>
          <w:szCs w:val="22"/>
        </w:rPr>
        <w:t xml:space="preserve">What is the purpose of COFOG and who is intended to use it? Developed </w:t>
      </w:r>
      <w:proofErr w:type="gramStart"/>
      <w:r w:rsidRPr="0068454D">
        <w:rPr>
          <w:sz w:val="22"/>
          <w:szCs w:val="22"/>
        </w:rPr>
        <w:t>countries</w:t>
      </w:r>
      <w:proofErr w:type="gramEnd"/>
      <w:r w:rsidRPr="0068454D">
        <w:rPr>
          <w:sz w:val="22"/>
          <w:szCs w:val="22"/>
        </w:rPr>
        <w:t xml:space="preserve"> needs should not outweigh developing </w:t>
      </w:r>
      <w:proofErr w:type="gramStart"/>
      <w:r w:rsidRPr="0068454D">
        <w:rPr>
          <w:sz w:val="22"/>
          <w:szCs w:val="22"/>
        </w:rPr>
        <w:t>country</w:t>
      </w:r>
      <w:proofErr w:type="gramEnd"/>
      <w:r w:rsidRPr="0068454D">
        <w:rPr>
          <w:sz w:val="22"/>
          <w:szCs w:val="22"/>
        </w:rPr>
        <w:t xml:space="preserve"> needs</w:t>
      </w:r>
    </w:p>
    <w:p w14:paraId="10A8B513" w14:textId="77777777" w:rsidR="0068454D" w:rsidRPr="0068454D" w:rsidRDefault="0068454D" w:rsidP="00D25872">
      <w:pPr>
        <w:numPr>
          <w:ilvl w:val="0"/>
          <w:numId w:val="33"/>
        </w:numPr>
        <w:spacing w:after="0" w:line="240" w:lineRule="auto"/>
        <w:jc w:val="both"/>
        <w:rPr>
          <w:sz w:val="22"/>
          <w:szCs w:val="22"/>
        </w:rPr>
      </w:pPr>
      <w:r w:rsidRPr="0068454D">
        <w:rPr>
          <w:sz w:val="22"/>
          <w:szCs w:val="22"/>
        </w:rPr>
        <w:t xml:space="preserve">Treatment of preventive expenditure: What is meant? Are </w:t>
      </w:r>
      <w:proofErr w:type="gramStart"/>
      <w:r w:rsidRPr="0068454D">
        <w:rPr>
          <w:sz w:val="22"/>
          <w:szCs w:val="22"/>
        </w:rPr>
        <w:t>there</w:t>
      </w:r>
      <w:proofErr w:type="gramEnd"/>
      <w:r w:rsidRPr="0068454D">
        <w:rPr>
          <w:sz w:val="22"/>
          <w:szCs w:val="22"/>
        </w:rPr>
        <w:t xml:space="preserve"> expenditures not covered?</w:t>
      </w:r>
    </w:p>
    <w:p w14:paraId="333744D6" w14:textId="77777777" w:rsidR="0068454D" w:rsidRDefault="0068454D" w:rsidP="00D25872">
      <w:pPr>
        <w:numPr>
          <w:ilvl w:val="0"/>
          <w:numId w:val="33"/>
        </w:numPr>
        <w:spacing w:after="0" w:line="240" w:lineRule="auto"/>
        <w:jc w:val="both"/>
        <w:rPr>
          <w:sz w:val="22"/>
          <w:szCs w:val="22"/>
        </w:rPr>
      </w:pPr>
      <w:proofErr w:type="gramStart"/>
      <w:r w:rsidRPr="0068454D">
        <w:rPr>
          <w:sz w:val="22"/>
          <w:szCs w:val="22"/>
        </w:rPr>
        <w:lastRenderedPageBreak/>
        <w:t>Number</w:t>
      </w:r>
      <w:proofErr w:type="gramEnd"/>
      <w:r w:rsidRPr="0068454D">
        <w:rPr>
          <w:sz w:val="22"/>
          <w:szCs w:val="22"/>
        </w:rPr>
        <w:t xml:space="preserve"> of functions should remain reasonable since more functions mean more compiling difficulties and ambiguity</w:t>
      </w:r>
    </w:p>
    <w:p w14:paraId="4496E0B4" w14:textId="69B37E78" w:rsidR="00243803" w:rsidRPr="00243803" w:rsidRDefault="00243803" w:rsidP="00243803">
      <w:pPr>
        <w:numPr>
          <w:ilvl w:val="0"/>
          <w:numId w:val="33"/>
        </w:numPr>
        <w:spacing w:after="0" w:line="240" w:lineRule="auto"/>
        <w:jc w:val="both"/>
        <w:rPr>
          <w:sz w:val="22"/>
          <w:szCs w:val="22"/>
        </w:rPr>
      </w:pPr>
      <w:r w:rsidRPr="00243803">
        <w:rPr>
          <w:sz w:val="22"/>
          <w:szCs w:val="22"/>
        </w:rPr>
        <w:t>The starting point should be the Eurostat COFOG manual and guidance</w:t>
      </w:r>
    </w:p>
    <w:p w14:paraId="57BD7E8E" w14:textId="20E6BE30" w:rsidR="00243803" w:rsidRPr="0068454D" w:rsidRDefault="00243803" w:rsidP="00243803">
      <w:pPr>
        <w:numPr>
          <w:ilvl w:val="0"/>
          <w:numId w:val="33"/>
        </w:numPr>
        <w:spacing w:after="0" w:line="240" w:lineRule="auto"/>
        <w:jc w:val="both"/>
        <w:rPr>
          <w:sz w:val="22"/>
          <w:szCs w:val="22"/>
        </w:rPr>
      </w:pPr>
      <w:r w:rsidRPr="00243803">
        <w:rPr>
          <w:sz w:val="22"/>
          <w:szCs w:val="22"/>
        </w:rPr>
        <w:t xml:space="preserve">The structure of COFOG should </w:t>
      </w:r>
      <w:r w:rsidR="00B01D3D" w:rsidRPr="00243803">
        <w:rPr>
          <w:sz w:val="22"/>
          <w:szCs w:val="22"/>
        </w:rPr>
        <w:t>preferably</w:t>
      </w:r>
      <w:r w:rsidRPr="00243803">
        <w:rPr>
          <w:sz w:val="22"/>
          <w:szCs w:val="22"/>
        </w:rPr>
        <w:t xml:space="preserve"> remain unchanged/This has to be assured in the revised classification: i.e. there should be no excessive further breakdown of "small" divisions.</w:t>
      </w:r>
    </w:p>
    <w:p w14:paraId="1E29ED9C" w14:textId="77777777" w:rsidR="00B7531D" w:rsidRDefault="00B7531D" w:rsidP="00450C7E">
      <w:pPr>
        <w:spacing w:after="0" w:line="240" w:lineRule="auto"/>
        <w:jc w:val="both"/>
        <w:rPr>
          <w:sz w:val="22"/>
          <w:szCs w:val="22"/>
        </w:rPr>
      </w:pPr>
    </w:p>
    <w:p w14:paraId="399AE1A0" w14:textId="77777777" w:rsidR="00CF0262" w:rsidRDefault="00CF0262" w:rsidP="00450C7E">
      <w:pPr>
        <w:spacing w:after="0" w:line="240" w:lineRule="auto"/>
        <w:jc w:val="both"/>
        <w:rPr>
          <w:sz w:val="22"/>
          <w:szCs w:val="22"/>
        </w:rPr>
      </w:pPr>
    </w:p>
    <w:p w14:paraId="3155E37E" w14:textId="77777777" w:rsidR="00B07E2F" w:rsidRDefault="00CF0262" w:rsidP="00B07E2F">
      <w:pPr>
        <w:spacing w:after="0" w:line="240" w:lineRule="auto"/>
        <w:jc w:val="both"/>
        <w:rPr>
          <w:sz w:val="22"/>
          <w:szCs w:val="22"/>
          <w:u w:val="single"/>
        </w:rPr>
      </w:pPr>
      <w:r w:rsidRPr="00140B6D">
        <w:rPr>
          <w:sz w:val="22"/>
          <w:szCs w:val="22"/>
          <w:u w:val="single"/>
        </w:rPr>
        <w:t>B</w:t>
      </w:r>
      <w:r w:rsidR="000B59FD">
        <w:rPr>
          <w:sz w:val="22"/>
          <w:szCs w:val="22"/>
          <w:u w:val="single"/>
        </w:rPr>
        <w:t>2</w:t>
      </w:r>
      <w:r w:rsidRPr="00140B6D">
        <w:rPr>
          <w:sz w:val="22"/>
          <w:szCs w:val="22"/>
          <w:u w:val="single"/>
        </w:rPr>
        <w:t xml:space="preserve">. </w:t>
      </w:r>
      <w:r w:rsidR="00140B6D" w:rsidRPr="00140B6D">
        <w:rPr>
          <w:sz w:val="22"/>
          <w:szCs w:val="22"/>
          <w:u w:val="single"/>
        </w:rPr>
        <w:t>Primary/seconda</w:t>
      </w:r>
      <w:r w:rsidR="00140B6D">
        <w:rPr>
          <w:sz w:val="22"/>
          <w:szCs w:val="22"/>
          <w:u w:val="single"/>
        </w:rPr>
        <w:t>ry purpose</w:t>
      </w:r>
    </w:p>
    <w:p w14:paraId="570AAD51" w14:textId="77777777" w:rsidR="00B07E2F" w:rsidRDefault="00B07E2F" w:rsidP="00B07E2F">
      <w:pPr>
        <w:spacing w:after="0" w:line="240" w:lineRule="auto"/>
        <w:jc w:val="both"/>
        <w:rPr>
          <w:sz w:val="22"/>
          <w:szCs w:val="22"/>
        </w:rPr>
      </w:pPr>
    </w:p>
    <w:p w14:paraId="7EE1FF0F" w14:textId="071F014D" w:rsidR="00CF0262" w:rsidRPr="00B07E2F" w:rsidRDefault="00B07E2F" w:rsidP="00B07E2F">
      <w:pPr>
        <w:spacing w:after="0" w:line="240" w:lineRule="auto"/>
        <w:jc w:val="both"/>
        <w:rPr>
          <w:sz w:val="22"/>
          <w:szCs w:val="22"/>
          <w:u w:val="single"/>
        </w:rPr>
      </w:pPr>
      <w:r>
        <w:rPr>
          <w:noProof/>
        </w:rPr>
        <mc:AlternateContent>
          <mc:Choice Requires="wps">
            <w:drawing>
              <wp:anchor distT="0" distB="0" distL="114300" distR="114300" simplePos="0" relativeHeight="251658241" behindDoc="0" locked="0" layoutInCell="1" allowOverlap="1" wp14:anchorId="73A0BE56" wp14:editId="4BB31376">
                <wp:simplePos x="0" y="0"/>
                <wp:positionH relativeFrom="margin">
                  <wp:align>left</wp:align>
                </wp:positionH>
                <wp:positionV relativeFrom="paragraph">
                  <wp:posOffset>208280</wp:posOffset>
                </wp:positionV>
                <wp:extent cx="1828800" cy="2758440"/>
                <wp:effectExtent l="0" t="0" r="12700" b="22860"/>
                <wp:wrapSquare wrapText="bothSides"/>
                <wp:docPr id="1153733328" name="Text Box 1"/>
                <wp:cNvGraphicFramePr/>
                <a:graphic xmlns:a="http://schemas.openxmlformats.org/drawingml/2006/main">
                  <a:graphicData uri="http://schemas.microsoft.com/office/word/2010/wordprocessingShape">
                    <wps:wsp>
                      <wps:cNvSpPr txBox="1"/>
                      <wps:spPr>
                        <a:xfrm>
                          <a:off x="0" y="0"/>
                          <a:ext cx="1828800" cy="2758440"/>
                        </a:xfrm>
                        <a:prstGeom prst="rect">
                          <a:avLst/>
                        </a:prstGeom>
                        <a:noFill/>
                        <a:ln w="6350">
                          <a:solidFill>
                            <a:prstClr val="black"/>
                          </a:solidFill>
                        </a:ln>
                      </wps:spPr>
                      <wps:txbx>
                        <w:txbxContent>
                          <w:p w14:paraId="09F971B4" w14:textId="77777777" w:rsidR="00B07E2F" w:rsidRPr="00386114" w:rsidRDefault="00B07E2F" w:rsidP="00B07E2F">
                            <w:pPr>
                              <w:spacing w:line="240" w:lineRule="auto"/>
                              <w:jc w:val="both"/>
                              <w:rPr>
                                <w:sz w:val="22"/>
                                <w:szCs w:val="22"/>
                              </w:rPr>
                            </w:pPr>
                            <w:r w:rsidRPr="00386114">
                              <w:rPr>
                                <w:sz w:val="22"/>
                                <w:szCs w:val="22"/>
                              </w:rPr>
                              <w:t xml:space="preserve">The classification criteria of COFOG are based on purpose, where the term “purpose” as described in COFOG 1999 conveys the meaning of social-economic objectives that institutional units aim to achieve through various kinds of outlays. COFOG is currently a classification delineating general government expenditure by main purpose and does not consider multiple purposes or impact. The problem in unambiguously assigned government expenditure to a single function in the classification and the treatment of secondary purpose expenditures/functions of government, for example expenditure on environmental protection and resource management, and treatment of ministries and administrative expenditures, are documented in COFOG 1999. </w:t>
                            </w:r>
                          </w:p>
                          <w:p w14:paraId="418BB479" w14:textId="77777777" w:rsidR="00B07E2F" w:rsidRPr="00E5051C" w:rsidRDefault="00B07E2F">
                            <w:pPr>
                              <w:spacing w:line="240" w:lineRule="auto"/>
                              <w:jc w:val="both"/>
                              <w:rPr>
                                <w:sz w:val="22"/>
                                <w:szCs w:val="22"/>
                              </w:rPr>
                            </w:pPr>
                            <w:r w:rsidRPr="00386114">
                              <w:rPr>
                                <w:sz w:val="22"/>
                                <w:szCs w:val="22"/>
                              </w:rPr>
                              <w:t>More and more economic decisions nowadays are made with a view to fulfil some secondary goals. By not recognizing secondary purpose (or impacts) of a specific outlay, COFOG seriously limits the information in support of policymakers’ decision making and, above all, impact assessments. This revision issue will explore the feasibility and review various options on addressing expenditure with secondary purposes within the context of the primary purpose criterion, with an objective of finding a solution for the classification of expenditures by secondary purposes in COFOG.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A0BE56" id="_x0000_s1027" type="#_x0000_t202" style="position:absolute;left:0;text-align:left;margin-left:0;margin-top:16.4pt;width:2in;height:217.2pt;z-index:251658241;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" filled="f" strokeweight=".5pt">
                <v:textbox>
                  <w:txbxContent>
                    <w:p w14:paraId="09F971B4" w14:textId="77777777" w:rsidR="00B07E2F" w:rsidRPr="00386114" w:rsidRDefault="00B07E2F" w:rsidP="00B07E2F">
                      <w:pPr>
                        <w:spacing w:line="240" w:lineRule="auto"/>
                        <w:jc w:val="both"/>
                        <w:rPr>
                          <w:sz w:val="22"/>
                          <w:szCs w:val="22"/>
                        </w:rPr>
                      </w:pPr>
                      <w:r w:rsidRPr="00386114">
                        <w:rPr>
                          <w:sz w:val="22"/>
                          <w:szCs w:val="22"/>
                        </w:rPr>
                        <w:t xml:space="preserve">The classification criteria of COFOG are based on purpose, where the term “purpose” as described in COFOG 1999 conveys the meaning of social-economic objectives that institutional units aim to achieve through various kinds of outlays. COFOG is currently a classification delineating general government expenditure by main purpose and does not consider multiple purposes or impact. The problem in unambiguously assigned government expenditure to a single function in the classification and the treatment of secondary purpose expenditures/functions of government, for example expenditure on environmental protection and resource management, and treatment of ministries and administrative expenditures, are documented in COFOG 1999. </w:t>
                      </w:r>
                    </w:p>
                    <w:p w14:paraId="418BB479" w14:textId="77777777" w:rsidR="00B07E2F" w:rsidRPr="00E5051C" w:rsidRDefault="00B07E2F">
                      <w:pPr>
                        <w:spacing w:line="240" w:lineRule="auto"/>
                        <w:jc w:val="both"/>
                        <w:rPr>
                          <w:sz w:val="22"/>
                          <w:szCs w:val="22"/>
                        </w:rPr>
                      </w:pPr>
                      <w:r w:rsidRPr="00386114">
                        <w:rPr>
                          <w:sz w:val="22"/>
                          <w:szCs w:val="22"/>
                        </w:rPr>
                        <w:t>More and more economic decisions nowadays are made with a view to fulfil some secondary goals. By not recognizing secondary purpose (or impacts) of a specific outlay, COFOG seriously limits the information in support of policymakers’ decision making and, above all, impact assessments. This revision issue will explore the feasibility and review various options on addressing expenditure with secondary purposes within the context of the primary purpose criterion, with an objective of finding a solution for the classification of expenditures by secondary purposes in COFOG.</w:t>
                      </w:r>
                    </w:p>
                  </w:txbxContent>
                </v:textbox>
                <w10:wrap type="square" anchorx="margin"/>
              </v:shape>
            </w:pict>
          </mc:Fallback>
        </mc:AlternateContent>
      </w:r>
      <w:r>
        <w:rPr>
          <w:sz w:val="22"/>
          <w:szCs w:val="22"/>
        </w:rPr>
        <w:t>Original proposal/discussion:</w:t>
      </w:r>
    </w:p>
    <w:p w14:paraId="56C580CD" w14:textId="77777777" w:rsidR="00B07E2F" w:rsidRDefault="00B07E2F" w:rsidP="00CF0262">
      <w:pPr>
        <w:spacing w:after="0" w:line="240" w:lineRule="auto"/>
        <w:jc w:val="both"/>
        <w:rPr>
          <w:sz w:val="22"/>
          <w:szCs w:val="22"/>
        </w:rPr>
      </w:pPr>
    </w:p>
    <w:p w14:paraId="079DC3C9" w14:textId="77777777" w:rsidR="0032795F" w:rsidRPr="0039008C" w:rsidRDefault="0032795F" w:rsidP="0032795F">
      <w:pPr>
        <w:spacing w:after="0" w:line="240" w:lineRule="auto"/>
        <w:jc w:val="both"/>
        <w:rPr>
          <w:sz w:val="22"/>
          <w:szCs w:val="22"/>
        </w:rPr>
      </w:pPr>
      <w:r>
        <w:rPr>
          <w:sz w:val="22"/>
          <w:szCs w:val="22"/>
        </w:rPr>
        <w:t>Additional proposals:</w:t>
      </w:r>
    </w:p>
    <w:p w14:paraId="4D3C2A6B" w14:textId="77777777" w:rsidR="0068454D" w:rsidRPr="0068454D" w:rsidRDefault="0068454D" w:rsidP="00D25872">
      <w:pPr>
        <w:numPr>
          <w:ilvl w:val="0"/>
          <w:numId w:val="33"/>
        </w:numPr>
        <w:spacing w:after="0" w:line="240" w:lineRule="auto"/>
        <w:jc w:val="both"/>
        <w:rPr>
          <w:sz w:val="22"/>
          <w:szCs w:val="22"/>
        </w:rPr>
      </w:pPr>
      <w:r w:rsidRPr="0068454D">
        <w:rPr>
          <w:sz w:val="22"/>
          <w:szCs w:val="22"/>
        </w:rPr>
        <w:t>Particularly important for climate change</w:t>
      </w:r>
    </w:p>
    <w:p w14:paraId="18341E6B" w14:textId="13496957" w:rsidR="0068454D" w:rsidRPr="0068454D" w:rsidRDefault="0068454D" w:rsidP="00D25872">
      <w:pPr>
        <w:numPr>
          <w:ilvl w:val="0"/>
          <w:numId w:val="33"/>
        </w:numPr>
        <w:spacing w:after="0" w:line="240" w:lineRule="auto"/>
        <w:jc w:val="both"/>
        <w:rPr>
          <w:sz w:val="22"/>
          <w:szCs w:val="22"/>
        </w:rPr>
      </w:pPr>
      <w:r w:rsidRPr="0068454D">
        <w:rPr>
          <w:sz w:val="22"/>
          <w:szCs w:val="22"/>
        </w:rPr>
        <w:t xml:space="preserve">Two different issues: one is multipurpose functions, where e.g. one government agency is carrying out more than one COFOG function, but source data may not easily allow separating functions…we would support the guidance in the Eurostat COFOG manual. 2nd issue could be where one activity/policy measure would have clearly dual effects - intentionally. Double counting of money spent </w:t>
      </w:r>
      <w:proofErr w:type="gramStart"/>
      <w:r w:rsidRPr="0068454D">
        <w:rPr>
          <w:sz w:val="22"/>
          <w:szCs w:val="22"/>
        </w:rPr>
        <w:t>not</w:t>
      </w:r>
      <w:proofErr w:type="gramEnd"/>
      <w:r w:rsidRPr="0068454D">
        <w:rPr>
          <w:sz w:val="22"/>
          <w:szCs w:val="22"/>
        </w:rPr>
        <w:t xml:space="preserve"> an option, but how to treat should be explored</w:t>
      </w:r>
    </w:p>
    <w:p w14:paraId="10F30411" w14:textId="77777777" w:rsidR="0032795F" w:rsidRDefault="0032795F" w:rsidP="0032795F">
      <w:pPr>
        <w:spacing w:after="0" w:line="240" w:lineRule="auto"/>
        <w:jc w:val="both"/>
        <w:rPr>
          <w:sz w:val="22"/>
          <w:szCs w:val="22"/>
          <w:u w:val="single"/>
        </w:rPr>
      </w:pPr>
    </w:p>
    <w:p w14:paraId="55EFC3D6" w14:textId="77777777" w:rsidR="0032795F" w:rsidRPr="003A32A6" w:rsidRDefault="0032795F" w:rsidP="0032795F">
      <w:pPr>
        <w:spacing w:after="0" w:line="240" w:lineRule="auto"/>
        <w:jc w:val="both"/>
        <w:rPr>
          <w:sz w:val="22"/>
          <w:szCs w:val="22"/>
        </w:rPr>
      </w:pPr>
      <w:r>
        <w:rPr>
          <w:sz w:val="22"/>
          <w:szCs w:val="22"/>
        </w:rPr>
        <w:t>Concerns/objections:</w:t>
      </w:r>
    </w:p>
    <w:p w14:paraId="18FCC719" w14:textId="77777777" w:rsidR="002874E3" w:rsidRPr="002874E3" w:rsidRDefault="002874E3" w:rsidP="00D25872">
      <w:pPr>
        <w:numPr>
          <w:ilvl w:val="0"/>
          <w:numId w:val="33"/>
        </w:numPr>
        <w:spacing w:after="0" w:line="240" w:lineRule="auto"/>
        <w:jc w:val="both"/>
        <w:rPr>
          <w:sz w:val="22"/>
          <w:szCs w:val="22"/>
        </w:rPr>
      </w:pPr>
      <w:r w:rsidRPr="002874E3">
        <w:rPr>
          <w:sz w:val="22"/>
          <w:szCs w:val="22"/>
        </w:rPr>
        <w:t>Compilation would depend on too many technical coefficients, which probably would only be revised during benchmark revisions</w:t>
      </w:r>
    </w:p>
    <w:p w14:paraId="346EC8A6" w14:textId="77777777" w:rsidR="002874E3" w:rsidRPr="002874E3" w:rsidRDefault="002874E3" w:rsidP="00D25872">
      <w:pPr>
        <w:numPr>
          <w:ilvl w:val="0"/>
          <w:numId w:val="33"/>
        </w:numPr>
        <w:spacing w:after="0" w:line="240" w:lineRule="auto"/>
        <w:jc w:val="both"/>
        <w:rPr>
          <w:sz w:val="22"/>
          <w:szCs w:val="22"/>
        </w:rPr>
      </w:pPr>
      <w:r w:rsidRPr="002874E3">
        <w:rPr>
          <w:sz w:val="22"/>
          <w:szCs w:val="22"/>
        </w:rPr>
        <w:t xml:space="preserve">Not simply a matter of tagging, it involves too the definition of different quotas of expenditure to associate to the primary and </w:t>
      </w:r>
      <w:proofErr w:type="gramStart"/>
      <w:r w:rsidRPr="002874E3">
        <w:rPr>
          <w:sz w:val="22"/>
          <w:szCs w:val="22"/>
        </w:rPr>
        <w:t>the secondary</w:t>
      </w:r>
      <w:proofErr w:type="gramEnd"/>
      <w:r w:rsidRPr="002874E3">
        <w:rPr>
          <w:sz w:val="22"/>
          <w:szCs w:val="22"/>
        </w:rPr>
        <w:t xml:space="preserve"> purpose</w:t>
      </w:r>
    </w:p>
    <w:p w14:paraId="1914557C" w14:textId="77777777" w:rsidR="002874E3" w:rsidRPr="002874E3" w:rsidRDefault="002874E3" w:rsidP="00D25872">
      <w:pPr>
        <w:numPr>
          <w:ilvl w:val="0"/>
          <w:numId w:val="33"/>
        </w:numPr>
        <w:spacing w:after="0" w:line="240" w:lineRule="auto"/>
        <w:jc w:val="both"/>
        <w:rPr>
          <w:sz w:val="22"/>
          <w:szCs w:val="22"/>
        </w:rPr>
      </w:pPr>
      <w:r w:rsidRPr="002874E3">
        <w:rPr>
          <w:sz w:val="22"/>
          <w:szCs w:val="22"/>
        </w:rPr>
        <w:t>Clear guidance on how to attribute to secondary purposes and what proportions should be used required to make this successful</w:t>
      </w:r>
    </w:p>
    <w:p w14:paraId="3C202CF8" w14:textId="77777777" w:rsidR="002874E3" w:rsidRPr="002874E3" w:rsidRDefault="002874E3" w:rsidP="00D25872">
      <w:pPr>
        <w:numPr>
          <w:ilvl w:val="0"/>
          <w:numId w:val="33"/>
        </w:numPr>
        <w:spacing w:after="0" w:line="240" w:lineRule="auto"/>
        <w:jc w:val="both"/>
        <w:rPr>
          <w:sz w:val="22"/>
          <w:szCs w:val="22"/>
        </w:rPr>
      </w:pPr>
      <w:r w:rsidRPr="002874E3">
        <w:rPr>
          <w:sz w:val="22"/>
          <w:szCs w:val="22"/>
        </w:rPr>
        <w:t>Careful consideration and planning required to balance benefits with its practical implications</w:t>
      </w:r>
    </w:p>
    <w:p w14:paraId="396A0567" w14:textId="77777777" w:rsidR="002874E3" w:rsidRPr="002874E3" w:rsidRDefault="002874E3" w:rsidP="00D25872">
      <w:pPr>
        <w:numPr>
          <w:ilvl w:val="0"/>
          <w:numId w:val="33"/>
        </w:numPr>
        <w:spacing w:after="0" w:line="240" w:lineRule="auto"/>
        <w:jc w:val="both"/>
        <w:rPr>
          <w:sz w:val="22"/>
          <w:szCs w:val="22"/>
        </w:rPr>
      </w:pPr>
      <w:proofErr w:type="gramStart"/>
      <w:r w:rsidRPr="002874E3">
        <w:rPr>
          <w:sz w:val="22"/>
          <w:szCs w:val="22"/>
        </w:rPr>
        <w:t>Not</w:t>
      </w:r>
      <w:proofErr w:type="gramEnd"/>
      <w:r w:rsidRPr="002874E3">
        <w:rPr>
          <w:sz w:val="22"/>
          <w:szCs w:val="22"/>
        </w:rPr>
        <w:t xml:space="preserve"> possible to implement without COFOG statistics suffering a large drop in quality (especially for earlier years of </w:t>
      </w:r>
      <w:proofErr w:type="gramStart"/>
      <w:r w:rsidRPr="002874E3">
        <w:rPr>
          <w:sz w:val="22"/>
          <w:szCs w:val="22"/>
        </w:rPr>
        <w:t>time series</w:t>
      </w:r>
      <w:proofErr w:type="gramEnd"/>
      <w:r w:rsidRPr="002874E3">
        <w:rPr>
          <w:sz w:val="22"/>
          <w:szCs w:val="22"/>
        </w:rPr>
        <w:t>)</w:t>
      </w:r>
    </w:p>
    <w:p w14:paraId="335E1C0E" w14:textId="77777777" w:rsidR="002874E3" w:rsidRPr="002874E3" w:rsidRDefault="002874E3" w:rsidP="00D25872">
      <w:pPr>
        <w:numPr>
          <w:ilvl w:val="0"/>
          <w:numId w:val="33"/>
        </w:numPr>
        <w:spacing w:after="0" w:line="240" w:lineRule="auto"/>
        <w:jc w:val="both"/>
        <w:rPr>
          <w:sz w:val="22"/>
          <w:szCs w:val="22"/>
        </w:rPr>
      </w:pPr>
      <w:proofErr w:type="gramStart"/>
      <w:r w:rsidRPr="002874E3">
        <w:rPr>
          <w:sz w:val="22"/>
          <w:szCs w:val="22"/>
        </w:rPr>
        <w:lastRenderedPageBreak/>
        <w:t>Principle</w:t>
      </w:r>
      <w:proofErr w:type="gramEnd"/>
      <w:r w:rsidRPr="002874E3">
        <w:rPr>
          <w:sz w:val="22"/>
          <w:szCs w:val="22"/>
        </w:rPr>
        <w:t xml:space="preserve"> of dividing whole into parts from only one point of view should be maintained, and therefore with the possibility of adding data so that the sum of all the parts equals the whole</w:t>
      </w:r>
    </w:p>
    <w:p w14:paraId="3C67248C" w14:textId="77777777" w:rsidR="002874E3" w:rsidRPr="002874E3" w:rsidRDefault="002874E3" w:rsidP="00D25872">
      <w:pPr>
        <w:numPr>
          <w:ilvl w:val="0"/>
          <w:numId w:val="33"/>
        </w:numPr>
        <w:spacing w:after="0" w:line="240" w:lineRule="auto"/>
        <w:jc w:val="both"/>
        <w:rPr>
          <w:sz w:val="22"/>
          <w:szCs w:val="22"/>
        </w:rPr>
      </w:pPr>
      <w:r w:rsidRPr="002874E3">
        <w:rPr>
          <w:sz w:val="22"/>
          <w:szCs w:val="22"/>
        </w:rPr>
        <w:t>Heavy load for compilers</w:t>
      </w:r>
    </w:p>
    <w:p w14:paraId="5BF1D212" w14:textId="77777777" w:rsidR="002874E3" w:rsidRDefault="002874E3" w:rsidP="00D25872">
      <w:pPr>
        <w:numPr>
          <w:ilvl w:val="0"/>
          <w:numId w:val="33"/>
        </w:numPr>
        <w:spacing w:after="0" w:line="240" w:lineRule="auto"/>
        <w:jc w:val="both"/>
        <w:rPr>
          <w:sz w:val="22"/>
          <w:szCs w:val="22"/>
        </w:rPr>
      </w:pPr>
      <w:r w:rsidRPr="002874E3">
        <w:rPr>
          <w:sz w:val="22"/>
          <w:szCs w:val="22"/>
        </w:rPr>
        <w:t>Might be better achieved by fully defining the cross-cutting issues and how to deal with them</w:t>
      </w:r>
    </w:p>
    <w:p w14:paraId="10D3B59B" w14:textId="21BE03E0" w:rsidR="00D16CD3" w:rsidRPr="002874E3" w:rsidRDefault="00D16CD3" w:rsidP="00D25872">
      <w:pPr>
        <w:numPr>
          <w:ilvl w:val="0"/>
          <w:numId w:val="33"/>
        </w:numPr>
        <w:spacing w:after="0" w:line="240" w:lineRule="auto"/>
        <w:jc w:val="both"/>
        <w:rPr>
          <w:sz w:val="22"/>
          <w:szCs w:val="22"/>
        </w:rPr>
      </w:pPr>
      <w:r w:rsidRPr="00D16CD3">
        <w:rPr>
          <w:sz w:val="22"/>
          <w:szCs w:val="22"/>
        </w:rPr>
        <w:t>There is no issue with assigning environmental protection expenditure</w:t>
      </w:r>
      <w:r>
        <w:rPr>
          <w:sz w:val="22"/>
          <w:szCs w:val="22"/>
        </w:rPr>
        <w:t xml:space="preserve">. </w:t>
      </w:r>
      <w:r w:rsidRPr="00D16CD3">
        <w:rPr>
          <w:sz w:val="22"/>
          <w:szCs w:val="22"/>
        </w:rPr>
        <w:t xml:space="preserve">Rather, resource management only is a secondary purpose. Treatment of line ministries etc. seems solved in </w:t>
      </w:r>
      <w:proofErr w:type="gramStart"/>
      <w:r w:rsidRPr="00D16CD3">
        <w:rPr>
          <w:sz w:val="22"/>
          <w:szCs w:val="22"/>
        </w:rPr>
        <w:t>the COFOG</w:t>
      </w:r>
      <w:proofErr w:type="gramEnd"/>
      <w:r w:rsidRPr="00D16CD3">
        <w:rPr>
          <w:sz w:val="22"/>
          <w:szCs w:val="22"/>
        </w:rPr>
        <w:t xml:space="preserve"> 99. Why reopen issues that are already solved?</w:t>
      </w:r>
    </w:p>
    <w:p w14:paraId="480F9C38" w14:textId="77777777" w:rsidR="00B7531D" w:rsidRDefault="00B7531D" w:rsidP="00450C7E">
      <w:pPr>
        <w:spacing w:after="0" w:line="240" w:lineRule="auto"/>
        <w:jc w:val="both"/>
        <w:rPr>
          <w:sz w:val="22"/>
          <w:szCs w:val="22"/>
        </w:rPr>
      </w:pPr>
    </w:p>
    <w:p w14:paraId="373F447D" w14:textId="77777777" w:rsidR="00713D4C" w:rsidRDefault="00713D4C" w:rsidP="00450C7E">
      <w:pPr>
        <w:spacing w:after="0" w:line="240" w:lineRule="auto"/>
        <w:jc w:val="both"/>
        <w:rPr>
          <w:sz w:val="22"/>
          <w:szCs w:val="22"/>
        </w:rPr>
      </w:pPr>
    </w:p>
    <w:p w14:paraId="0A3089BD" w14:textId="71AECD27" w:rsidR="00CF0262" w:rsidRPr="000B59FD" w:rsidRDefault="00CF0262" w:rsidP="00CF0262">
      <w:pPr>
        <w:spacing w:after="0" w:line="240" w:lineRule="auto"/>
        <w:jc w:val="both"/>
        <w:rPr>
          <w:sz w:val="22"/>
          <w:szCs w:val="22"/>
          <w:u w:val="single"/>
        </w:rPr>
      </w:pPr>
      <w:r w:rsidRPr="000B59FD">
        <w:rPr>
          <w:sz w:val="22"/>
          <w:szCs w:val="22"/>
          <w:u w:val="single"/>
        </w:rPr>
        <w:t>B</w:t>
      </w:r>
      <w:r w:rsidR="000B59FD">
        <w:rPr>
          <w:sz w:val="22"/>
          <w:szCs w:val="22"/>
          <w:u w:val="single"/>
        </w:rPr>
        <w:t>3</w:t>
      </w:r>
      <w:r w:rsidRPr="000B59FD">
        <w:rPr>
          <w:sz w:val="22"/>
          <w:szCs w:val="22"/>
          <w:u w:val="single"/>
        </w:rPr>
        <w:t xml:space="preserve">. </w:t>
      </w:r>
      <w:r w:rsidR="000B59FD" w:rsidRPr="000B59FD">
        <w:rPr>
          <w:sz w:val="22"/>
          <w:szCs w:val="22"/>
          <w:u w:val="single"/>
        </w:rPr>
        <w:t>Additional uses of C</w:t>
      </w:r>
      <w:r w:rsidR="000B59FD">
        <w:rPr>
          <w:sz w:val="22"/>
          <w:szCs w:val="22"/>
          <w:u w:val="single"/>
        </w:rPr>
        <w:t>OFOG</w:t>
      </w:r>
    </w:p>
    <w:p w14:paraId="0320DED9" w14:textId="77777777" w:rsidR="00CF0262" w:rsidRDefault="00CF0262" w:rsidP="00CF0262">
      <w:pPr>
        <w:spacing w:after="0" w:line="240" w:lineRule="auto"/>
        <w:jc w:val="both"/>
        <w:rPr>
          <w:sz w:val="22"/>
          <w:szCs w:val="22"/>
        </w:rPr>
      </w:pPr>
    </w:p>
    <w:p w14:paraId="31FED5D6" w14:textId="365DA2AA" w:rsidR="00B07E2F" w:rsidRDefault="00B07E2F" w:rsidP="002A24D1">
      <w:pPr>
        <w:spacing w:after="0" w:line="240" w:lineRule="auto"/>
        <w:jc w:val="both"/>
        <w:rPr>
          <w:sz w:val="22"/>
          <w:szCs w:val="22"/>
        </w:rPr>
      </w:pPr>
      <w:r>
        <w:rPr>
          <w:sz w:val="22"/>
          <w:szCs w:val="22"/>
        </w:rPr>
        <w:t>Original proposal/discussion</w:t>
      </w:r>
      <w:r w:rsidR="002A24D1">
        <w:rPr>
          <w:sz w:val="22"/>
          <w:szCs w:val="22"/>
        </w:rPr>
        <w:t>:</w:t>
      </w:r>
    </w:p>
    <w:p w14:paraId="71B5E3F1" w14:textId="4C53EB95" w:rsidR="00B07E2F" w:rsidRPr="000B59FD" w:rsidRDefault="002A24D1" w:rsidP="002A24D1">
      <w:pPr>
        <w:spacing w:after="0" w:line="240" w:lineRule="auto"/>
        <w:jc w:val="both"/>
        <w:rPr>
          <w:sz w:val="22"/>
          <w:szCs w:val="22"/>
        </w:rPr>
      </w:pPr>
      <w:r>
        <w:rPr>
          <w:noProof/>
        </w:rPr>
        <mc:AlternateContent>
          <mc:Choice Requires="wps">
            <w:drawing>
              <wp:anchor distT="0" distB="0" distL="114300" distR="114300" simplePos="0" relativeHeight="251658242" behindDoc="0" locked="0" layoutInCell="1" allowOverlap="1" wp14:anchorId="5B84A89F" wp14:editId="0B45D1A1">
                <wp:simplePos x="0" y="0"/>
                <wp:positionH relativeFrom="column">
                  <wp:posOffset>0</wp:posOffset>
                </wp:positionH>
                <wp:positionV relativeFrom="paragraph">
                  <wp:posOffset>0</wp:posOffset>
                </wp:positionV>
                <wp:extent cx="1828800" cy="1828800"/>
                <wp:effectExtent l="0" t="0" r="0" b="0"/>
                <wp:wrapSquare wrapText="bothSides"/>
                <wp:docPr id="170399916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7953124" w14:textId="77777777" w:rsidR="002A24D1" w:rsidRPr="00AA7D97" w:rsidRDefault="002A24D1">
                            <w:pPr>
                              <w:spacing w:after="0" w:line="240" w:lineRule="auto"/>
                              <w:jc w:val="both"/>
                              <w:rPr>
                                <w:sz w:val="22"/>
                                <w:szCs w:val="22"/>
                              </w:rPr>
                            </w:pPr>
                            <w:r w:rsidRPr="00386114">
                              <w:rPr>
                                <w:sz w:val="22"/>
                                <w:szCs w:val="22"/>
                              </w:rPr>
                              <w:t>These revision issues review uses of COFOG in the statistical and policy domains. COFOG is now considered primarily a classification of government expenditure. Proposals should be evaluated as to where COFOG are appropriately implemented in the government finance statistics, national accounts and the satellite accounts. Initial proposals also suggest that there could be further uses in the domain of government employment and public sector productivity.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84A89F" id="_x0000_s1028" type="#_x0000_t202" style="position:absolute;left:0;text-align:left;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hsFt0rAgAAWgQAAA4AAAAAAAAAAAAAAAAALgIAAGRycy9lMm9Eb2Mu&#10;eG1sUEsBAi0AFAAGAAgAAAAhALcMAwjXAAAABQEAAA8AAAAAAAAAAAAAAAAAhQQAAGRycy9kb3du&#10;cmV2LnhtbFBLBQYAAAAABAAEAPMAAACJBQAAAAA=&#10;" filled="f" strokeweight=".5pt">
                <v:textbox style="mso-fit-shape-to-text:t">
                  <w:txbxContent>
                    <w:p w14:paraId="27953124" w14:textId="77777777" w:rsidR="002A24D1" w:rsidRPr="00AA7D97" w:rsidRDefault="002A24D1">
                      <w:pPr>
                        <w:spacing w:after="0" w:line="240" w:lineRule="auto"/>
                        <w:jc w:val="both"/>
                        <w:rPr>
                          <w:sz w:val="22"/>
                          <w:szCs w:val="22"/>
                        </w:rPr>
                      </w:pPr>
                      <w:r w:rsidRPr="00386114">
                        <w:rPr>
                          <w:sz w:val="22"/>
                          <w:szCs w:val="22"/>
                        </w:rPr>
                        <w:t>These revision issues review uses of COFOG in the statistical and policy domains. COFOG is now considered primarily a classification of government expenditure. Proposals should be evaluated as to where COFOG are appropriately implemented in the government finance statistics, national accounts and the satellite accounts. Initial proposals also suggest that there could be further uses in the domain of government employment and public sector productivity.</w:t>
                      </w:r>
                    </w:p>
                  </w:txbxContent>
                </v:textbox>
                <w10:wrap type="square"/>
              </v:shape>
            </w:pict>
          </mc:Fallback>
        </mc:AlternateContent>
      </w:r>
    </w:p>
    <w:p w14:paraId="1F11CD60" w14:textId="77777777" w:rsidR="00CF0262" w:rsidRPr="0039008C" w:rsidRDefault="00CF0262" w:rsidP="00CF0262">
      <w:pPr>
        <w:spacing w:after="0" w:line="240" w:lineRule="auto"/>
        <w:jc w:val="both"/>
        <w:rPr>
          <w:sz w:val="22"/>
          <w:szCs w:val="22"/>
        </w:rPr>
      </w:pPr>
      <w:r>
        <w:rPr>
          <w:sz w:val="22"/>
          <w:szCs w:val="22"/>
        </w:rPr>
        <w:t>Additional proposals:</w:t>
      </w:r>
    </w:p>
    <w:p w14:paraId="687B8FC6" w14:textId="7594D135" w:rsidR="002874E3" w:rsidRPr="002874E3" w:rsidRDefault="002874E3" w:rsidP="00D25872">
      <w:pPr>
        <w:numPr>
          <w:ilvl w:val="0"/>
          <w:numId w:val="33"/>
        </w:numPr>
        <w:spacing w:after="0" w:line="240" w:lineRule="auto"/>
        <w:jc w:val="both"/>
        <w:rPr>
          <w:sz w:val="22"/>
          <w:szCs w:val="22"/>
        </w:rPr>
      </w:pPr>
      <w:r w:rsidRPr="002874E3">
        <w:rPr>
          <w:sz w:val="22"/>
          <w:szCs w:val="22"/>
        </w:rPr>
        <w:t>Consider possibility of bringing COFOG breakdown as close as possible to the NACE detail</w:t>
      </w:r>
    </w:p>
    <w:p w14:paraId="67479D08" w14:textId="77777777" w:rsidR="002874E3" w:rsidRPr="002874E3" w:rsidRDefault="002874E3" w:rsidP="00D25872">
      <w:pPr>
        <w:numPr>
          <w:ilvl w:val="0"/>
          <w:numId w:val="33"/>
        </w:numPr>
        <w:spacing w:after="0" w:line="240" w:lineRule="auto"/>
        <w:jc w:val="both"/>
        <w:rPr>
          <w:sz w:val="22"/>
          <w:szCs w:val="22"/>
        </w:rPr>
      </w:pPr>
      <w:r w:rsidRPr="002874E3">
        <w:rPr>
          <w:sz w:val="22"/>
          <w:szCs w:val="22"/>
        </w:rPr>
        <w:t xml:space="preserve">Correspondence with other classifications, satellites etc. should be shown in a manual. Advise to be cautious of being too prescriptive for use of COFOG – other than being very clear on what COFOG measures and how. However, some sort of user’s guidance could be useful </w:t>
      </w:r>
    </w:p>
    <w:p w14:paraId="416030A5" w14:textId="77777777" w:rsidR="002874E3" w:rsidRPr="002874E3" w:rsidRDefault="002874E3" w:rsidP="00D25872">
      <w:pPr>
        <w:numPr>
          <w:ilvl w:val="0"/>
          <w:numId w:val="33"/>
        </w:numPr>
        <w:spacing w:after="0" w:line="240" w:lineRule="auto"/>
        <w:jc w:val="both"/>
        <w:rPr>
          <w:sz w:val="22"/>
          <w:szCs w:val="22"/>
        </w:rPr>
      </w:pPr>
      <w:r w:rsidRPr="002874E3">
        <w:rPr>
          <w:sz w:val="22"/>
          <w:szCs w:val="22"/>
        </w:rPr>
        <w:t>Support using COFOG more widely, to expand further on GFS. This is already used by the IMF, showing how effectively these data can be in allowing for international comparisons and it would be ideal to expand on this further than just GFS; enable the direct measurement of labour or capital inputs</w:t>
      </w:r>
    </w:p>
    <w:p w14:paraId="223703A2" w14:textId="77777777" w:rsidR="002874E3" w:rsidRPr="002874E3" w:rsidRDefault="002874E3" w:rsidP="00D25872">
      <w:pPr>
        <w:numPr>
          <w:ilvl w:val="0"/>
          <w:numId w:val="33"/>
        </w:numPr>
        <w:spacing w:after="0" w:line="240" w:lineRule="auto"/>
        <w:jc w:val="both"/>
        <w:rPr>
          <w:sz w:val="22"/>
          <w:szCs w:val="22"/>
        </w:rPr>
      </w:pPr>
      <w:r w:rsidRPr="002874E3">
        <w:rPr>
          <w:sz w:val="22"/>
          <w:szCs w:val="22"/>
        </w:rPr>
        <w:t xml:space="preserve">Consider reporting </w:t>
      </w:r>
      <w:proofErr w:type="gramStart"/>
      <w:r w:rsidRPr="002874E3">
        <w:rPr>
          <w:sz w:val="22"/>
          <w:szCs w:val="22"/>
        </w:rPr>
        <w:t>of</w:t>
      </w:r>
      <w:proofErr w:type="gramEnd"/>
      <w:r w:rsidRPr="002874E3">
        <w:rPr>
          <w:sz w:val="22"/>
          <w:szCs w:val="22"/>
        </w:rPr>
        <w:t xml:space="preserve"> employment levels as well as expenditure using COFOG breakdowns </w:t>
      </w:r>
    </w:p>
    <w:p w14:paraId="33932196" w14:textId="77777777" w:rsidR="002874E3" w:rsidRPr="002874E3" w:rsidRDefault="002874E3" w:rsidP="00D25872">
      <w:pPr>
        <w:numPr>
          <w:ilvl w:val="0"/>
          <w:numId w:val="33"/>
        </w:numPr>
        <w:spacing w:after="0" w:line="240" w:lineRule="auto"/>
        <w:jc w:val="both"/>
        <w:rPr>
          <w:sz w:val="22"/>
          <w:szCs w:val="22"/>
        </w:rPr>
      </w:pPr>
      <w:r w:rsidRPr="002874E3">
        <w:rPr>
          <w:sz w:val="22"/>
          <w:szCs w:val="22"/>
        </w:rPr>
        <w:t xml:space="preserve">Suggest having </w:t>
      </w:r>
      <w:proofErr w:type="gramStart"/>
      <w:r w:rsidRPr="002874E3">
        <w:rPr>
          <w:sz w:val="22"/>
          <w:szCs w:val="22"/>
        </w:rPr>
        <w:t>correlation</w:t>
      </w:r>
      <w:proofErr w:type="gramEnd"/>
      <w:r w:rsidRPr="002874E3">
        <w:rPr>
          <w:sz w:val="22"/>
          <w:szCs w:val="22"/>
        </w:rPr>
        <w:t xml:space="preserve"> table between COFOG and ISIC for NSO guidance</w:t>
      </w:r>
    </w:p>
    <w:p w14:paraId="6C2F714F" w14:textId="77777777" w:rsidR="00CF0262" w:rsidRDefault="00CF0262" w:rsidP="00CF0262">
      <w:pPr>
        <w:spacing w:after="0" w:line="240" w:lineRule="auto"/>
        <w:jc w:val="both"/>
        <w:rPr>
          <w:sz w:val="22"/>
          <w:szCs w:val="22"/>
          <w:u w:val="single"/>
        </w:rPr>
      </w:pPr>
    </w:p>
    <w:p w14:paraId="731AC57A" w14:textId="77777777" w:rsidR="00CF0262" w:rsidRPr="003A32A6" w:rsidRDefault="00CF0262" w:rsidP="00CF0262">
      <w:pPr>
        <w:spacing w:after="0" w:line="240" w:lineRule="auto"/>
        <w:jc w:val="both"/>
        <w:rPr>
          <w:sz w:val="22"/>
          <w:szCs w:val="22"/>
        </w:rPr>
      </w:pPr>
      <w:r>
        <w:rPr>
          <w:sz w:val="22"/>
          <w:szCs w:val="22"/>
        </w:rPr>
        <w:t>Concerns/objections:</w:t>
      </w:r>
    </w:p>
    <w:p w14:paraId="645D715A" w14:textId="77777777" w:rsidR="000F3A3D" w:rsidRPr="000F3A3D" w:rsidRDefault="000F3A3D" w:rsidP="00D25872">
      <w:pPr>
        <w:numPr>
          <w:ilvl w:val="0"/>
          <w:numId w:val="33"/>
        </w:numPr>
        <w:spacing w:after="0" w:line="240" w:lineRule="auto"/>
        <w:jc w:val="both"/>
        <w:rPr>
          <w:sz w:val="22"/>
          <w:szCs w:val="22"/>
        </w:rPr>
      </w:pPr>
      <w:r w:rsidRPr="000F3A3D">
        <w:rPr>
          <w:sz w:val="22"/>
          <w:szCs w:val="22"/>
        </w:rPr>
        <w:t>Trend to pressure COFOG statistics to supply data that should be compiled by satellite accounts. Since implementation of those accounts are costly, assumption is that COFOG must deliver the data</w:t>
      </w:r>
    </w:p>
    <w:p w14:paraId="6FD27CB5" w14:textId="77777777" w:rsidR="000F3A3D" w:rsidRPr="000F3A3D" w:rsidRDefault="000F3A3D" w:rsidP="00D25872">
      <w:pPr>
        <w:numPr>
          <w:ilvl w:val="0"/>
          <w:numId w:val="33"/>
        </w:numPr>
        <w:spacing w:after="0" w:line="240" w:lineRule="auto"/>
        <w:jc w:val="both"/>
        <w:rPr>
          <w:sz w:val="22"/>
          <w:szCs w:val="22"/>
        </w:rPr>
      </w:pPr>
      <w:r w:rsidRPr="000F3A3D">
        <w:rPr>
          <w:sz w:val="22"/>
          <w:szCs w:val="22"/>
        </w:rPr>
        <w:t xml:space="preserve">Further uses in the domain of government employment and public sector productivity do not depend on </w:t>
      </w:r>
      <w:proofErr w:type="gramStart"/>
      <w:r w:rsidRPr="000F3A3D">
        <w:rPr>
          <w:sz w:val="22"/>
          <w:szCs w:val="22"/>
        </w:rPr>
        <w:t>a COFOG</w:t>
      </w:r>
      <w:proofErr w:type="gramEnd"/>
      <w:r w:rsidRPr="000F3A3D">
        <w:rPr>
          <w:sz w:val="22"/>
          <w:szCs w:val="22"/>
        </w:rPr>
        <w:t xml:space="preserve"> revision but on </w:t>
      </w:r>
      <w:proofErr w:type="gramStart"/>
      <w:r w:rsidRPr="000F3A3D">
        <w:rPr>
          <w:sz w:val="22"/>
          <w:szCs w:val="22"/>
        </w:rPr>
        <w:t>a merging</w:t>
      </w:r>
      <w:proofErr w:type="gramEnd"/>
      <w:r w:rsidRPr="000F3A3D">
        <w:rPr>
          <w:sz w:val="22"/>
          <w:szCs w:val="22"/>
        </w:rPr>
        <w:t xml:space="preserve"> of different statistics</w:t>
      </w:r>
    </w:p>
    <w:p w14:paraId="790724FC" w14:textId="77777777" w:rsidR="000F3A3D" w:rsidRDefault="000F3A3D" w:rsidP="00D25872">
      <w:pPr>
        <w:numPr>
          <w:ilvl w:val="0"/>
          <w:numId w:val="33"/>
        </w:numPr>
        <w:spacing w:after="0" w:line="240" w:lineRule="auto"/>
        <w:jc w:val="both"/>
        <w:rPr>
          <w:sz w:val="22"/>
          <w:szCs w:val="22"/>
        </w:rPr>
      </w:pPr>
      <w:r w:rsidRPr="000F3A3D">
        <w:rPr>
          <w:sz w:val="22"/>
          <w:szCs w:val="22"/>
        </w:rPr>
        <w:t>Needs a research agenda of future work and a clear maintenance plan and then additional uses may be dealt with through different approaches or better integrated</w:t>
      </w:r>
    </w:p>
    <w:p w14:paraId="5A390C92" w14:textId="6C9CA8C9" w:rsidR="00F17EF5" w:rsidRPr="000F3A3D" w:rsidRDefault="00F17EF5" w:rsidP="00D25872">
      <w:pPr>
        <w:numPr>
          <w:ilvl w:val="0"/>
          <w:numId w:val="33"/>
        </w:numPr>
        <w:spacing w:after="0" w:line="240" w:lineRule="auto"/>
        <w:jc w:val="both"/>
        <w:rPr>
          <w:sz w:val="22"/>
          <w:szCs w:val="22"/>
        </w:rPr>
      </w:pPr>
      <w:r w:rsidRPr="00F17EF5">
        <w:rPr>
          <w:sz w:val="22"/>
          <w:szCs w:val="22"/>
        </w:rPr>
        <w:t xml:space="preserve">Government employment is </w:t>
      </w:r>
      <w:proofErr w:type="gramStart"/>
      <w:r w:rsidRPr="00F17EF5">
        <w:rPr>
          <w:sz w:val="22"/>
          <w:szCs w:val="22"/>
        </w:rPr>
        <w:t>interesting</w:t>
      </w:r>
      <w:proofErr w:type="gramEnd"/>
      <w:r w:rsidRPr="00F17EF5">
        <w:rPr>
          <w:sz w:val="22"/>
          <w:szCs w:val="22"/>
        </w:rPr>
        <w:t xml:space="preserve"> proposal. </w:t>
      </w:r>
      <w:proofErr w:type="gramStart"/>
      <w:r>
        <w:rPr>
          <w:sz w:val="22"/>
          <w:szCs w:val="22"/>
        </w:rPr>
        <w:t>I</w:t>
      </w:r>
      <w:r w:rsidRPr="00F17EF5">
        <w:rPr>
          <w:sz w:val="22"/>
          <w:szCs w:val="22"/>
        </w:rPr>
        <w:t>dea</w:t>
      </w:r>
      <w:proofErr w:type="gramEnd"/>
      <w:r w:rsidRPr="00F17EF5">
        <w:rPr>
          <w:sz w:val="22"/>
          <w:szCs w:val="22"/>
        </w:rPr>
        <w:t xml:space="preserve"> that COFOG should be implemented in NA and GFS should not be put in question. However, since satellite accounts extend NA concepts, direct consistency is logically impossible. E.g. in Europe SHA and ESSPROS. The topic should be limited in scope</w:t>
      </w:r>
    </w:p>
    <w:p w14:paraId="180CCF58" w14:textId="77777777" w:rsidR="008D7F38" w:rsidRDefault="008D7F38" w:rsidP="00450C7E">
      <w:pPr>
        <w:spacing w:after="0" w:line="240" w:lineRule="auto"/>
        <w:jc w:val="both"/>
        <w:rPr>
          <w:sz w:val="22"/>
          <w:szCs w:val="22"/>
        </w:rPr>
      </w:pPr>
    </w:p>
    <w:p w14:paraId="6D51E05F" w14:textId="77777777" w:rsidR="000C79AA" w:rsidRDefault="000C79AA" w:rsidP="00450C7E">
      <w:pPr>
        <w:spacing w:after="0" w:line="240" w:lineRule="auto"/>
        <w:jc w:val="both"/>
        <w:rPr>
          <w:sz w:val="22"/>
          <w:szCs w:val="22"/>
        </w:rPr>
      </w:pPr>
    </w:p>
    <w:p w14:paraId="6321D806" w14:textId="77777777" w:rsidR="00AE1A21" w:rsidRDefault="00AE1A21" w:rsidP="00450C7E">
      <w:pPr>
        <w:spacing w:after="0" w:line="240" w:lineRule="auto"/>
        <w:jc w:val="both"/>
        <w:rPr>
          <w:sz w:val="22"/>
          <w:szCs w:val="22"/>
        </w:rPr>
      </w:pPr>
    </w:p>
    <w:p w14:paraId="73746B0A" w14:textId="77777777" w:rsidR="00AE1A21" w:rsidRDefault="00AE1A21" w:rsidP="00450C7E">
      <w:pPr>
        <w:spacing w:after="0" w:line="240" w:lineRule="auto"/>
        <w:jc w:val="both"/>
        <w:rPr>
          <w:sz w:val="22"/>
          <w:szCs w:val="22"/>
        </w:rPr>
      </w:pPr>
    </w:p>
    <w:p w14:paraId="2F72F501" w14:textId="285BC2FA" w:rsidR="000C79AA" w:rsidRPr="000B59FD" w:rsidRDefault="000C79AA" w:rsidP="000C79AA">
      <w:pPr>
        <w:spacing w:after="0" w:line="240" w:lineRule="auto"/>
        <w:jc w:val="both"/>
        <w:rPr>
          <w:sz w:val="22"/>
          <w:szCs w:val="22"/>
          <w:u w:val="single"/>
        </w:rPr>
      </w:pPr>
      <w:r w:rsidRPr="000B59FD">
        <w:rPr>
          <w:sz w:val="22"/>
          <w:szCs w:val="22"/>
          <w:u w:val="single"/>
        </w:rPr>
        <w:lastRenderedPageBreak/>
        <w:t>B</w:t>
      </w:r>
      <w:r>
        <w:rPr>
          <w:sz w:val="22"/>
          <w:szCs w:val="22"/>
          <w:u w:val="single"/>
        </w:rPr>
        <w:t>4</w:t>
      </w:r>
      <w:r w:rsidRPr="000B59FD">
        <w:rPr>
          <w:sz w:val="22"/>
          <w:szCs w:val="22"/>
          <w:u w:val="single"/>
        </w:rPr>
        <w:t xml:space="preserve">. </w:t>
      </w:r>
      <w:r w:rsidR="00805633">
        <w:rPr>
          <w:sz w:val="22"/>
          <w:szCs w:val="22"/>
          <w:u w:val="single"/>
        </w:rPr>
        <w:t>Compilation issues</w:t>
      </w:r>
    </w:p>
    <w:p w14:paraId="682E0433" w14:textId="77777777" w:rsidR="000C79AA" w:rsidRDefault="000C79AA" w:rsidP="000C79AA">
      <w:pPr>
        <w:spacing w:after="0" w:line="240" w:lineRule="auto"/>
        <w:jc w:val="both"/>
        <w:rPr>
          <w:sz w:val="22"/>
          <w:szCs w:val="22"/>
        </w:rPr>
      </w:pPr>
    </w:p>
    <w:p w14:paraId="7AE092DF" w14:textId="77777777" w:rsidR="00965415" w:rsidRDefault="00965415" w:rsidP="00965415">
      <w:pPr>
        <w:spacing w:after="0" w:line="240" w:lineRule="auto"/>
        <w:jc w:val="both"/>
        <w:rPr>
          <w:sz w:val="22"/>
          <w:szCs w:val="22"/>
        </w:rPr>
      </w:pPr>
      <w:r>
        <w:rPr>
          <w:sz w:val="22"/>
          <w:szCs w:val="22"/>
        </w:rPr>
        <w:t>Original proposal/discussion:</w:t>
      </w:r>
    </w:p>
    <w:p w14:paraId="2A4A4A7D" w14:textId="77777777" w:rsidR="0093465F" w:rsidRDefault="0093465F" w:rsidP="00965415">
      <w:pPr>
        <w:spacing w:after="0" w:line="240" w:lineRule="auto"/>
        <w:jc w:val="both"/>
        <w:rPr>
          <w:sz w:val="22"/>
          <w:szCs w:val="22"/>
        </w:rPr>
      </w:pPr>
    </w:p>
    <w:p w14:paraId="60A4916E" w14:textId="22922C0B" w:rsidR="00965415" w:rsidRPr="000B59FD" w:rsidRDefault="0093465F" w:rsidP="0093465F">
      <w:pPr>
        <w:spacing w:after="0" w:line="240" w:lineRule="auto"/>
        <w:jc w:val="both"/>
        <w:rPr>
          <w:sz w:val="22"/>
          <w:szCs w:val="22"/>
        </w:rPr>
      </w:pPr>
      <w:r>
        <w:rPr>
          <w:noProof/>
        </w:rPr>
        <mc:AlternateContent>
          <mc:Choice Requires="wps">
            <w:drawing>
              <wp:anchor distT="0" distB="0" distL="114300" distR="114300" simplePos="0" relativeHeight="251658243" behindDoc="0" locked="0" layoutInCell="1" allowOverlap="1" wp14:anchorId="2928897D" wp14:editId="132F58E7">
                <wp:simplePos x="0" y="0"/>
                <wp:positionH relativeFrom="column">
                  <wp:posOffset>0</wp:posOffset>
                </wp:positionH>
                <wp:positionV relativeFrom="paragraph">
                  <wp:posOffset>0</wp:posOffset>
                </wp:positionV>
                <wp:extent cx="1828800" cy="1828800"/>
                <wp:effectExtent l="0" t="0" r="0" b="0"/>
                <wp:wrapSquare wrapText="bothSides"/>
                <wp:docPr id="152723856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6BBFA6" w14:textId="77777777" w:rsidR="0093465F" w:rsidRPr="00386114" w:rsidRDefault="0093465F" w:rsidP="0093465F">
                            <w:pPr>
                              <w:spacing w:line="240" w:lineRule="auto"/>
                              <w:jc w:val="both"/>
                              <w:rPr>
                                <w:sz w:val="22"/>
                                <w:szCs w:val="22"/>
                                <w:lang w:val="en-GB"/>
                              </w:rPr>
                            </w:pPr>
                            <w:r w:rsidRPr="00386114">
                              <w:rPr>
                                <w:sz w:val="22"/>
                                <w:szCs w:val="22"/>
                              </w:rPr>
                              <w:t xml:space="preserve">This revision issue calls for the strengthening of the compilation </w:t>
                            </w:r>
                            <w:proofErr w:type="gramStart"/>
                            <w:r w:rsidRPr="00386114">
                              <w:rPr>
                                <w:sz w:val="22"/>
                                <w:szCs w:val="22"/>
                              </w:rPr>
                              <w:t>taking into account</w:t>
                            </w:r>
                            <w:proofErr w:type="gramEnd"/>
                            <w:r w:rsidRPr="00386114">
                              <w:rPr>
                                <w:sz w:val="22"/>
                                <w:szCs w:val="22"/>
                              </w:rPr>
                              <w:t xml:space="preserve"> diverse and country-specific differences for the COFOG implementation. The COFOG classification and datasets produced provide rich and useful information that can be of more value if further guidance is provided for users (and compilers) on how to compile and use the data. However, there is a lack of data for COFOG II level in some countries due to difficulties in methodological interpretation or a lack of detailed source data at this level of classification.  </w:t>
                            </w:r>
                            <w:r w:rsidRPr="00386114">
                              <w:rPr>
                                <w:sz w:val="22"/>
                                <w:szCs w:val="22"/>
                                <w:lang w:val="en-GB"/>
                              </w:rPr>
                              <w:t xml:space="preserve">Moreover, the analytical usefulness of the COFOG data is severely curtailed if only budgetary units or the central government are captured rather than the whole general government sector. It is therefore important to collect data for the subnational government levels S1312 (for federal countries) and S1313, for S1314 and include extra-budgetary units in the compilation. </w:t>
                            </w:r>
                          </w:p>
                          <w:p w14:paraId="55A4011F" w14:textId="77777777" w:rsidR="0093465F" w:rsidRPr="0064533F" w:rsidRDefault="0093465F">
                            <w:pPr>
                              <w:spacing w:line="240" w:lineRule="auto"/>
                              <w:jc w:val="both"/>
                              <w:rPr>
                                <w:sz w:val="22"/>
                                <w:szCs w:val="22"/>
                              </w:rPr>
                            </w:pPr>
                            <w:r w:rsidRPr="00386114">
                              <w:rPr>
                                <w:sz w:val="22"/>
                                <w:szCs w:val="22"/>
                              </w:rPr>
                              <w:t>Compilation guidance should preferably be built starting from the existing Eurostat COFOG manual. The Manual on sources and methods for the compilation of COFOG statistics 2019 is a comprehensive guide to compiling COFOG statistics, which usefully discusses various methodological issues and EU country practices. A gap for non-EU compilers of COFOG statistics is how to practically compile these data. For example, guidance on incorporating COFOG into budgeting frameworks (which is common practice in the EU), or the best ways to cross-classify expenditure between GFSM/SNA with COFOG.  In addition, budget programmes may include spending programmes that have more than one purpose in the sense of COFOG. Guidance on how to classify expenditures from budget programmes that have more than one purpose could be particularly useful. More generally, the COFOG guidance could usefully include more inclusion and exclusion examples across all groups and classes.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28897D" id="_x0000_s1029" type="#_x0000_t202" style="position:absolute;left:0;text-align:left;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BTJ8UErAgAAWgQAAA4AAAAAAAAAAAAAAAAALgIAAGRycy9lMm9Eb2Mu&#10;eG1sUEsBAi0AFAAGAAgAAAAhALcMAwjXAAAABQEAAA8AAAAAAAAAAAAAAAAAhQQAAGRycy9kb3du&#10;cmV2LnhtbFBLBQYAAAAABAAEAPMAAACJBQAAAAA=&#10;" filled="f" strokeweight=".5pt">
                <v:textbox style="mso-fit-shape-to-text:t">
                  <w:txbxContent>
                    <w:p w14:paraId="196BBFA6" w14:textId="77777777" w:rsidR="0093465F" w:rsidRPr="00386114" w:rsidRDefault="0093465F" w:rsidP="0093465F">
                      <w:pPr>
                        <w:spacing w:line="240" w:lineRule="auto"/>
                        <w:jc w:val="both"/>
                        <w:rPr>
                          <w:sz w:val="22"/>
                          <w:szCs w:val="22"/>
                          <w:lang w:val="en-GB"/>
                        </w:rPr>
                      </w:pPr>
                      <w:r w:rsidRPr="00386114">
                        <w:rPr>
                          <w:sz w:val="22"/>
                          <w:szCs w:val="22"/>
                        </w:rPr>
                        <w:t xml:space="preserve">This revision issue calls for the strengthening of the compilation </w:t>
                      </w:r>
                      <w:proofErr w:type="gramStart"/>
                      <w:r w:rsidRPr="00386114">
                        <w:rPr>
                          <w:sz w:val="22"/>
                          <w:szCs w:val="22"/>
                        </w:rPr>
                        <w:t>taking into account</w:t>
                      </w:r>
                      <w:proofErr w:type="gramEnd"/>
                      <w:r w:rsidRPr="00386114">
                        <w:rPr>
                          <w:sz w:val="22"/>
                          <w:szCs w:val="22"/>
                        </w:rPr>
                        <w:t xml:space="preserve"> diverse and country-specific differences for the COFOG implementation. The COFOG classification and datasets produced provide rich and useful information that can be of more value if further guidance is provided for users (and compilers) on how to compile and use the data. However, there is a lack of data for COFOG II level in some countries due to difficulties in methodological interpretation or a lack of detailed source data at this level of classification.  </w:t>
                      </w:r>
                      <w:r w:rsidRPr="00386114">
                        <w:rPr>
                          <w:sz w:val="22"/>
                          <w:szCs w:val="22"/>
                          <w:lang w:val="en-GB"/>
                        </w:rPr>
                        <w:t xml:space="preserve">Moreover, the analytical usefulness of the COFOG data is severely curtailed if only budgetary units or the central government are captured rather than the whole general government sector. It is therefore important to collect data for the subnational government levels S1312 (for federal countries) and S1313, for S1314 and include extra-budgetary units in the compilation. </w:t>
                      </w:r>
                    </w:p>
                    <w:p w14:paraId="55A4011F" w14:textId="77777777" w:rsidR="0093465F" w:rsidRPr="0064533F" w:rsidRDefault="0093465F">
                      <w:pPr>
                        <w:spacing w:line="240" w:lineRule="auto"/>
                        <w:jc w:val="both"/>
                        <w:rPr>
                          <w:sz w:val="22"/>
                          <w:szCs w:val="22"/>
                        </w:rPr>
                      </w:pPr>
                      <w:r w:rsidRPr="00386114">
                        <w:rPr>
                          <w:sz w:val="22"/>
                          <w:szCs w:val="22"/>
                        </w:rPr>
                        <w:t>Compilation guidance should preferably be built starting from the existing Eurostat COFOG manual. The Manual on sources and methods for the compilation of COFOG statistics 2019 is a comprehensive guide to compiling COFOG statistics, which usefully discusses various methodological issues and EU country practices. A gap for non-EU compilers of COFOG statistics is how to practically compile these data. For example, guidance on incorporating COFOG into budgeting frameworks (which is common practice in the EU), or the best ways to cross-classify expenditure between GFSM/SNA with COFOG.  In addition, budget programmes may include spending programmes that have more than one purpose in the sense of COFOG. Guidance on how to classify expenditures from budget programmes that have more than one purpose could be particularly useful. More generally, the COFOG guidance could usefully include more inclusion and exclusion examples across all groups and classes.</w:t>
                      </w:r>
                    </w:p>
                  </w:txbxContent>
                </v:textbox>
                <w10:wrap type="square"/>
              </v:shape>
            </w:pict>
          </mc:Fallback>
        </mc:AlternateContent>
      </w:r>
    </w:p>
    <w:p w14:paraId="4863F464" w14:textId="77777777" w:rsidR="000C79AA" w:rsidRPr="0039008C" w:rsidRDefault="000C79AA" w:rsidP="000C79AA">
      <w:pPr>
        <w:spacing w:after="0" w:line="240" w:lineRule="auto"/>
        <w:jc w:val="both"/>
        <w:rPr>
          <w:sz w:val="22"/>
          <w:szCs w:val="22"/>
        </w:rPr>
      </w:pPr>
      <w:bookmarkStart w:id="16" w:name="_Hlk192675534"/>
      <w:r>
        <w:rPr>
          <w:sz w:val="22"/>
          <w:szCs w:val="22"/>
        </w:rPr>
        <w:t>Additional proposals:</w:t>
      </w:r>
    </w:p>
    <w:p w14:paraId="3DA36E54" w14:textId="1BD3D3D4" w:rsidR="000C79AA" w:rsidRPr="0039008C" w:rsidRDefault="00C612A1" w:rsidP="00D25872">
      <w:pPr>
        <w:pStyle w:val="ListParagraph"/>
        <w:numPr>
          <w:ilvl w:val="0"/>
          <w:numId w:val="27"/>
        </w:numPr>
        <w:spacing w:after="0" w:line="240" w:lineRule="auto"/>
        <w:jc w:val="both"/>
        <w:rPr>
          <w:sz w:val="22"/>
          <w:szCs w:val="22"/>
        </w:rPr>
      </w:pPr>
      <w:r>
        <w:rPr>
          <w:sz w:val="22"/>
          <w:szCs w:val="22"/>
        </w:rPr>
        <w:t>C</w:t>
      </w:r>
      <w:r w:rsidRPr="00C612A1">
        <w:rPr>
          <w:sz w:val="22"/>
          <w:szCs w:val="22"/>
        </w:rPr>
        <w:t>ould discuss developing a compiler’s guide</w:t>
      </w:r>
    </w:p>
    <w:p w14:paraId="1588D4C4" w14:textId="4DC10654" w:rsidR="001B6DEE" w:rsidRDefault="001B6DEE" w:rsidP="00D25872">
      <w:pPr>
        <w:pStyle w:val="ListParagraph"/>
        <w:numPr>
          <w:ilvl w:val="0"/>
          <w:numId w:val="27"/>
        </w:numPr>
        <w:spacing w:after="0" w:line="240" w:lineRule="auto"/>
        <w:jc w:val="both"/>
        <w:rPr>
          <w:sz w:val="22"/>
          <w:szCs w:val="22"/>
        </w:rPr>
      </w:pPr>
      <w:r>
        <w:rPr>
          <w:sz w:val="22"/>
          <w:szCs w:val="22"/>
        </w:rPr>
        <w:t>G</w:t>
      </w:r>
      <w:r w:rsidRPr="001B6DEE">
        <w:rPr>
          <w:sz w:val="22"/>
          <w:szCs w:val="22"/>
        </w:rPr>
        <w:t xml:space="preserve">uidance </w:t>
      </w:r>
      <w:r>
        <w:rPr>
          <w:sz w:val="22"/>
          <w:szCs w:val="22"/>
        </w:rPr>
        <w:t xml:space="preserve">must </w:t>
      </w:r>
      <w:r w:rsidRPr="001B6DEE">
        <w:rPr>
          <w:sz w:val="22"/>
          <w:szCs w:val="22"/>
        </w:rPr>
        <w:t>be continually updated and improved based on feedback from user countries</w:t>
      </w:r>
    </w:p>
    <w:p w14:paraId="4D6094AB" w14:textId="227AFE38" w:rsidR="001E4697" w:rsidRPr="00970289" w:rsidRDefault="001E4697" w:rsidP="00D25872">
      <w:pPr>
        <w:pStyle w:val="ListParagraph"/>
        <w:numPr>
          <w:ilvl w:val="0"/>
          <w:numId w:val="27"/>
        </w:numPr>
        <w:spacing w:after="0" w:line="240" w:lineRule="auto"/>
        <w:jc w:val="both"/>
        <w:rPr>
          <w:sz w:val="22"/>
          <w:szCs w:val="22"/>
        </w:rPr>
      </w:pPr>
      <w:r>
        <w:rPr>
          <w:sz w:val="22"/>
          <w:szCs w:val="22"/>
        </w:rPr>
        <w:t>C</w:t>
      </w:r>
      <w:r w:rsidRPr="001E4697">
        <w:rPr>
          <w:sz w:val="22"/>
          <w:szCs w:val="22"/>
        </w:rPr>
        <w:t>onsider</w:t>
      </w:r>
      <w:r>
        <w:rPr>
          <w:sz w:val="22"/>
          <w:szCs w:val="22"/>
        </w:rPr>
        <w:t xml:space="preserve"> </w:t>
      </w:r>
      <w:r w:rsidRPr="001E4697">
        <w:rPr>
          <w:sz w:val="22"/>
          <w:szCs w:val="22"/>
        </w:rPr>
        <w:t>how breakdowns can be made either more flexible or more comprehensive in some areas (e.g. health</w:t>
      </w:r>
      <w:r>
        <w:rPr>
          <w:sz w:val="22"/>
          <w:szCs w:val="22"/>
        </w:rPr>
        <w:t xml:space="preserve">, </w:t>
      </w:r>
      <w:r w:rsidRPr="001E4697">
        <w:rPr>
          <w:sz w:val="22"/>
          <w:szCs w:val="22"/>
        </w:rPr>
        <w:t>social protection) so governments can see how their own policy breakdowns fit into COFOG</w:t>
      </w:r>
      <w:r>
        <w:rPr>
          <w:sz w:val="22"/>
          <w:szCs w:val="22"/>
        </w:rPr>
        <w:t xml:space="preserve">; </w:t>
      </w:r>
      <w:r w:rsidRPr="001E4697">
        <w:rPr>
          <w:sz w:val="22"/>
          <w:szCs w:val="22"/>
        </w:rPr>
        <w:t>would avoid some</w:t>
      </w:r>
      <w:r w:rsidR="006200E0">
        <w:rPr>
          <w:sz w:val="22"/>
          <w:szCs w:val="22"/>
        </w:rPr>
        <w:t xml:space="preserve"> </w:t>
      </w:r>
      <w:r w:rsidRPr="001E4697">
        <w:rPr>
          <w:sz w:val="22"/>
          <w:szCs w:val="22"/>
        </w:rPr>
        <w:t xml:space="preserve">difficulties and resort to n.e.c. and locally-adapted breakdowns, which can render some international comparisons difficult </w:t>
      </w:r>
    </w:p>
    <w:p w14:paraId="6E27B667" w14:textId="77777777" w:rsidR="000C79AA" w:rsidRDefault="000C79AA" w:rsidP="000C79AA">
      <w:pPr>
        <w:spacing w:after="0" w:line="240" w:lineRule="auto"/>
        <w:jc w:val="both"/>
        <w:rPr>
          <w:sz w:val="22"/>
          <w:szCs w:val="22"/>
          <w:u w:val="single"/>
        </w:rPr>
      </w:pPr>
    </w:p>
    <w:p w14:paraId="048D6C82" w14:textId="77777777" w:rsidR="000C79AA" w:rsidRPr="003A32A6" w:rsidRDefault="000C79AA" w:rsidP="000C79AA">
      <w:pPr>
        <w:spacing w:after="0" w:line="240" w:lineRule="auto"/>
        <w:jc w:val="both"/>
        <w:rPr>
          <w:sz w:val="22"/>
          <w:szCs w:val="22"/>
        </w:rPr>
      </w:pPr>
      <w:r>
        <w:rPr>
          <w:sz w:val="22"/>
          <w:szCs w:val="22"/>
        </w:rPr>
        <w:t>Concerns/objections:</w:t>
      </w:r>
    </w:p>
    <w:p w14:paraId="07629D04" w14:textId="0196B396" w:rsidR="002669BE" w:rsidRDefault="00610315" w:rsidP="00D25872">
      <w:pPr>
        <w:pStyle w:val="ListParagraph"/>
        <w:numPr>
          <w:ilvl w:val="0"/>
          <w:numId w:val="27"/>
        </w:numPr>
        <w:spacing w:after="0" w:line="240" w:lineRule="auto"/>
        <w:jc w:val="both"/>
        <w:rPr>
          <w:sz w:val="22"/>
          <w:szCs w:val="22"/>
        </w:rPr>
      </w:pPr>
      <w:r>
        <w:rPr>
          <w:sz w:val="22"/>
          <w:szCs w:val="22"/>
        </w:rPr>
        <w:t xml:space="preserve">Not an issue within </w:t>
      </w:r>
      <w:proofErr w:type="gramStart"/>
      <w:r w:rsidRPr="00610315">
        <w:rPr>
          <w:sz w:val="22"/>
          <w:szCs w:val="22"/>
        </w:rPr>
        <w:t>European</w:t>
      </w:r>
      <w:proofErr w:type="gramEnd"/>
      <w:r w:rsidRPr="00610315">
        <w:rPr>
          <w:sz w:val="22"/>
          <w:szCs w:val="22"/>
        </w:rPr>
        <w:t xml:space="preserve"> statistics ecosystem</w:t>
      </w:r>
    </w:p>
    <w:p w14:paraId="6D2E5720" w14:textId="1B013872" w:rsidR="002669BE" w:rsidRDefault="00C9199B" w:rsidP="00D25872">
      <w:pPr>
        <w:pStyle w:val="ListParagraph"/>
        <w:numPr>
          <w:ilvl w:val="0"/>
          <w:numId w:val="27"/>
        </w:numPr>
        <w:spacing w:after="0" w:line="240" w:lineRule="auto"/>
        <w:jc w:val="both"/>
        <w:rPr>
          <w:sz w:val="22"/>
          <w:szCs w:val="22"/>
        </w:rPr>
      </w:pPr>
      <w:r>
        <w:rPr>
          <w:sz w:val="22"/>
          <w:szCs w:val="22"/>
        </w:rPr>
        <w:t>C</w:t>
      </w:r>
      <w:r w:rsidRPr="00C9199B">
        <w:rPr>
          <w:sz w:val="22"/>
          <w:szCs w:val="22"/>
        </w:rPr>
        <w:t>ould probably be done after COFOG is completed, however some light guidance for texting may help</w:t>
      </w:r>
    </w:p>
    <w:p w14:paraId="75F69A27" w14:textId="251E88C3" w:rsidR="00A56017" w:rsidRPr="0039008C" w:rsidRDefault="00A56017" w:rsidP="00D25872">
      <w:pPr>
        <w:pStyle w:val="ListParagraph"/>
        <w:numPr>
          <w:ilvl w:val="0"/>
          <w:numId w:val="27"/>
        </w:numPr>
        <w:spacing w:after="0" w:line="240" w:lineRule="auto"/>
        <w:jc w:val="both"/>
        <w:rPr>
          <w:sz w:val="22"/>
          <w:szCs w:val="22"/>
        </w:rPr>
      </w:pPr>
      <w:r>
        <w:rPr>
          <w:sz w:val="22"/>
          <w:szCs w:val="22"/>
        </w:rPr>
        <w:t>A</w:t>
      </w:r>
      <w:r w:rsidRPr="00A56017">
        <w:rPr>
          <w:sz w:val="22"/>
          <w:szCs w:val="22"/>
        </w:rPr>
        <w:t xml:space="preserve"> repetition of item under B.1. Furthermore, it is up to compilers and IO to ensure appropriate sectoral scope of COFOG, rather than this being a topic for the conceptual review </w:t>
      </w:r>
    </w:p>
    <w:bookmarkEnd w:id="16"/>
    <w:p w14:paraId="5EF59869" w14:textId="77777777" w:rsidR="00CF0262" w:rsidRDefault="00CF0262" w:rsidP="00450C7E">
      <w:pPr>
        <w:spacing w:after="0" w:line="240" w:lineRule="auto"/>
        <w:jc w:val="both"/>
        <w:rPr>
          <w:sz w:val="22"/>
          <w:szCs w:val="22"/>
        </w:rPr>
      </w:pPr>
    </w:p>
    <w:p w14:paraId="6B9F5924" w14:textId="77777777" w:rsidR="002669BE" w:rsidRDefault="002669BE" w:rsidP="00450C7E">
      <w:pPr>
        <w:spacing w:after="0" w:line="240" w:lineRule="auto"/>
        <w:jc w:val="both"/>
        <w:rPr>
          <w:sz w:val="22"/>
          <w:szCs w:val="22"/>
        </w:rPr>
      </w:pPr>
    </w:p>
    <w:p w14:paraId="24719DA6" w14:textId="2EC5C47E" w:rsidR="002669BE" w:rsidRDefault="002669BE" w:rsidP="005104F6">
      <w:pPr>
        <w:spacing w:after="0" w:line="240" w:lineRule="auto"/>
        <w:jc w:val="both"/>
        <w:rPr>
          <w:sz w:val="22"/>
          <w:szCs w:val="22"/>
          <w:u w:val="single"/>
        </w:rPr>
      </w:pPr>
      <w:r w:rsidRPr="000B59FD">
        <w:rPr>
          <w:sz w:val="22"/>
          <w:szCs w:val="22"/>
          <w:u w:val="single"/>
        </w:rPr>
        <w:t>B</w:t>
      </w:r>
      <w:r w:rsidR="005104F6">
        <w:rPr>
          <w:sz w:val="22"/>
          <w:szCs w:val="22"/>
          <w:u w:val="single"/>
        </w:rPr>
        <w:t>5</w:t>
      </w:r>
      <w:r w:rsidRPr="000B59FD">
        <w:rPr>
          <w:sz w:val="22"/>
          <w:szCs w:val="22"/>
          <w:u w:val="single"/>
        </w:rPr>
        <w:t xml:space="preserve">. </w:t>
      </w:r>
      <w:r w:rsidR="005104F6" w:rsidRPr="005104F6">
        <w:rPr>
          <w:sz w:val="22"/>
          <w:szCs w:val="22"/>
          <w:u w:val="single"/>
        </w:rPr>
        <w:t>Individual/collective expenditure</w:t>
      </w:r>
    </w:p>
    <w:p w14:paraId="767FC8A6" w14:textId="77777777" w:rsidR="005104F6" w:rsidRDefault="005104F6" w:rsidP="005104F6">
      <w:pPr>
        <w:spacing w:after="0" w:line="240" w:lineRule="auto"/>
        <w:jc w:val="both"/>
        <w:rPr>
          <w:sz w:val="22"/>
          <w:szCs w:val="22"/>
        </w:rPr>
      </w:pPr>
    </w:p>
    <w:p w14:paraId="59FFEB9C" w14:textId="77777777" w:rsidR="00D23DC8" w:rsidRDefault="00D23DC8" w:rsidP="00D23DC8">
      <w:pPr>
        <w:spacing w:after="0" w:line="240" w:lineRule="auto"/>
        <w:jc w:val="both"/>
        <w:rPr>
          <w:sz w:val="22"/>
          <w:szCs w:val="22"/>
        </w:rPr>
      </w:pPr>
      <w:r>
        <w:rPr>
          <w:sz w:val="22"/>
          <w:szCs w:val="22"/>
        </w:rPr>
        <w:t>Original proposal/discussion:</w:t>
      </w:r>
    </w:p>
    <w:p w14:paraId="1925B781" w14:textId="6EA3F545" w:rsidR="00D23DC8" w:rsidRPr="000B59FD" w:rsidRDefault="00240F1B" w:rsidP="00240F1B">
      <w:pPr>
        <w:spacing w:after="0" w:line="240" w:lineRule="auto"/>
        <w:jc w:val="both"/>
        <w:rPr>
          <w:sz w:val="22"/>
          <w:szCs w:val="22"/>
        </w:rPr>
      </w:pPr>
      <w:r>
        <w:rPr>
          <w:noProof/>
        </w:rPr>
        <w:lastRenderedPageBreak/>
        <mc:AlternateContent>
          <mc:Choice Requires="wps">
            <w:drawing>
              <wp:anchor distT="0" distB="0" distL="114300" distR="114300" simplePos="0" relativeHeight="251658244" behindDoc="0" locked="0" layoutInCell="1" allowOverlap="1" wp14:anchorId="0A72A12D" wp14:editId="6A9DF33E">
                <wp:simplePos x="0" y="0"/>
                <wp:positionH relativeFrom="column">
                  <wp:posOffset>0</wp:posOffset>
                </wp:positionH>
                <wp:positionV relativeFrom="paragraph">
                  <wp:posOffset>0</wp:posOffset>
                </wp:positionV>
                <wp:extent cx="1828800" cy="1828800"/>
                <wp:effectExtent l="0" t="0" r="0" b="0"/>
                <wp:wrapSquare wrapText="bothSides"/>
                <wp:docPr id="64579651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7C64AE5" w14:textId="77777777" w:rsidR="00240F1B" w:rsidRPr="00910A1C" w:rsidRDefault="00240F1B">
                            <w:pPr>
                              <w:spacing w:line="240" w:lineRule="auto"/>
                              <w:jc w:val="both"/>
                              <w:rPr>
                                <w:sz w:val="22"/>
                                <w:szCs w:val="22"/>
                              </w:rPr>
                            </w:pPr>
                            <w:r w:rsidRPr="00386114">
                              <w:rPr>
                                <w:sz w:val="22"/>
                                <w:szCs w:val="22"/>
                              </w:rPr>
                              <w:t xml:space="preserve">COFOG is important in national accounts as the basis to draw the borderline between individual and collective goods and services. Expenditures on a wide range of consumption goods and services are incurred by general government, either on collective services or on selected individual goods or services. The final consumption expenditures of general government can be classified according to whether the expenditures are on collective services or individual goods or services, or by functions according to COFOG.  In COFOG 1999, all of Divisions 01 to 06 (General public services, defence, public order and safety, economic affairs, environmental protection, housing and community amenities) are collective services, as are Groups 07.5 and 07.6 of health, Groups 08.3 to 08.6 of recreation, culture and religion, Groups 09.7 and 09.8 of education, and Groups 10.8 and 10.9 of social protection. The remaining Groups of health, recreation, culture and religion, education and social protection (which dominate each of the classes) are individual services. This role and consistent integration of COFOG with the SNA is recommended to be maintained. It is important that the revision of COFOG is aware of and </w:t>
                            </w:r>
                            <w:proofErr w:type="gramStart"/>
                            <w:r w:rsidRPr="00386114">
                              <w:rPr>
                                <w:sz w:val="22"/>
                                <w:szCs w:val="22"/>
                              </w:rPr>
                              <w:t>takes into account</w:t>
                            </w:r>
                            <w:proofErr w:type="gramEnd"/>
                            <w:r w:rsidRPr="00386114">
                              <w:rPr>
                                <w:sz w:val="22"/>
                                <w:szCs w:val="22"/>
                              </w:rPr>
                              <w:t xml:space="preserve"> the SNA revisions in a coherent manner. The discussion on various issues may have implication to the precise mapping of the COFOG classification to collective and individual services, and such issues can be examined during the revision process.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72A12D" id="_x0000_s1030" type="#_x0000_t202" style="position:absolute;left:0;text-align:left;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K+pSErAgAAWgQAAA4AAAAAAAAAAAAAAAAALgIAAGRycy9lMm9Eb2Mu&#10;eG1sUEsBAi0AFAAGAAgAAAAhALcMAwjXAAAABQEAAA8AAAAAAAAAAAAAAAAAhQQAAGRycy9kb3du&#10;cmV2LnhtbFBLBQYAAAAABAAEAPMAAACJBQAAAAA=&#10;" filled="f" strokeweight=".5pt">
                <v:textbox style="mso-fit-shape-to-text:t">
                  <w:txbxContent>
                    <w:p w14:paraId="27C64AE5" w14:textId="77777777" w:rsidR="00240F1B" w:rsidRPr="00910A1C" w:rsidRDefault="00240F1B">
                      <w:pPr>
                        <w:spacing w:line="240" w:lineRule="auto"/>
                        <w:jc w:val="both"/>
                        <w:rPr>
                          <w:sz w:val="22"/>
                          <w:szCs w:val="22"/>
                        </w:rPr>
                      </w:pPr>
                      <w:r w:rsidRPr="00386114">
                        <w:rPr>
                          <w:sz w:val="22"/>
                          <w:szCs w:val="22"/>
                        </w:rPr>
                        <w:t xml:space="preserve">COFOG is important in national accounts as the basis to draw the borderline between individual and collective goods and services. Expenditures on a wide range of consumption goods and services are incurred by general government, either on collective services or on selected individual goods or services. The final consumption expenditures of general government can be classified according to whether the expenditures are on collective services or individual goods or services, or by functions according to COFOG.  In COFOG 1999, all of Divisions 01 to 06 (General public services, defence, public order and safety, economic affairs, environmental protection, housing and community amenities) are collective services, as are Groups 07.5 and 07.6 of health, Groups 08.3 to 08.6 of recreation, culture and religion, Groups 09.7 and 09.8 of education, and Groups 10.8 and 10.9 of social protection. The remaining Groups of health, recreation, culture and religion, education and social protection (which dominate each of the classes) are individual services. This role and consistent integration of COFOG with the SNA is recommended to be maintained. It is important that the revision of COFOG is aware of and </w:t>
                      </w:r>
                      <w:proofErr w:type="gramStart"/>
                      <w:r w:rsidRPr="00386114">
                        <w:rPr>
                          <w:sz w:val="22"/>
                          <w:szCs w:val="22"/>
                        </w:rPr>
                        <w:t>takes into account</w:t>
                      </w:r>
                      <w:proofErr w:type="gramEnd"/>
                      <w:r w:rsidRPr="00386114">
                        <w:rPr>
                          <w:sz w:val="22"/>
                          <w:szCs w:val="22"/>
                        </w:rPr>
                        <w:t xml:space="preserve"> the SNA revisions in a coherent manner. The discussion on various issues may have implication to the precise mapping of the COFOG classification to collective and individual services, and such issues can be examined during the revision process.</w:t>
                      </w:r>
                    </w:p>
                  </w:txbxContent>
                </v:textbox>
                <w10:wrap type="square"/>
              </v:shape>
            </w:pict>
          </mc:Fallback>
        </mc:AlternateContent>
      </w:r>
    </w:p>
    <w:p w14:paraId="35B9BE33" w14:textId="77777777" w:rsidR="002669BE" w:rsidRPr="0039008C" w:rsidRDefault="002669BE" w:rsidP="002669BE">
      <w:pPr>
        <w:spacing w:after="0" w:line="240" w:lineRule="auto"/>
        <w:jc w:val="both"/>
        <w:rPr>
          <w:sz w:val="22"/>
          <w:szCs w:val="22"/>
        </w:rPr>
      </w:pPr>
      <w:r>
        <w:rPr>
          <w:sz w:val="22"/>
          <w:szCs w:val="22"/>
        </w:rPr>
        <w:t>Additional proposals:</w:t>
      </w:r>
    </w:p>
    <w:p w14:paraId="669FF099" w14:textId="77777777" w:rsidR="008C620E" w:rsidRPr="008C620E" w:rsidRDefault="008C620E" w:rsidP="00D25872">
      <w:pPr>
        <w:numPr>
          <w:ilvl w:val="0"/>
          <w:numId w:val="33"/>
        </w:numPr>
        <w:spacing w:after="0" w:line="240" w:lineRule="auto"/>
        <w:jc w:val="both"/>
        <w:rPr>
          <w:sz w:val="22"/>
          <w:szCs w:val="22"/>
        </w:rPr>
      </w:pPr>
      <w:r w:rsidRPr="008C620E">
        <w:rPr>
          <w:sz w:val="22"/>
          <w:szCs w:val="22"/>
        </w:rPr>
        <w:t>Add a new group in 04 Economic affairs division for public transport services to households (railway, road, air etc). In this group amounts recorded in individual consumption expenditure according to ESA 3.101</w:t>
      </w:r>
    </w:p>
    <w:p w14:paraId="20DDFA45" w14:textId="77777777" w:rsidR="008C620E" w:rsidRPr="008C620E" w:rsidRDefault="008C620E" w:rsidP="00D25872">
      <w:pPr>
        <w:numPr>
          <w:ilvl w:val="0"/>
          <w:numId w:val="33"/>
        </w:numPr>
        <w:spacing w:after="0" w:line="240" w:lineRule="auto"/>
        <w:jc w:val="both"/>
        <w:rPr>
          <w:sz w:val="22"/>
          <w:szCs w:val="22"/>
        </w:rPr>
      </w:pPr>
      <w:r w:rsidRPr="008C620E">
        <w:rPr>
          <w:sz w:val="22"/>
          <w:szCs w:val="22"/>
        </w:rPr>
        <w:t>Shift active labour market policy programmes from group 04.1 (general economic, commercial, and labour affairs) to 10.5 (unemployment)</w:t>
      </w:r>
    </w:p>
    <w:p w14:paraId="7ED6F6FD" w14:textId="77777777" w:rsidR="008C620E" w:rsidRPr="008C620E" w:rsidRDefault="008C620E" w:rsidP="00D25872">
      <w:pPr>
        <w:numPr>
          <w:ilvl w:val="0"/>
          <w:numId w:val="33"/>
        </w:numPr>
        <w:spacing w:after="0" w:line="240" w:lineRule="auto"/>
        <w:jc w:val="both"/>
        <w:rPr>
          <w:sz w:val="22"/>
          <w:szCs w:val="22"/>
        </w:rPr>
      </w:pPr>
      <w:r w:rsidRPr="008C620E">
        <w:rPr>
          <w:sz w:val="22"/>
          <w:szCs w:val="22"/>
        </w:rPr>
        <w:t>Clarify frame between classification of collective and individual goods and services more clearly, and if necessary to separate the divisions that contain a combination of individual/collective goods and services as this has impact on national accounts</w:t>
      </w:r>
    </w:p>
    <w:p w14:paraId="17CE4485" w14:textId="77777777" w:rsidR="008C620E" w:rsidRDefault="008C620E" w:rsidP="00D25872">
      <w:pPr>
        <w:numPr>
          <w:ilvl w:val="0"/>
          <w:numId w:val="33"/>
        </w:numPr>
        <w:spacing w:after="0" w:line="240" w:lineRule="auto"/>
        <w:jc w:val="both"/>
        <w:rPr>
          <w:sz w:val="22"/>
          <w:szCs w:val="22"/>
        </w:rPr>
      </w:pPr>
      <w:r w:rsidRPr="008C620E">
        <w:rPr>
          <w:sz w:val="22"/>
          <w:szCs w:val="22"/>
        </w:rPr>
        <w:t>Further breakdowns might make sense to consider. Some economic affairs spending might not necessarily be collective services, for example. Public health is probably collective as well rather than individual</w:t>
      </w:r>
    </w:p>
    <w:p w14:paraId="1192BA26" w14:textId="188D2BBA" w:rsidR="000B21E7" w:rsidRPr="008C620E" w:rsidRDefault="000B21E7" w:rsidP="00D25872">
      <w:pPr>
        <w:numPr>
          <w:ilvl w:val="0"/>
          <w:numId w:val="33"/>
        </w:numPr>
        <w:spacing w:after="0" w:line="240" w:lineRule="auto"/>
        <w:jc w:val="both"/>
        <w:rPr>
          <w:sz w:val="22"/>
          <w:szCs w:val="22"/>
        </w:rPr>
      </w:pPr>
      <w:r w:rsidRPr="000B21E7">
        <w:rPr>
          <w:sz w:val="22"/>
          <w:szCs w:val="22"/>
        </w:rPr>
        <w:t>As the COFOG review was started late and not coordinated with SNA review, the review should be limited so as not to affect the breakdown between individual and collective consumption expenditure</w:t>
      </w:r>
    </w:p>
    <w:p w14:paraId="7428FC8C" w14:textId="77777777" w:rsidR="002669BE" w:rsidRDefault="002669BE" w:rsidP="002669BE">
      <w:pPr>
        <w:spacing w:after="0" w:line="240" w:lineRule="auto"/>
        <w:jc w:val="both"/>
        <w:rPr>
          <w:sz w:val="22"/>
          <w:szCs w:val="22"/>
          <w:u w:val="single"/>
        </w:rPr>
      </w:pPr>
    </w:p>
    <w:p w14:paraId="636D8A6E" w14:textId="77777777" w:rsidR="002669BE" w:rsidRPr="003A32A6" w:rsidRDefault="002669BE" w:rsidP="002669BE">
      <w:pPr>
        <w:spacing w:after="0" w:line="240" w:lineRule="auto"/>
        <w:jc w:val="both"/>
        <w:rPr>
          <w:sz w:val="22"/>
          <w:szCs w:val="22"/>
        </w:rPr>
      </w:pPr>
      <w:r>
        <w:rPr>
          <w:sz w:val="22"/>
          <w:szCs w:val="22"/>
        </w:rPr>
        <w:t>Concerns/objections:</w:t>
      </w:r>
    </w:p>
    <w:p w14:paraId="5B82947E" w14:textId="77777777" w:rsidR="008C620E" w:rsidRPr="008C620E" w:rsidRDefault="008C620E" w:rsidP="00D25872">
      <w:pPr>
        <w:numPr>
          <w:ilvl w:val="0"/>
          <w:numId w:val="33"/>
        </w:numPr>
        <w:spacing w:after="0" w:line="240" w:lineRule="auto"/>
        <w:jc w:val="both"/>
        <w:rPr>
          <w:sz w:val="22"/>
          <w:szCs w:val="22"/>
        </w:rPr>
      </w:pPr>
      <w:bookmarkStart w:id="17" w:name="_Hlk192582532"/>
      <w:r w:rsidRPr="008C620E">
        <w:rPr>
          <w:sz w:val="22"/>
          <w:szCs w:val="22"/>
        </w:rPr>
        <w:t>Prerequisite to maintain relationship with relevant fundamental principles of national accounts/GFS so role of COFOG in drawing line between individual/collective goods and services provided by government units is kept</w:t>
      </w:r>
      <w:bookmarkEnd w:id="17"/>
    </w:p>
    <w:p w14:paraId="4C843091" w14:textId="77777777" w:rsidR="009A3D48" w:rsidRDefault="009A3D48" w:rsidP="00450C7E">
      <w:pPr>
        <w:spacing w:after="0" w:line="240" w:lineRule="auto"/>
        <w:jc w:val="both"/>
        <w:rPr>
          <w:sz w:val="22"/>
          <w:szCs w:val="22"/>
        </w:rPr>
      </w:pPr>
    </w:p>
    <w:p w14:paraId="7F39FA9D" w14:textId="77777777" w:rsidR="00CF0262" w:rsidRDefault="00CF0262" w:rsidP="00450C7E">
      <w:pPr>
        <w:spacing w:after="0" w:line="240" w:lineRule="auto"/>
        <w:jc w:val="both"/>
        <w:rPr>
          <w:sz w:val="22"/>
          <w:szCs w:val="22"/>
        </w:rPr>
      </w:pPr>
    </w:p>
    <w:p w14:paraId="3AED7D7D" w14:textId="7E21F27E" w:rsidR="00915737" w:rsidRDefault="00915737" w:rsidP="00032BBB">
      <w:pPr>
        <w:spacing w:after="0" w:line="240" w:lineRule="auto"/>
        <w:jc w:val="both"/>
        <w:rPr>
          <w:sz w:val="22"/>
          <w:szCs w:val="22"/>
          <w:u w:val="single"/>
        </w:rPr>
      </w:pPr>
      <w:r w:rsidRPr="000B59FD">
        <w:rPr>
          <w:sz w:val="22"/>
          <w:szCs w:val="22"/>
          <w:u w:val="single"/>
        </w:rPr>
        <w:t>B</w:t>
      </w:r>
      <w:r w:rsidR="00BB5E84">
        <w:rPr>
          <w:sz w:val="22"/>
          <w:szCs w:val="22"/>
          <w:u w:val="single"/>
        </w:rPr>
        <w:t>6</w:t>
      </w:r>
      <w:r w:rsidRPr="000B59FD">
        <w:rPr>
          <w:sz w:val="22"/>
          <w:szCs w:val="22"/>
          <w:u w:val="single"/>
        </w:rPr>
        <w:t xml:space="preserve">. </w:t>
      </w:r>
      <w:r w:rsidR="00032BBB" w:rsidRPr="00032BBB">
        <w:rPr>
          <w:sz w:val="22"/>
          <w:szCs w:val="22"/>
          <w:u w:val="single"/>
        </w:rPr>
        <w:t>Internal consistency with the other classifications of expenditure according to purpose</w:t>
      </w:r>
    </w:p>
    <w:p w14:paraId="4D335E82" w14:textId="77777777" w:rsidR="00240F1B" w:rsidRDefault="00240F1B" w:rsidP="00032BBB">
      <w:pPr>
        <w:spacing w:after="0" w:line="240" w:lineRule="auto"/>
        <w:jc w:val="both"/>
        <w:rPr>
          <w:sz w:val="22"/>
          <w:szCs w:val="22"/>
          <w:u w:val="single"/>
        </w:rPr>
      </w:pPr>
    </w:p>
    <w:p w14:paraId="70F5AC83" w14:textId="26BF5C1E" w:rsidR="00240F1B" w:rsidRPr="00EB6C5F" w:rsidRDefault="00240F1B" w:rsidP="00EB6C5F">
      <w:pPr>
        <w:spacing w:after="0" w:line="240" w:lineRule="auto"/>
        <w:jc w:val="both"/>
        <w:rPr>
          <w:sz w:val="22"/>
          <w:szCs w:val="22"/>
        </w:rPr>
      </w:pPr>
      <w:r>
        <w:rPr>
          <w:sz w:val="22"/>
          <w:szCs w:val="22"/>
        </w:rPr>
        <w:t>Original proposal/discussion:</w:t>
      </w:r>
    </w:p>
    <w:p w14:paraId="40A0D8F7" w14:textId="769B0B33" w:rsidR="00032BBB" w:rsidRPr="00EB6C5F" w:rsidRDefault="00EB6C5F" w:rsidP="00EB6C5F">
      <w:pPr>
        <w:spacing w:after="0" w:line="240" w:lineRule="auto"/>
        <w:jc w:val="both"/>
        <w:rPr>
          <w:sz w:val="22"/>
          <w:szCs w:val="22"/>
          <w:u w:val="single"/>
        </w:rPr>
      </w:pPr>
      <w:r>
        <w:rPr>
          <w:noProof/>
        </w:rPr>
        <w:lastRenderedPageBreak/>
        <mc:AlternateContent>
          <mc:Choice Requires="wps">
            <w:drawing>
              <wp:anchor distT="0" distB="0" distL="114300" distR="114300" simplePos="0" relativeHeight="251658245" behindDoc="0" locked="0" layoutInCell="1" allowOverlap="1" wp14:anchorId="6457AED6" wp14:editId="12DB24E2">
                <wp:simplePos x="0" y="0"/>
                <wp:positionH relativeFrom="column">
                  <wp:posOffset>0</wp:posOffset>
                </wp:positionH>
                <wp:positionV relativeFrom="paragraph">
                  <wp:posOffset>0</wp:posOffset>
                </wp:positionV>
                <wp:extent cx="1828800" cy="1828800"/>
                <wp:effectExtent l="0" t="0" r="0" b="0"/>
                <wp:wrapSquare wrapText="bothSides"/>
                <wp:docPr id="156738014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8B45D1" w14:textId="77777777" w:rsidR="00EB6C5F" w:rsidRPr="00386114" w:rsidRDefault="00EB6C5F" w:rsidP="00EB6C5F">
                            <w:pPr>
                              <w:spacing w:line="240" w:lineRule="auto"/>
                              <w:rPr>
                                <w:sz w:val="22"/>
                                <w:szCs w:val="22"/>
                              </w:rPr>
                            </w:pPr>
                            <w:r w:rsidRPr="00386114">
                              <w:rPr>
                                <w:sz w:val="22"/>
                                <w:szCs w:val="22"/>
                              </w:rPr>
                              <w:t>Consider the alignment/consistency of COFOG with the related classifications of expenditure according to purpose:</w:t>
                            </w:r>
                          </w:p>
                          <w:p w14:paraId="430257AA" w14:textId="77777777" w:rsidR="00EB6C5F" w:rsidRPr="00386114" w:rsidRDefault="00EB6C5F" w:rsidP="00D25872">
                            <w:pPr>
                              <w:pStyle w:val="ListParagraph"/>
                              <w:numPr>
                                <w:ilvl w:val="1"/>
                                <w:numId w:val="22"/>
                              </w:numPr>
                              <w:spacing w:line="240" w:lineRule="auto"/>
                              <w:rPr>
                                <w:sz w:val="22"/>
                                <w:szCs w:val="22"/>
                              </w:rPr>
                            </w:pPr>
                            <w:r w:rsidRPr="00386114">
                              <w:rPr>
                                <w:sz w:val="22"/>
                                <w:szCs w:val="22"/>
                              </w:rPr>
                              <w:t>Classification of Individual Consumption by Purpose (COICOP)</w:t>
                            </w:r>
                          </w:p>
                          <w:p w14:paraId="4BE9EE72" w14:textId="77777777" w:rsidR="00EB6C5F" w:rsidRPr="00386114" w:rsidRDefault="00EB6C5F" w:rsidP="00D25872">
                            <w:pPr>
                              <w:pStyle w:val="ListParagraph"/>
                              <w:numPr>
                                <w:ilvl w:val="1"/>
                                <w:numId w:val="22"/>
                              </w:numPr>
                              <w:spacing w:line="240" w:lineRule="auto"/>
                              <w:rPr>
                                <w:sz w:val="22"/>
                                <w:szCs w:val="22"/>
                              </w:rPr>
                            </w:pPr>
                            <w:r w:rsidRPr="00386114">
                              <w:rPr>
                                <w:sz w:val="22"/>
                                <w:szCs w:val="22"/>
                              </w:rPr>
                              <w:t>Classification of the Purposes of Non-profit Institutions Serving Households (COPNI)</w:t>
                            </w:r>
                          </w:p>
                          <w:p w14:paraId="686D7583" w14:textId="77777777" w:rsidR="00EB6C5F" w:rsidRPr="00386114" w:rsidRDefault="00EB6C5F" w:rsidP="00D25872">
                            <w:pPr>
                              <w:pStyle w:val="ListParagraph"/>
                              <w:numPr>
                                <w:ilvl w:val="1"/>
                                <w:numId w:val="22"/>
                              </w:numPr>
                              <w:spacing w:line="240" w:lineRule="auto"/>
                              <w:rPr>
                                <w:sz w:val="22"/>
                                <w:szCs w:val="22"/>
                              </w:rPr>
                            </w:pPr>
                            <w:r w:rsidRPr="00386114">
                              <w:rPr>
                                <w:sz w:val="22"/>
                                <w:szCs w:val="22"/>
                              </w:rPr>
                              <w:t>Classification of Outlays of Producers by Purpose (COPP)</w:t>
                            </w:r>
                          </w:p>
                          <w:p w14:paraId="4A420439" w14:textId="77777777" w:rsidR="00EB6C5F" w:rsidRPr="00F1517B" w:rsidRDefault="00EB6C5F">
                            <w:pPr>
                              <w:spacing w:after="0" w:line="240" w:lineRule="auto"/>
                              <w:rPr>
                                <w:sz w:val="22"/>
                                <w:szCs w:val="22"/>
                              </w:rPr>
                            </w:pPr>
                            <w:r w:rsidRPr="00386114">
                              <w:rPr>
                                <w:sz w:val="22"/>
                                <w:szCs w:val="22"/>
                              </w:rPr>
                              <w:t xml:space="preserve">The original 1999 version of these classifications is available at:  </w:t>
                            </w:r>
                            <w:hyperlink r:id="rId33" w:history="1">
                              <w:r w:rsidRPr="00386114">
                                <w:rPr>
                                  <w:rStyle w:val="Hyperlink"/>
                                  <w:sz w:val="22"/>
                                  <w:szCs w:val="22"/>
                                </w:rPr>
                                <w:t>https://unstats.un.org/unsd/publication/SeriesM/SeriesM_84E.pdf</w:t>
                              </w:r>
                            </w:hyperlink>
                            <w:r w:rsidRPr="00386114">
                              <w:rPr>
                                <w:sz w:val="22"/>
                                <w:szCs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57AED6" id="_x0000_s1031" type="#_x0000_t202" style="position:absolute;left:0;text-align:left;margin-left:0;margin-top:0;width:2in;height:2in;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B4bQr0rAgAAWgQAAA4AAAAAAAAAAAAAAAAALgIAAGRycy9lMm9Eb2Mu&#10;eG1sUEsBAi0AFAAGAAgAAAAhALcMAwjXAAAABQEAAA8AAAAAAAAAAAAAAAAAhQQAAGRycy9kb3du&#10;cmV2LnhtbFBLBQYAAAAABAAEAPMAAACJBQAAAAA=&#10;" filled="f" strokeweight=".5pt">
                <v:textbox style="mso-fit-shape-to-text:t">
                  <w:txbxContent>
                    <w:p w14:paraId="5D8B45D1" w14:textId="77777777" w:rsidR="00EB6C5F" w:rsidRPr="00386114" w:rsidRDefault="00EB6C5F" w:rsidP="00EB6C5F">
                      <w:pPr>
                        <w:spacing w:line="240" w:lineRule="auto"/>
                        <w:rPr>
                          <w:sz w:val="22"/>
                          <w:szCs w:val="22"/>
                        </w:rPr>
                      </w:pPr>
                      <w:r w:rsidRPr="00386114">
                        <w:rPr>
                          <w:sz w:val="22"/>
                          <w:szCs w:val="22"/>
                        </w:rPr>
                        <w:t>Consider the alignment/consistency of COFOG with the related classifications of expenditure according to purpose:</w:t>
                      </w:r>
                    </w:p>
                    <w:p w14:paraId="430257AA" w14:textId="77777777" w:rsidR="00EB6C5F" w:rsidRPr="00386114" w:rsidRDefault="00EB6C5F" w:rsidP="00D25872">
                      <w:pPr>
                        <w:pStyle w:val="ListParagraph"/>
                        <w:numPr>
                          <w:ilvl w:val="1"/>
                          <w:numId w:val="22"/>
                        </w:numPr>
                        <w:spacing w:line="240" w:lineRule="auto"/>
                        <w:rPr>
                          <w:sz w:val="22"/>
                          <w:szCs w:val="22"/>
                        </w:rPr>
                      </w:pPr>
                      <w:r w:rsidRPr="00386114">
                        <w:rPr>
                          <w:sz w:val="22"/>
                          <w:szCs w:val="22"/>
                        </w:rPr>
                        <w:t>Classification of Individual Consumption by Purpose (COICOP)</w:t>
                      </w:r>
                    </w:p>
                    <w:p w14:paraId="4BE9EE72" w14:textId="77777777" w:rsidR="00EB6C5F" w:rsidRPr="00386114" w:rsidRDefault="00EB6C5F" w:rsidP="00D25872">
                      <w:pPr>
                        <w:pStyle w:val="ListParagraph"/>
                        <w:numPr>
                          <w:ilvl w:val="1"/>
                          <w:numId w:val="22"/>
                        </w:numPr>
                        <w:spacing w:line="240" w:lineRule="auto"/>
                        <w:rPr>
                          <w:sz w:val="22"/>
                          <w:szCs w:val="22"/>
                        </w:rPr>
                      </w:pPr>
                      <w:r w:rsidRPr="00386114">
                        <w:rPr>
                          <w:sz w:val="22"/>
                          <w:szCs w:val="22"/>
                        </w:rPr>
                        <w:t>Classification of the Purposes of Non-profit Institutions Serving Households (COPNI)</w:t>
                      </w:r>
                    </w:p>
                    <w:p w14:paraId="686D7583" w14:textId="77777777" w:rsidR="00EB6C5F" w:rsidRPr="00386114" w:rsidRDefault="00EB6C5F" w:rsidP="00D25872">
                      <w:pPr>
                        <w:pStyle w:val="ListParagraph"/>
                        <w:numPr>
                          <w:ilvl w:val="1"/>
                          <w:numId w:val="22"/>
                        </w:numPr>
                        <w:spacing w:line="240" w:lineRule="auto"/>
                        <w:rPr>
                          <w:sz w:val="22"/>
                          <w:szCs w:val="22"/>
                        </w:rPr>
                      </w:pPr>
                      <w:r w:rsidRPr="00386114">
                        <w:rPr>
                          <w:sz w:val="22"/>
                          <w:szCs w:val="22"/>
                        </w:rPr>
                        <w:t>Classification of Outlays of Producers by Purpose (COPP)</w:t>
                      </w:r>
                    </w:p>
                    <w:p w14:paraId="4A420439" w14:textId="77777777" w:rsidR="00EB6C5F" w:rsidRPr="00F1517B" w:rsidRDefault="00EB6C5F">
                      <w:pPr>
                        <w:spacing w:after="0" w:line="240" w:lineRule="auto"/>
                        <w:rPr>
                          <w:sz w:val="22"/>
                          <w:szCs w:val="22"/>
                        </w:rPr>
                      </w:pPr>
                      <w:r w:rsidRPr="00386114">
                        <w:rPr>
                          <w:sz w:val="22"/>
                          <w:szCs w:val="22"/>
                        </w:rPr>
                        <w:t xml:space="preserve">The original 1999 version of these classifications is available at:  </w:t>
                      </w:r>
                      <w:hyperlink r:id="rId34" w:history="1">
                        <w:r w:rsidRPr="00386114">
                          <w:rPr>
                            <w:rStyle w:val="Hyperlink"/>
                            <w:sz w:val="22"/>
                            <w:szCs w:val="22"/>
                          </w:rPr>
                          <w:t>https://unstats.un.org/unsd/publication/SeriesM/SeriesM_84E.pdf</w:t>
                        </w:r>
                      </w:hyperlink>
                      <w:r w:rsidRPr="00386114">
                        <w:rPr>
                          <w:sz w:val="22"/>
                          <w:szCs w:val="22"/>
                        </w:rPr>
                        <w:t xml:space="preserve"> </w:t>
                      </w:r>
                    </w:p>
                  </w:txbxContent>
                </v:textbox>
                <w10:wrap type="square"/>
              </v:shape>
            </w:pict>
          </mc:Fallback>
        </mc:AlternateContent>
      </w:r>
    </w:p>
    <w:p w14:paraId="43F3F8C8" w14:textId="77777777" w:rsidR="00915737" w:rsidRPr="0039008C" w:rsidRDefault="00915737" w:rsidP="00915737">
      <w:pPr>
        <w:spacing w:after="0" w:line="240" w:lineRule="auto"/>
        <w:jc w:val="both"/>
        <w:rPr>
          <w:sz w:val="22"/>
          <w:szCs w:val="22"/>
        </w:rPr>
      </w:pPr>
      <w:r>
        <w:rPr>
          <w:sz w:val="22"/>
          <w:szCs w:val="22"/>
        </w:rPr>
        <w:t>Additional proposals:</w:t>
      </w:r>
    </w:p>
    <w:p w14:paraId="019BD85E" w14:textId="5928CB04" w:rsidR="00915737" w:rsidRDefault="007E77EE" w:rsidP="00D25872">
      <w:pPr>
        <w:pStyle w:val="ListParagraph"/>
        <w:numPr>
          <w:ilvl w:val="0"/>
          <w:numId w:val="27"/>
        </w:numPr>
        <w:spacing w:after="0" w:line="240" w:lineRule="auto"/>
        <w:jc w:val="both"/>
        <w:rPr>
          <w:sz w:val="22"/>
          <w:szCs w:val="22"/>
        </w:rPr>
      </w:pPr>
      <w:r w:rsidRPr="007E77EE">
        <w:rPr>
          <w:sz w:val="22"/>
          <w:szCs w:val="22"/>
        </w:rPr>
        <w:t>Shift local transport to individual consumption to ensure consistency with COICOP</w:t>
      </w:r>
    </w:p>
    <w:p w14:paraId="647CF4B9" w14:textId="507C2DD7" w:rsidR="00CA5588" w:rsidRPr="0039008C" w:rsidRDefault="00CA5588" w:rsidP="00D25872">
      <w:pPr>
        <w:pStyle w:val="ListParagraph"/>
        <w:numPr>
          <w:ilvl w:val="0"/>
          <w:numId w:val="27"/>
        </w:numPr>
        <w:spacing w:after="0" w:line="240" w:lineRule="auto"/>
        <w:jc w:val="both"/>
        <w:rPr>
          <w:sz w:val="22"/>
          <w:szCs w:val="22"/>
        </w:rPr>
      </w:pPr>
      <w:r>
        <w:rPr>
          <w:sz w:val="22"/>
          <w:szCs w:val="22"/>
        </w:rPr>
        <w:t>V</w:t>
      </w:r>
      <w:r w:rsidRPr="00CA5588">
        <w:rPr>
          <w:sz w:val="22"/>
          <w:szCs w:val="22"/>
        </w:rPr>
        <w:t xml:space="preserve">alidate whether or not COPP and COPNI </w:t>
      </w:r>
      <w:r>
        <w:rPr>
          <w:sz w:val="22"/>
          <w:szCs w:val="22"/>
        </w:rPr>
        <w:t>can</w:t>
      </w:r>
      <w:r w:rsidRPr="00CA5588">
        <w:rPr>
          <w:sz w:val="22"/>
          <w:szCs w:val="22"/>
        </w:rPr>
        <w:t xml:space="preserve"> be retired</w:t>
      </w:r>
    </w:p>
    <w:p w14:paraId="77FD2727" w14:textId="57FB3B34" w:rsidR="00CA5588" w:rsidRPr="00CA5588" w:rsidRDefault="00770465" w:rsidP="00D25872">
      <w:pPr>
        <w:pStyle w:val="ListParagraph"/>
        <w:numPr>
          <w:ilvl w:val="0"/>
          <w:numId w:val="27"/>
        </w:numPr>
        <w:spacing w:after="0" w:line="240" w:lineRule="auto"/>
        <w:jc w:val="both"/>
        <w:rPr>
          <w:sz w:val="22"/>
          <w:szCs w:val="22"/>
        </w:rPr>
      </w:pPr>
      <w:r>
        <w:rPr>
          <w:sz w:val="22"/>
          <w:szCs w:val="22"/>
        </w:rPr>
        <w:t>S</w:t>
      </w:r>
      <w:r w:rsidRPr="00770465">
        <w:rPr>
          <w:sz w:val="22"/>
          <w:szCs w:val="22"/>
        </w:rPr>
        <w:t>ection briefly describing the various classifications by purpose could be included in a new manual – see Eurostat manual</w:t>
      </w:r>
    </w:p>
    <w:p w14:paraId="43B8041D" w14:textId="77777777" w:rsidR="00CA5588" w:rsidRDefault="00CA5588" w:rsidP="00915737">
      <w:pPr>
        <w:spacing w:after="0" w:line="240" w:lineRule="auto"/>
        <w:jc w:val="both"/>
        <w:rPr>
          <w:sz w:val="22"/>
          <w:szCs w:val="22"/>
          <w:u w:val="single"/>
        </w:rPr>
      </w:pPr>
    </w:p>
    <w:p w14:paraId="61040E4C" w14:textId="77777777" w:rsidR="00915737" w:rsidRPr="003A32A6" w:rsidRDefault="00915737" w:rsidP="00915737">
      <w:pPr>
        <w:spacing w:after="0" w:line="240" w:lineRule="auto"/>
        <w:jc w:val="both"/>
        <w:rPr>
          <w:sz w:val="22"/>
          <w:szCs w:val="22"/>
        </w:rPr>
      </w:pPr>
      <w:r>
        <w:rPr>
          <w:sz w:val="22"/>
          <w:szCs w:val="22"/>
        </w:rPr>
        <w:t>Concerns/objections:</w:t>
      </w:r>
    </w:p>
    <w:p w14:paraId="73A55A7D" w14:textId="537A4486" w:rsidR="00915737" w:rsidRDefault="003869B1" w:rsidP="00D25872">
      <w:pPr>
        <w:pStyle w:val="ListParagraph"/>
        <w:numPr>
          <w:ilvl w:val="0"/>
          <w:numId w:val="27"/>
        </w:numPr>
        <w:spacing w:after="0" w:line="240" w:lineRule="auto"/>
        <w:jc w:val="both"/>
        <w:rPr>
          <w:sz w:val="22"/>
          <w:szCs w:val="22"/>
        </w:rPr>
      </w:pPr>
      <w:proofErr w:type="gramStart"/>
      <w:r>
        <w:rPr>
          <w:sz w:val="22"/>
          <w:szCs w:val="22"/>
        </w:rPr>
        <w:t>L</w:t>
      </w:r>
      <w:r w:rsidRPr="003869B1">
        <w:rPr>
          <w:sz w:val="22"/>
          <w:szCs w:val="22"/>
        </w:rPr>
        <w:t>ast</w:t>
      </w:r>
      <w:proofErr w:type="gramEnd"/>
      <w:r w:rsidRPr="003869B1">
        <w:rPr>
          <w:sz w:val="22"/>
          <w:szCs w:val="22"/>
        </w:rPr>
        <w:t xml:space="preserve"> revision of COICOP did not affect relationship with current version of COFOG. If relationship changes with the revision of COFOG, we assume this is communicated to UNCEIS</w:t>
      </w:r>
      <w:r>
        <w:rPr>
          <w:sz w:val="22"/>
          <w:szCs w:val="22"/>
        </w:rPr>
        <w:t>C</w:t>
      </w:r>
      <w:r w:rsidRPr="003869B1">
        <w:rPr>
          <w:sz w:val="22"/>
          <w:szCs w:val="22"/>
        </w:rPr>
        <w:t xml:space="preserve"> – before forwarded for approval by the UNSC</w:t>
      </w:r>
    </w:p>
    <w:p w14:paraId="298D684B" w14:textId="7FEC31BF" w:rsidR="00915737" w:rsidRDefault="00B324B7" w:rsidP="00D25872">
      <w:pPr>
        <w:pStyle w:val="ListParagraph"/>
        <w:numPr>
          <w:ilvl w:val="0"/>
          <w:numId w:val="27"/>
        </w:numPr>
        <w:spacing w:after="0" w:line="240" w:lineRule="auto"/>
        <w:jc w:val="both"/>
        <w:rPr>
          <w:sz w:val="22"/>
          <w:szCs w:val="22"/>
        </w:rPr>
      </w:pPr>
      <w:proofErr w:type="gramStart"/>
      <w:r>
        <w:rPr>
          <w:sz w:val="22"/>
          <w:szCs w:val="22"/>
        </w:rPr>
        <w:t>I</w:t>
      </w:r>
      <w:r w:rsidRPr="00B324B7">
        <w:rPr>
          <w:sz w:val="22"/>
          <w:szCs w:val="22"/>
        </w:rPr>
        <w:t>mportant</w:t>
      </w:r>
      <w:proofErr w:type="gramEnd"/>
      <w:r w:rsidRPr="00B324B7">
        <w:rPr>
          <w:sz w:val="22"/>
          <w:szCs w:val="22"/>
        </w:rPr>
        <w:t xml:space="preserve"> that it includes flexibility given individual countries' classifications of institutions</w:t>
      </w:r>
    </w:p>
    <w:p w14:paraId="53E8A00E" w14:textId="4426D288" w:rsidR="008036CA" w:rsidRPr="008036CA" w:rsidRDefault="008036CA" w:rsidP="008036CA">
      <w:pPr>
        <w:pStyle w:val="ListParagraph"/>
        <w:numPr>
          <w:ilvl w:val="0"/>
          <w:numId w:val="27"/>
        </w:numPr>
        <w:spacing w:after="0" w:line="240" w:lineRule="auto"/>
        <w:jc w:val="both"/>
        <w:rPr>
          <w:sz w:val="22"/>
          <w:szCs w:val="22"/>
        </w:rPr>
      </w:pPr>
      <w:r>
        <w:rPr>
          <w:sz w:val="22"/>
          <w:szCs w:val="22"/>
        </w:rPr>
        <w:t>COICOP</w:t>
      </w:r>
      <w:r w:rsidRPr="008036CA">
        <w:rPr>
          <w:sz w:val="22"/>
          <w:szCs w:val="22"/>
        </w:rPr>
        <w:t xml:space="preserve"> review was finished in 2018. It has to be avoided that </w:t>
      </w:r>
      <w:r>
        <w:rPr>
          <w:sz w:val="22"/>
          <w:szCs w:val="22"/>
        </w:rPr>
        <w:t>COICOP</w:t>
      </w:r>
      <w:r w:rsidRPr="008036CA">
        <w:rPr>
          <w:sz w:val="22"/>
          <w:szCs w:val="22"/>
        </w:rPr>
        <w:t xml:space="preserve"> is revised again at this stage. A certain stability of classifications used in national accounts is needed. </w:t>
      </w:r>
    </w:p>
    <w:p w14:paraId="1C37226E" w14:textId="77777777" w:rsidR="00CF0262" w:rsidRDefault="00CF0262" w:rsidP="00450C7E">
      <w:pPr>
        <w:spacing w:after="0" w:line="240" w:lineRule="auto"/>
        <w:jc w:val="both"/>
        <w:rPr>
          <w:sz w:val="22"/>
          <w:szCs w:val="22"/>
        </w:rPr>
      </w:pPr>
    </w:p>
    <w:p w14:paraId="707B560B" w14:textId="77777777" w:rsidR="00BB5E84" w:rsidRDefault="00BB5E84" w:rsidP="00BB5E84">
      <w:pPr>
        <w:spacing w:after="0" w:line="240" w:lineRule="auto"/>
        <w:jc w:val="both"/>
        <w:rPr>
          <w:sz w:val="22"/>
          <w:szCs w:val="22"/>
          <w:u w:val="single"/>
        </w:rPr>
      </w:pPr>
    </w:p>
    <w:p w14:paraId="6A09EAB9" w14:textId="1AE6BC62" w:rsidR="00BB5E84" w:rsidRDefault="00BB5E84" w:rsidP="00BB5E84">
      <w:pPr>
        <w:spacing w:after="0" w:line="240" w:lineRule="auto"/>
        <w:jc w:val="both"/>
        <w:rPr>
          <w:sz w:val="22"/>
          <w:szCs w:val="22"/>
          <w:u w:val="single"/>
        </w:rPr>
      </w:pPr>
      <w:r w:rsidRPr="000B59FD">
        <w:rPr>
          <w:sz w:val="22"/>
          <w:szCs w:val="22"/>
          <w:u w:val="single"/>
        </w:rPr>
        <w:t>B</w:t>
      </w:r>
      <w:r>
        <w:rPr>
          <w:sz w:val="22"/>
          <w:szCs w:val="22"/>
          <w:u w:val="single"/>
        </w:rPr>
        <w:t>7</w:t>
      </w:r>
      <w:r w:rsidRPr="000B59FD">
        <w:rPr>
          <w:sz w:val="22"/>
          <w:szCs w:val="22"/>
          <w:u w:val="single"/>
        </w:rPr>
        <w:t xml:space="preserve">. </w:t>
      </w:r>
      <w:r w:rsidR="00A81596" w:rsidRPr="00A81596">
        <w:rPr>
          <w:sz w:val="22"/>
          <w:szCs w:val="22"/>
          <w:u w:val="single"/>
        </w:rPr>
        <w:t>Alignment with other classifications/frameworks</w:t>
      </w:r>
    </w:p>
    <w:p w14:paraId="4EE0A2FC" w14:textId="77777777" w:rsidR="00EB6C5F" w:rsidRDefault="00EB6C5F" w:rsidP="00BB5E84">
      <w:pPr>
        <w:spacing w:after="0" w:line="240" w:lineRule="auto"/>
        <w:jc w:val="both"/>
        <w:rPr>
          <w:sz w:val="22"/>
          <w:szCs w:val="22"/>
          <w:u w:val="single"/>
        </w:rPr>
      </w:pPr>
    </w:p>
    <w:p w14:paraId="3D9F2266" w14:textId="2A9D8E28" w:rsidR="001E3070" w:rsidRPr="00EB6C5F" w:rsidRDefault="00EB6C5F" w:rsidP="001E3070">
      <w:pPr>
        <w:spacing w:after="0" w:line="240" w:lineRule="auto"/>
        <w:jc w:val="both"/>
        <w:rPr>
          <w:sz w:val="22"/>
          <w:szCs w:val="22"/>
        </w:rPr>
      </w:pPr>
      <w:r>
        <w:rPr>
          <w:sz w:val="22"/>
          <w:szCs w:val="22"/>
        </w:rPr>
        <w:t>Original proposal/discussion:</w:t>
      </w:r>
    </w:p>
    <w:p w14:paraId="197EA156" w14:textId="1A9C2D77" w:rsidR="00BB5E84" w:rsidRPr="001E3070" w:rsidRDefault="001E3070" w:rsidP="001E3070">
      <w:pPr>
        <w:spacing w:after="0" w:line="240" w:lineRule="auto"/>
        <w:jc w:val="both"/>
        <w:rPr>
          <w:sz w:val="22"/>
          <w:szCs w:val="22"/>
          <w:u w:val="single"/>
        </w:rPr>
      </w:pPr>
      <w:r>
        <w:rPr>
          <w:noProof/>
        </w:rPr>
        <mc:AlternateContent>
          <mc:Choice Requires="wps">
            <w:drawing>
              <wp:anchor distT="0" distB="0" distL="114300" distR="114300" simplePos="0" relativeHeight="251658246" behindDoc="0" locked="0" layoutInCell="1" allowOverlap="1" wp14:anchorId="005ADDCF" wp14:editId="38FC0DF7">
                <wp:simplePos x="0" y="0"/>
                <wp:positionH relativeFrom="column">
                  <wp:posOffset>0</wp:posOffset>
                </wp:positionH>
                <wp:positionV relativeFrom="paragraph">
                  <wp:posOffset>0</wp:posOffset>
                </wp:positionV>
                <wp:extent cx="1828800" cy="1828800"/>
                <wp:effectExtent l="0" t="0" r="0" b="0"/>
                <wp:wrapSquare wrapText="bothSides"/>
                <wp:docPr id="111531561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6348A33" w14:textId="77777777" w:rsidR="001E3070" w:rsidRPr="00386114" w:rsidRDefault="001E3070" w:rsidP="001E3070">
                            <w:pPr>
                              <w:spacing w:line="240" w:lineRule="auto"/>
                              <w:rPr>
                                <w:sz w:val="22"/>
                                <w:szCs w:val="22"/>
                              </w:rPr>
                            </w:pPr>
                            <w:r w:rsidRPr="00386114">
                              <w:rPr>
                                <w:sz w:val="22"/>
                                <w:szCs w:val="22"/>
                              </w:rPr>
                              <w:t xml:space="preserve">Consider the alignment of COFOG with any other relevant classifications/frameworks, (e.g. ISIC, SDGs) </w:t>
                            </w:r>
                          </w:p>
                          <w:p w14:paraId="78A67C53" w14:textId="77777777" w:rsidR="001E3070" w:rsidRPr="00386114" w:rsidRDefault="001E3070" w:rsidP="001E3070">
                            <w:pPr>
                              <w:spacing w:line="240" w:lineRule="auto"/>
                              <w:jc w:val="both"/>
                              <w:rPr>
                                <w:sz w:val="22"/>
                                <w:szCs w:val="22"/>
                              </w:rPr>
                            </w:pPr>
                            <w:r w:rsidRPr="00386114">
                              <w:rPr>
                                <w:sz w:val="22"/>
                                <w:szCs w:val="22"/>
                              </w:rPr>
                              <w:t xml:space="preserve">Please note that: </w:t>
                            </w:r>
                          </w:p>
                          <w:p w14:paraId="25FC6607" w14:textId="77777777" w:rsidR="001E3070" w:rsidRPr="00386114" w:rsidRDefault="001E3070" w:rsidP="00D25872">
                            <w:pPr>
                              <w:pStyle w:val="ListParagraph"/>
                              <w:numPr>
                                <w:ilvl w:val="0"/>
                                <w:numId w:val="23"/>
                              </w:numPr>
                              <w:spacing w:after="0" w:line="240" w:lineRule="auto"/>
                              <w:jc w:val="both"/>
                              <w:rPr>
                                <w:sz w:val="22"/>
                                <w:szCs w:val="22"/>
                              </w:rPr>
                            </w:pPr>
                            <w:r w:rsidRPr="00386114">
                              <w:rPr>
                                <w:sz w:val="22"/>
                                <w:szCs w:val="22"/>
                              </w:rPr>
                              <w:t>Alignment with the Classification of Environmental Purposes (CEP), System of Environmental-Economic Accounting (SEEA), EU Sustainable Finance Taxonomy and other environmental classifications/frameworks is covered under issue A05 (Environmental protection)</w:t>
                            </w:r>
                          </w:p>
                          <w:p w14:paraId="5EE2E758" w14:textId="77777777" w:rsidR="001E3070" w:rsidRPr="00386114" w:rsidRDefault="001E3070" w:rsidP="001E3070">
                            <w:pPr>
                              <w:pStyle w:val="ListParagraph"/>
                              <w:spacing w:after="0" w:line="240" w:lineRule="auto"/>
                              <w:ind w:left="1440"/>
                              <w:jc w:val="both"/>
                              <w:rPr>
                                <w:sz w:val="22"/>
                                <w:szCs w:val="22"/>
                              </w:rPr>
                            </w:pPr>
                          </w:p>
                          <w:p w14:paraId="41D1FBC7" w14:textId="77777777" w:rsidR="001E3070" w:rsidRPr="00386114" w:rsidRDefault="001E3070" w:rsidP="00D25872">
                            <w:pPr>
                              <w:pStyle w:val="ListParagraph"/>
                              <w:numPr>
                                <w:ilvl w:val="0"/>
                                <w:numId w:val="23"/>
                              </w:numPr>
                              <w:spacing w:after="0" w:line="240" w:lineRule="auto"/>
                              <w:jc w:val="both"/>
                              <w:rPr>
                                <w:sz w:val="22"/>
                                <w:szCs w:val="22"/>
                              </w:rPr>
                            </w:pPr>
                            <w:r w:rsidRPr="00386114">
                              <w:rPr>
                                <w:sz w:val="22"/>
                                <w:szCs w:val="22"/>
                              </w:rPr>
                              <w:t>Alignment with the System of Health Accounts (SHA) is covered under issue A07 (Health)</w:t>
                            </w:r>
                          </w:p>
                          <w:p w14:paraId="2FB4CED8" w14:textId="77777777" w:rsidR="001E3070" w:rsidRPr="00386114" w:rsidRDefault="001E3070" w:rsidP="001E3070">
                            <w:pPr>
                              <w:pStyle w:val="ListParagraph"/>
                              <w:spacing w:after="0" w:line="240" w:lineRule="auto"/>
                              <w:ind w:left="1440"/>
                              <w:jc w:val="both"/>
                              <w:rPr>
                                <w:sz w:val="22"/>
                                <w:szCs w:val="22"/>
                              </w:rPr>
                            </w:pPr>
                          </w:p>
                          <w:p w14:paraId="46700E3C" w14:textId="77777777" w:rsidR="001E3070" w:rsidRPr="00386114" w:rsidRDefault="001E3070" w:rsidP="00D25872">
                            <w:pPr>
                              <w:pStyle w:val="ListParagraph"/>
                              <w:numPr>
                                <w:ilvl w:val="0"/>
                                <w:numId w:val="23"/>
                              </w:numPr>
                              <w:spacing w:after="0" w:line="240" w:lineRule="auto"/>
                              <w:jc w:val="both"/>
                              <w:rPr>
                                <w:sz w:val="22"/>
                                <w:szCs w:val="22"/>
                              </w:rPr>
                            </w:pPr>
                            <w:r w:rsidRPr="00386114">
                              <w:rPr>
                                <w:sz w:val="22"/>
                                <w:szCs w:val="22"/>
                              </w:rPr>
                              <w:t>Alignment with the International Standard Classification of Education (ISCED) and the joint UNESCO-UIS/OECD/EUROSTAT data collection (UOE) is covered under issue A09 (Education)</w:t>
                            </w:r>
                          </w:p>
                          <w:p w14:paraId="53DEDE80" w14:textId="77777777" w:rsidR="001E3070" w:rsidRPr="00386114" w:rsidRDefault="001E3070" w:rsidP="001E3070">
                            <w:pPr>
                              <w:spacing w:after="0" w:line="240" w:lineRule="auto"/>
                              <w:jc w:val="both"/>
                              <w:rPr>
                                <w:sz w:val="22"/>
                                <w:szCs w:val="22"/>
                              </w:rPr>
                            </w:pPr>
                          </w:p>
                          <w:p w14:paraId="3D5BEAF1" w14:textId="499A9D51" w:rsidR="001E3070" w:rsidRPr="001E3070" w:rsidRDefault="001E3070" w:rsidP="00D25872">
                            <w:pPr>
                              <w:numPr>
                                <w:ilvl w:val="0"/>
                                <w:numId w:val="23"/>
                              </w:numPr>
                              <w:spacing w:after="0" w:line="240" w:lineRule="auto"/>
                              <w:jc w:val="both"/>
                              <w:rPr>
                                <w:rFonts w:ascii="Aptos" w:eastAsia="Aptos" w:hAnsi="Aptos" w:cs="Aptos"/>
                                <w:sz w:val="22"/>
                                <w:szCs w:val="22"/>
                              </w:rPr>
                            </w:pPr>
                            <w:r w:rsidRPr="00386114">
                              <w:rPr>
                                <w:sz w:val="22"/>
                                <w:szCs w:val="22"/>
                              </w:rPr>
                              <w:t xml:space="preserve">Alignment with the </w:t>
                            </w:r>
                            <w:r w:rsidRPr="00386114">
                              <w:rPr>
                                <w:rFonts w:ascii="Aptos" w:eastAsia="Aptos" w:hAnsi="Aptos" w:cs="Aptos"/>
                                <w:sz w:val="22"/>
                                <w:szCs w:val="22"/>
                              </w:rPr>
                              <w:t>Nomenclature for the Analysis and Comparison of Scientific Programmes and Budget (NABS) is covered under A12 (Research and development)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5ADDCF" id="_x0000_s1032" type="#_x0000_t202" style="position:absolute;left:0;text-align:left;margin-left:0;margin-top:0;width:2in;height:2in;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vDKg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IWJ&#10;h4a3UB0RBwf9iHjL1wrTPzIfXpjDmcD+cM7DMx5SA9YEJ4mSGtyvv91Hf6QKrZS0OGMlNbgElOjv&#10;Bim8G0+ncSSTMr35MkHFXVu21xazb1aAbY5xnyxPYvQPehClg+YNl2EZ30QTMxxfLmkYxFXo5x6X&#10;iYvlMjnhEFoWHs3G8ph6APW1e2POnsgKyPMTDLPIinec9b4x0tvlPiBzidCIco/pCXwc4MTNadni&#10;hlzryevyS1j8Bg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G/IbwyoCAABaBAAADgAAAAAAAAAAAAAAAAAuAgAAZHJzL2Uyb0RvYy54&#10;bWxQSwECLQAUAAYACAAAACEAtwwDCNcAAAAFAQAADwAAAAAAAAAAAAAAAACEBAAAZHJzL2Rvd25y&#10;ZXYueG1sUEsFBgAAAAAEAAQA8wAAAIgFAAAAAA==&#10;" filled="f" strokeweight=".5pt">
                <v:textbox style="mso-fit-shape-to-text:t">
                  <w:txbxContent>
                    <w:p w14:paraId="16348A33" w14:textId="77777777" w:rsidR="001E3070" w:rsidRPr="00386114" w:rsidRDefault="001E3070" w:rsidP="001E3070">
                      <w:pPr>
                        <w:spacing w:line="240" w:lineRule="auto"/>
                        <w:rPr>
                          <w:sz w:val="22"/>
                          <w:szCs w:val="22"/>
                        </w:rPr>
                      </w:pPr>
                      <w:r w:rsidRPr="00386114">
                        <w:rPr>
                          <w:sz w:val="22"/>
                          <w:szCs w:val="22"/>
                        </w:rPr>
                        <w:t xml:space="preserve">Consider the alignment of COFOG with any other relevant classifications/frameworks, (e.g. ISIC, SDGs) </w:t>
                      </w:r>
                    </w:p>
                    <w:p w14:paraId="78A67C53" w14:textId="77777777" w:rsidR="001E3070" w:rsidRPr="00386114" w:rsidRDefault="001E3070" w:rsidP="001E3070">
                      <w:pPr>
                        <w:spacing w:line="240" w:lineRule="auto"/>
                        <w:jc w:val="both"/>
                        <w:rPr>
                          <w:sz w:val="22"/>
                          <w:szCs w:val="22"/>
                        </w:rPr>
                      </w:pPr>
                      <w:r w:rsidRPr="00386114">
                        <w:rPr>
                          <w:sz w:val="22"/>
                          <w:szCs w:val="22"/>
                        </w:rPr>
                        <w:t xml:space="preserve">Please note that: </w:t>
                      </w:r>
                    </w:p>
                    <w:p w14:paraId="25FC6607" w14:textId="77777777" w:rsidR="001E3070" w:rsidRPr="00386114" w:rsidRDefault="001E3070" w:rsidP="00D25872">
                      <w:pPr>
                        <w:pStyle w:val="ListParagraph"/>
                        <w:numPr>
                          <w:ilvl w:val="0"/>
                          <w:numId w:val="23"/>
                        </w:numPr>
                        <w:spacing w:after="0" w:line="240" w:lineRule="auto"/>
                        <w:jc w:val="both"/>
                        <w:rPr>
                          <w:sz w:val="22"/>
                          <w:szCs w:val="22"/>
                        </w:rPr>
                      </w:pPr>
                      <w:r w:rsidRPr="00386114">
                        <w:rPr>
                          <w:sz w:val="22"/>
                          <w:szCs w:val="22"/>
                        </w:rPr>
                        <w:t>Alignment with the Classification of Environmental Purposes (CEP), System of Environmental-Economic Accounting (SEEA), EU Sustainable Finance Taxonomy and other environmental classifications/frameworks is covered under issue A05 (Environmental protection)</w:t>
                      </w:r>
                    </w:p>
                    <w:p w14:paraId="5EE2E758" w14:textId="77777777" w:rsidR="001E3070" w:rsidRPr="00386114" w:rsidRDefault="001E3070" w:rsidP="001E3070">
                      <w:pPr>
                        <w:pStyle w:val="ListParagraph"/>
                        <w:spacing w:after="0" w:line="240" w:lineRule="auto"/>
                        <w:ind w:left="1440"/>
                        <w:jc w:val="both"/>
                        <w:rPr>
                          <w:sz w:val="22"/>
                          <w:szCs w:val="22"/>
                        </w:rPr>
                      </w:pPr>
                    </w:p>
                    <w:p w14:paraId="41D1FBC7" w14:textId="77777777" w:rsidR="001E3070" w:rsidRPr="00386114" w:rsidRDefault="001E3070" w:rsidP="00D25872">
                      <w:pPr>
                        <w:pStyle w:val="ListParagraph"/>
                        <w:numPr>
                          <w:ilvl w:val="0"/>
                          <w:numId w:val="23"/>
                        </w:numPr>
                        <w:spacing w:after="0" w:line="240" w:lineRule="auto"/>
                        <w:jc w:val="both"/>
                        <w:rPr>
                          <w:sz w:val="22"/>
                          <w:szCs w:val="22"/>
                        </w:rPr>
                      </w:pPr>
                      <w:r w:rsidRPr="00386114">
                        <w:rPr>
                          <w:sz w:val="22"/>
                          <w:szCs w:val="22"/>
                        </w:rPr>
                        <w:t>Alignment with the System of Health Accounts (SHA) is covered under issue A07 (Health)</w:t>
                      </w:r>
                    </w:p>
                    <w:p w14:paraId="2FB4CED8" w14:textId="77777777" w:rsidR="001E3070" w:rsidRPr="00386114" w:rsidRDefault="001E3070" w:rsidP="001E3070">
                      <w:pPr>
                        <w:pStyle w:val="ListParagraph"/>
                        <w:spacing w:after="0" w:line="240" w:lineRule="auto"/>
                        <w:ind w:left="1440"/>
                        <w:jc w:val="both"/>
                        <w:rPr>
                          <w:sz w:val="22"/>
                          <w:szCs w:val="22"/>
                        </w:rPr>
                      </w:pPr>
                    </w:p>
                    <w:p w14:paraId="46700E3C" w14:textId="77777777" w:rsidR="001E3070" w:rsidRPr="00386114" w:rsidRDefault="001E3070" w:rsidP="00D25872">
                      <w:pPr>
                        <w:pStyle w:val="ListParagraph"/>
                        <w:numPr>
                          <w:ilvl w:val="0"/>
                          <w:numId w:val="23"/>
                        </w:numPr>
                        <w:spacing w:after="0" w:line="240" w:lineRule="auto"/>
                        <w:jc w:val="both"/>
                        <w:rPr>
                          <w:sz w:val="22"/>
                          <w:szCs w:val="22"/>
                        </w:rPr>
                      </w:pPr>
                      <w:r w:rsidRPr="00386114">
                        <w:rPr>
                          <w:sz w:val="22"/>
                          <w:szCs w:val="22"/>
                        </w:rPr>
                        <w:t>Alignment with the International Standard Classification of Education (ISCED) and the joint UNESCO-UIS/OECD/EUROSTAT data collection (UOE) is covered under issue A09 (Education)</w:t>
                      </w:r>
                    </w:p>
                    <w:p w14:paraId="53DEDE80" w14:textId="77777777" w:rsidR="001E3070" w:rsidRPr="00386114" w:rsidRDefault="001E3070" w:rsidP="001E3070">
                      <w:pPr>
                        <w:spacing w:after="0" w:line="240" w:lineRule="auto"/>
                        <w:jc w:val="both"/>
                        <w:rPr>
                          <w:sz w:val="22"/>
                          <w:szCs w:val="22"/>
                        </w:rPr>
                      </w:pPr>
                    </w:p>
                    <w:p w14:paraId="3D5BEAF1" w14:textId="499A9D51" w:rsidR="001E3070" w:rsidRPr="001E3070" w:rsidRDefault="001E3070" w:rsidP="00D25872">
                      <w:pPr>
                        <w:numPr>
                          <w:ilvl w:val="0"/>
                          <w:numId w:val="23"/>
                        </w:numPr>
                        <w:spacing w:after="0" w:line="240" w:lineRule="auto"/>
                        <w:jc w:val="both"/>
                        <w:rPr>
                          <w:rFonts w:ascii="Aptos" w:eastAsia="Aptos" w:hAnsi="Aptos" w:cs="Aptos"/>
                          <w:sz w:val="22"/>
                          <w:szCs w:val="22"/>
                        </w:rPr>
                      </w:pPr>
                      <w:r w:rsidRPr="00386114">
                        <w:rPr>
                          <w:sz w:val="22"/>
                          <w:szCs w:val="22"/>
                        </w:rPr>
                        <w:t xml:space="preserve">Alignment with the </w:t>
                      </w:r>
                      <w:r w:rsidRPr="00386114">
                        <w:rPr>
                          <w:rFonts w:ascii="Aptos" w:eastAsia="Aptos" w:hAnsi="Aptos" w:cs="Aptos"/>
                          <w:sz w:val="22"/>
                          <w:szCs w:val="22"/>
                        </w:rPr>
                        <w:t>Nomenclature for the Analysis and Comparison of Scientific Programmes and Budget (NABS) is covered under A12 (Research and development)</w:t>
                      </w:r>
                    </w:p>
                  </w:txbxContent>
                </v:textbox>
                <w10:wrap type="square"/>
              </v:shape>
            </w:pict>
          </mc:Fallback>
        </mc:AlternateContent>
      </w:r>
    </w:p>
    <w:p w14:paraId="008A7958" w14:textId="77777777" w:rsidR="00AE1A21" w:rsidRDefault="00AE1A21" w:rsidP="00BB5E84">
      <w:pPr>
        <w:spacing w:after="0" w:line="240" w:lineRule="auto"/>
        <w:jc w:val="both"/>
        <w:rPr>
          <w:sz w:val="22"/>
          <w:szCs w:val="22"/>
        </w:rPr>
      </w:pPr>
    </w:p>
    <w:p w14:paraId="2A0029D3" w14:textId="543B431C" w:rsidR="00BB5E84" w:rsidRPr="0039008C" w:rsidRDefault="00BB5E84" w:rsidP="00BB5E84">
      <w:pPr>
        <w:spacing w:after="0" w:line="240" w:lineRule="auto"/>
        <w:jc w:val="both"/>
        <w:rPr>
          <w:sz w:val="22"/>
          <w:szCs w:val="22"/>
        </w:rPr>
      </w:pPr>
      <w:r>
        <w:rPr>
          <w:sz w:val="22"/>
          <w:szCs w:val="22"/>
        </w:rPr>
        <w:lastRenderedPageBreak/>
        <w:t>Additional proposals:</w:t>
      </w:r>
    </w:p>
    <w:p w14:paraId="6351455D" w14:textId="14C0CE6D" w:rsidR="00BB5E84" w:rsidRPr="0039008C" w:rsidRDefault="00A15CBE" w:rsidP="00D25872">
      <w:pPr>
        <w:pStyle w:val="ListParagraph"/>
        <w:numPr>
          <w:ilvl w:val="0"/>
          <w:numId w:val="27"/>
        </w:numPr>
        <w:spacing w:after="0" w:line="240" w:lineRule="auto"/>
        <w:jc w:val="both"/>
        <w:rPr>
          <w:sz w:val="22"/>
          <w:szCs w:val="22"/>
        </w:rPr>
      </w:pPr>
      <w:r>
        <w:rPr>
          <w:sz w:val="22"/>
          <w:szCs w:val="22"/>
        </w:rPr>
        <w:t>S</w:t>
      </w:r>
      <w:r w:rsidRPr="00A15CBE">
        <w:rPr>
          <w:sz w:val="22"/>
          <w:szCs w:val="22"/>
        </w:rPr>
        <w:t xml:space="preserve">hould be </w:t>
      </w:r>
      <w:proofErr w:type="gramStart"/>
      <w:r w:rsidRPr="00A15CBE">
        <w:rPr>
          <w:sz w:val="22"/>
          <w:szCs w:val="22"/>
        </w:rPr>
        <w:t>broadened to</w:t>
      </w:r>
      <w:proofErr w:type="gramEnd"/>
      <w:r w:rsidRPr="00A15CBE">
        <w:rPr>
          <w:sz w:val="22"/>
          <w:szCs w:val="22"/>
        </w:rPr>
        <w:t xml:space="preserve"> not just consider alignment but also bridges/mappings between classification frameworks </w:t>
      </w:r>
      <w:proofErr w:type="gramStart"/>
      <w:r w:rsidRPr="00A15CBE">
        <w:rPr>
          <w:sz w:val="22"/>
          <w:szCs w:val="22"/>
        </w:rPr>
        <w:t>where</w:t>
      </w:r>
      <w:proofErr w:type="gramEnd"/>
      <w:r w:rsidRPr="00A15CBE">
        <w:rPr>
          <w:sz w:val="22"/>
          <w:szCs w:val="22"/>
        </w:rPr>
        <w:t xml:space="preserve"> full alignment </w:t>
      </w:r>
      <w:proofErr w:type="gramStart"/>
      <w:r w:rsidRPr="00A15CBE">
        <w:rPr>
          <w:sz w:val="22"/>
          <w:szCs w:val="22"/>
        </w:rPr>
        <w:t>not</w:t>
      </w:r>
      <w:proofErr w:type="gramEnd"/>
      <w:r w:rsidRPr="00A15CBE">
        <w:rPr>
          <w:sz w:val="22"/>
          <w:szCs w:val="22"/>
        </w:rPr>
        <w:t xml:space="preserve"> possible</w:t>
      </w:r>
    </w:p>
    <w:p w14:paraId="3FDEE617" w14:textId="41528BB1" w:rsidR="00BB5E84" w:rsidRPr="00970289" w:rsidRDefault="00B56A2B" w:rsidP="00D25872">
      <w:pPr>
        <w:pStyle w:val="ListParagraph"/>
        <w:numPr>
          <w:ilvl w:val="0"/>
          <w:numId w:val="27"/>
        </w:numPr>
        <w:spacing w:after="0" w:line="240" w:lineRule="auto"/>
        <w:jc w:val="both"/>
        <w:rPr>
          <w:sz w:val="22"/>
          <w:szCs w:val="22"/>
        </w:rPr>
      </w:pPr>
      <w:r w:rsidRPr="00B56A2B">
        <w:rPr>
          <w:sz w:val="22"/>
          <w:szCs w:val="22"/>
        </w:rPr>
        <w:t xml:space="preserve">Alignment with CEP and CEPA/CReMA: environmental accounts (environmental costs and subsidies/transfers) can be compiled limited (with some compromise) according to the current COFOG structure. For </w:t>
      </w:r>
      <w:proofErr w:type="gramStart"/>
      <w:r w:rsidRPr="00B56A2B">
        <w:rPr>
          <w:sz w:val="22"/>
          <w:szCs w:val="22"/>
        </w:rPr>
        <w:t>example</w:t>
      </w:r>
      <w:proofErr w:type="gramEnd"/>
      <w:r w:rsidRPr="00B56A2B">
        <w:rPr>
          <w:sz w:val="22"/>
          <w:szCs w:val="22"/>
        </w:rPr>
        <w:t xml:space="preserve"> the further splitting of 05.3 group</w:t>
      </w:r>
    </w:p>
    <w:p w14:paraId="28AB9DC6" w14:textId="77777777" w:rsidR="00BB5E84" w:rsidRDefault="00BB5E84" w:rsidP="00BB5E84">
      <w:pPr>
        <w:spacing w:after="0" w:line="240" w:lineRule="auto"/>
        <w:jc w:val="both"/>
        <w:rPr>
          <w:sz w:val="22"/>
          <w:szCs w:val="22"/>
          <w:u w:val="single"/>
        </w:rPr>
      </w:pPr>
    </w:p>
    <w:p w14:paraId="5AD06FBF" w14:textId="77777777" w:rsidR="00BB5E84" w:rsidRPr="003A32A6" w:rsidRDefault="00BB5E84" w:rsidP="00BB5E84">
      <w:pPr>
        <w:spacing w:after="0" w:line="240" w:lineRule="auto"/>
        <w:jc w:val="both"/>
        <w:rPr>
          <w:sz w:val="22"/>
          <w:szCs w:val="22"/>
        </w:rPr>
      </w:pPr>
      <w:r>
        <w:rPr>
          <w:sz w:val="22"/>
          <w:szCs w:val="22"/>
        </w:rPr>
        <w:t>Concerns/objections:</w:t>
      </w:r>
    </w:p>
    <w:p w14:paraId="095BE2C8" w14:textId="6C35E050" w:rsidR="00BB5E84" w:rsidRDefault="00C92660" w:rsidP="00D25872">
      <w:pPr>
        <w:pStyle w:val="ListParagraph"/>
        <w:numPr>
          <w:ilvl w:val="0"/>
          <w:numId w:val="27"/>
        </w:numPr>
        <w:spacing w:after="0" w:line="240" w:lineRule="auto"/>
        <w:jc w:val="both"/>
        <w:rPr>
          <w:sz w:val="22"/>
          <w:szCs w:val="22"/>
        </w:rPr>
      </w:pPr>
      <w:r>
        <w:rPr>
          <w:sz w:val="22"/>
          <w:szCs w:val="22"/>
        </w:rPr>
        <w:t>A</w:t>
      </w:r>
      <w:r w:rsidRPr="00C92660">
        <w:rPr>
          <w:sz w:val="22"/>
          <w:szCs w:val="22"/>
        </w:rPr>
        <w:t>lignment with some classifications could be challenging (e.g. ISCED)</w:t>
      </w:r>
    </w:p>
    <w:p w14:paraId="2517D7D1" w14:textId="2DAFD550" w:rsidR="00BB5E84" w:rsidRDefault="00605C3F" w:rsidP="00D25872">
      <w:pPr>
        <w:pStyle w:val="ListParagraph"/>
        <w:numPr>
          <w:ilvl w:val="0"/>
          <w:numId w:val="27"/>
        </w:numPr>
        <w:spacing w:after="0" w:line="240" w:lineRule="auto"/>
        <w:jc w:val="both"/>
        <w:rPr>
          <w:sz w:val="22"/>
          <w:szCs w:val="22"/>
        </w:rPr>
      </w:pPr>
      <w:r>
        <w:rPr>
          <w:sz w:val="22"/>
          <w:szCs w:val="22"/>
        </w:rPr>
        <w:t>C</w:t>
      </w:r>
      <w:r w:rsidRPr="00605C3F">
        <w:rPr>
          <w:sz w:val="22"/>
          <w:szCs w:val="22"/>
        </w:rPr>
        <w:t>an be difficult because COFOG classification is comprehensive; others are thematic, having the possibility of going beyond the correspondence of the single COFOG division/group/class</w:t>
      </w:r>
    </w:p>
    <w:p w14:paraId="17D4264A" w14:textId="40CD9D01" w:rsidR="009C32EC" w:rsidRDefault="009C32EC" w:rsidP="00D25872">
      <w:pPr>
        <w:pStyle w:val="ListParagraph"/>
        <w:numPr>
          <w:ilvl w:val="0"/>
          <w:numId w:val="27"/>
        </w:numPr>
        <w:spacing w:after="0" w:line="240" w:lineRule="auto"/>
        <w:jc w:val="both"/>
        <w:rPr>
          <w:sz w:val="22"/>
          <w:szCs w:val="22"/>
        </w:rPr>
      </w:pPr>
      <w:r w:rsidRPr="009C32EC">
        <w:rPr>
          <w:sz w:val="22"/>
          <w:szCs w:val="22"/>
        </w:rPr>
        <w:t>Do not see this as overly critical unless there is a direct contextual alignment</w:t>
      </w:r>
    </w:p>
    <w:p w14:paraId="78D55A3F" w14:textId="2C05B50E" w:rsidR="00D14EED" w:rsidRPr="00D14EED" w:rsidRDefault="00D14EED" w:rsidP="00D14EED">
      <w:pPr>
        <w:pStyle w:val="ListParagraph"/>
        <w:numPr>
          <w:ilvl w:val="0"/>
          <w:numId w:val="27"/>
        </w:numPr>
        <w:spacing w:after="0" w:line="240" w:lineRule="auto"/>
        <w:jc w:val="both"/>
        <w:rPr>
          <w:sz w:val="22"/>
          <w:szCs w:val="22"/>
        </w:rPr>
      </w:pPr>
      <w:r w:rsidRPr="00D14EED">
        <w:rPr>
          <w:sz w:val="22"/>
          <w:szCs w:val="22"/>
        </w:rPr>
        <w:t>ISIC is a classification by activity and not by purpose</w:t>
      </w:r>
    </w:p>
    <w:p w14:paraId="5D7F9058" w14:textId="35B2C8AB" w:rsidR="00D14EED" w:rsidRPr="0039008C" w:rsidRDefault="00D14EED" w:rsidP="00D14EED">
      <w:pPr>
        <w:pStyle w:val="ListParagraph"/>
        <w:numPr>
          <w:ilvl w:val="0"/>
          <w:numId w:val="27"/>
        </w:numPr>
        <w:spacing w:after="0" w:line="240" w:lineRule="auto"/>
        <w:jc w:val="both"/>
        <w:rPr>
          <w:sz w:val="22"/>
          <w:szCs w:val="22"/>
        </w:rPr>
      </w:pPr>
      <w:r w:rsidRPr="00D14EED">
        <w:rPr>
          <w:sz w:val="22"/>
          <w:szCs w:val="22"/>
        </w:rPr>
        <w:t>Alignment with environmental protection part of CEP should be considered as part of this review, but maintaining the principle of primary function implies not aligning with resource management part of CEP</w:t>
      </w:r>
    </w:p>
    <w:p w14:paraId="100C940A" w14:textId="77777777" w:rsidR="00F3062E" w:rsidRDefault="00F3062E" w:rsidP="007457FE">
      <w:pPr>
        <w:spacing w:after="0" w:line="240" w:lineRule="auto"/>
        <w:jc w:val="both"/>
        <w:rPr>
          <w:b/>
          <w:bCs/>
          <w:sz w:val="22"/>
          <w:szCs w:val="22"/>
        </w:rPr>
      </w:pPr>
    </w:p>
    <w:p w14:paraId="5B03ECD7" w14:textId="6D70BC85" w:rsidR="007457FE" w:rsidRPr="007457FE" w:rsidRDefault="007457FE" w:rsidP="007457FE">
      <w:pPr>
        <w:spacing w:after="0" w:line="240" w:lineRule="auto"/>
        <w:jc w:val="both"/>
        <w:rPr>
          <w:sz w:val="22"/>
          <w:szCs w:val="22"/>
        </w:rPr>
      </w:pPr>
      <w:r w:rsidRPr="007457FE">
        <w:rPr>
          <w:sz w:val="22"/>
          <w:szCs w:val="22"/>
        </w:rPr>
        <w:t>----------------------------------------------------------------------------------------------------------------------------</w:t>
      </w:r>
    </w:p>
    <w:p w14:paraId="79F0DE9A" w14:textId="77777777" w:rsidR="00EE4BCD" w:rsidRDefault="00EE4BCD" w:rsidP="00485B5A">
      <w:pPr>
        <w:spacing w:after="0" w:line="240" w:lineRule="auto"/>
        <w:jc w:val="both"/>
        <w:rPr>
          <w:b/>
          <w:bCs/>
          <w:sz w:val="22"/>
          <w:szCs w:val="22"/>
        </w:rPr>
      </w:pPr>
    </w:p>
    <w:p w14:paraId="4564F34A" w14:textId="57D7331B" w:rsidR="00C1321C" w:rsidRPr="00C1321C" w:rsidRDefault="00C1321C" w:rsidP="00587E3D">
      <w:pPr>
        <w:pStyle w:val="Heading2"/>
        <w:spacing w:before="120" w:after="0"/>
      </w:pPr>
      <w:bookmarkStart w:id="18" w:name="_Toc195776392"/>
      <w:r w:rsidRPr="006A11CE">
        <w:t>Additional Questions</w:t>
      </w:r>
      <w:bookmarkEnd w:id="18"/>
      <w:r w:rsidR="00BF76F8">
        <w:br/>
      </w:r>
    </w:p>
    <w:p w14:paraId="37F1C951" w14:textId="4ED3FE6A" w:rsidR="00115604" w:rsidRDefault="00115604" w:rsidP="00485B5A">
      <w:pPr>
        <w:spacing w:after="0" w:line="240" w:lineRule="auto"/>
        <w:jc w:val="both"/>
        <w:rPr>
          <w:b/>
          <w:bCs/>
          <w:sz w:val="22"/>
          <w:szCs w:val="22"/>
        </w:rPr>
      </w:pPr>
      <w:r>
        <w:rPr>
          <w:b/>
          <w:bCs/>
          <w:sz w:val="22"/>
          <w:szCs w:val="22"/>
        </w:rPr>
        <w:t xml:space="preserve">Q26. </w:t>
      </w:r>
      <w:r w:rsidRPr="00115604">
        <w:rPr>
          <w:b/>
          <w:bCs/>
          <w:sz w:val="22"/>
          <w:szCs w:val="22"/>
        </w:rPr>
        <w:t xml:space="preserve">In your view, are there other issues that should be considered for the revision of COFOG? </w:t>
      </w:r>
    </w:p>
    <w:p w14:paraId="4BCE7A9E" w14:textId="77777777" w:rsidR="00115604" w:rsidRDefault="00115604" w:rsidP="00485B5A">
      <w:pPr>
        <w:spacing w:after="0" w:line="240" w:lineRule="auto"/>
        <w:jc w:val="both"/>
        <w:rPr>
          <w:b/>
          <w:bCs/>
          <w:sz w:val="22"/>
          <w:szCs w:val="22"/>
        </w:rPr>
      </w:pPr>
    </w:p>
    <w:p w14:paraId="6E2E7425" w14:textId="1A4A617C" w:rsidR="002A5B11" w:rsidRDefault="0070627F" w:rsidP="00587E3D">
      <w:pPr>
        <w:spacing w:after="0" w:line="240" w:lineRule="auto"/>
        <w:jc w:val="both"/>
        <w:rPr>
          <w:sz w:val="22"/>
          <w:szCs w:val="22"/>
        </w:rPr>
      </w:pPr>
      <w:r>
        <w:rPr>
          <w:sz w:val="22"/>
          <w:szCs w:val="22"/>
        </w:rPr>
        <w:t>Most respondents did not suggest additional issues for consideration. Among those who did, r</w:t>
      </w:r>
      <w:r w:rsidR="00EE4BCD" w:rsidRPr="004E30B4">
        <w:rPr>
          <w:sz w:val="22"/>
          <w:szCs w:val="22"/>
        </w:rPr>
        <w:t xml:space="preserve">esponses were varied, including alignment with SDGs goals, NACE, SNA and UNESCO; </w:t>
      </w:r>
      <w:r w:rsidR="00EE4BCD">
        <w:rPr>
          <w:sz w:val="22"/>
          <w:szCs w:val="22"/>
        </w:rPr>
        <w:t xml:space="preserve">and </w:t>
      </w:r>
      <w:r w:rsidR="00EE4BCD" w:rsidRPr="004E30B4">
        <w:rPr>
          <w:sz w:val="22"/>
          <w:szCs w:val="22"/>
        </w:rPr>
        <w:t>considerations for timeliness</w:t>
      </w:r>
      <w:r w:rsidR="00EE4BCD">
        <w:rPr>
          <w:sz w:val="22"/>
          <w:szCs w:val="22"/>
        </w:rPr>
        <w:t xml:space="preserve">, </w:t>
      </w:r>
      <w:r w:rsidR="00EE4BCD" w:rsidRPr="004E30B4">
        <w:rPr>
          <w:sz w:val="22"/>
          <w:szCs w:val="22"/>
        </w:rPr>
        <w:t>flexibility for local adaptation</w:t>
      </w:r>
      <w:r w:rsidR="00EE4BCD">
        <w:rPr>
          <w:sz w:val="22"/>
          <w:szCs w:val="22"/>
        </w:rPr>
        <w:t>s</w:t>
      </w:r>
      <w:r w:rsidR="00EE4BCD" w:rsidRPr="004E30B4">
        <w:rPr>
          <w:sz w:val="22"/>
          <w:szCs w:val="22"/>
        </w:rPr>
        <w:t>/low and middle-income countries</w:t>
      </w:r>
      <w:r w:rsidR="00EE4BCD">
        <w:rPr>
          <w:sz w:val="22"/>
          <w:szCs w:val="22"/>
        </w:rPr>
        <w:t xml:space="preserve">, and </w:t>
      </w:r>
      <w:r w:rsidR="00EE4BCD" w:rsidRPr="004E30B4">
        <w:rPr>
          <w:sz w:val="22"/>
          <w:szCs w:val="22"/>
        </w:rPr>
        <w:t xml:space="preserve"> support for non-statistical / administrative providers.  Other responses touched on agriculture, land use planning, care for the elderly, retaining the principle of recording by primary purpose, legal considerations, settlements related to indigenous populations for historical injustices, basic research, expenditure on dependent children and emerging technologies.</w:t>
      </w:r>
    </w:p>
    <w:p w14:paraId="3A17E1C6" w14:textId="77777777" w:rsidR="007457FE" w:rsidRDefault="007457FE" w:rsidP="00EE4BCD">
      <w:pPr>
        <w:spacing w:after="0" w:line="240" w:lineRule="auto"/>
        <w:jc w:val="both"/>
        <w:rPr>
          <w:sz w:val="22"/>
          <w:szCs w:val="22"/>
        </w:rPr>
      </w:pPr>
    </w:p>
    <w:p w14:paraId="5E0F6F9E" w14:textId="77777777" w:rsidR="007457FE" w:rsidRPr="007457FE" w:rsidRDefault="007457FE" w:rsidP="007457FE">
      <w:pPr>
        <w:spacing w:after="0" w:line="240" w:lineRule="auto"/>
        <w:jc w:val="both"/>
        <w:rPr>
          <w:sz w:val="22"/>
          <w:szCs w:val="22"/>
        </w:rPr>
      </w:pPr>
      <w:r w:rsidRPr="007457FE">
        <w:rPr>
          <w:sz w:val="22"/>
          <w:szCs w:val="22"/>
        </w:rPr>
        <w:t>----------------------------------------------------------------------------------------------------------------------------</w:t>
      </w:r>
    </w:p>
    <w:p w14:paraId="6169F4FD" w14:textId="77777777" w:rsidR="00EE4BCD" w:rsidRDefault="00EE4BCD" w:rsidP="00485B5A">
      <w:pPr>
        <w:spacing w:after="0" w:line="240" w:lineRule="auto"/>
        <w:jc w:val="both"/>
        <w:rPr>
          <w:b/>
          <w:bCs/>
          <w:sz w:val="22"/>
          <w:szCs w:val="22"/>
        </w:rPr>
      </w:pPr>
    </w:p>
    <w:p w14:paraId="77931EE6" w14:textId="73D3D4D8" w:rsidR="005E46F9" w:rsidRPr="00567307" w:rsidRDefault="00A5347D" w:rsidP="00567307">
      <w:pPr>
        <w:spacing w:after="0" w:line="240" w:lineRule="auto"/>
        <w:jc w:val="both"/>
        <w:rPr>
          <w:b/>
          <w:bCs/>
          <w:sz w:val="22"/>
          <w:szCs w:val="22"/>
        </w:rPr>
      </w:pPr>
      <w:r w:rsidRPr="00A5347D">
        <w:rPr>
          <w:b/>
          <w:bCs/>
          <w:sz w:val="22"/>
          <w:szCs w:val="22"/>
        </w:rPr>
        <w:t>Q27. Are there divisions of COFOG that need a new group, class, or subclass?</w:t>
      </w:r>
    </w:p>
    <w:p w14:paraId="6A0DDDF6" w14:textId="6DD7A552" w:rsidR="005E46F9" w:rsidRDefault="005E46F9" w:rsidP="00532DFD">
      <w:pPr>
        <w:spacing w:after="0" w:line="240" w:lineRule="auto"/>
        <w:jc w:val="both"/>
        <w:rPr>
          <w:sz w:val="22"/>
          <w:szCs w:val="22"/>
        </w:rPr>
      </w:pPr>
      <w:r>
        <w:rPr>
          <w:noProof/>
          <w:sz w:val="22"/>
          <w:szCs w:val="22"/>
        </w:rPr>
        <w:drawing>
          <wp:inline distT="0" distB="0" distL="0" distR="0" wp14:anchorId="04EE3168" wp14:editId="116E9C7E">
            <wp:extent cx="4299857" cy="1400175"/>
            <wp:effectExtent l="0" t="0" r="5715" b="0"/>
            <wp:docPr id="18642884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E6CBD7A" w14:textId="1848B20F" w:rsidR="00532DFD" w:rsidRDefault="00C535EC" w:rsidP="00532DFD">
      <w:pPr>
        <w:spacing w:after="0" w:line="240" w:lineRule="auto"/>
        <w:jc w:val="both"/>
        <w:rPr>
          <w:sz w:val="22"/>
          <w:szCs w:val="22"/>
        </w:rPr>
      </w:pPr>
      <w:r>
        <w:rPr>
          <w:sz w:val="22"/>
          <w:szCs w:val="22"/>
        </w:rPr>
        <w:t xml:space="preserve">Most respondents </w:t>
      </w:r>
      <w:r w:rsidR="002766DA">
        <w:rPr>
          <w:sz w:val="22"/>
          <w:szCs w:val="22"/>
        </w:rPr>
        <w:t>(64%</w:t>
      </w:r>
      <w:r w:rsidR="005E46F9">
        <w:rPr>
          <w:sz w:val="22"/>
          <w:szCs w:val="22"/>
        </w:rPr>
        <w:t>, n=55</w:t>
      </w:r>
      <w:r w:rsidR="002766DA">
        <w:rPr>
          <w:sz w:val="22"/>
          <w:szCs w:val="22"/>
        </w:rPr>
        <w:t xml:space="preserve">) did not see a need for new groups, classes or subclasses in the current COFOG divisions.  </w:t>
      </w:r>
    </w:p>
    <w:p w14:paraId="069CB6A1" w14:textId="77777777" w:rsidR="00C535EC" w:rsidRDefault="00C535EC" w:rsidP="00532DFD">
      <w:pPr>
        <w:spacing w:after="0" w:line="240" w:lineRule="auto"/>
        <w:jc w:val="both"/>
        <w:rPr>
          <w:sz w:val="22"/>
          <w:szCs w:val="22"/>
        </w:rPr>
      </w:pPr>
    </w:p>
    <w:p w14:paraId="09929BF0" w14:textId="77777777" w:rsidR="0070627F" w:rsidRDefault="0070627F" w:rsidP="00532DFD">
      <w:pPr>
        <w:spacing w:after="0" w:line="240" w:lineRule="auto"/>
        <w:jc w:val="both"/>
        <w:rPr>
          <w:sz w:val="22"/>
          <w:szCs w:val="22"/>
        </w:rPr>
      </w:pPr>
    </w:p>
    <w:p w14:paraId="0CADDEDE" w14:textId="587501E7" w:rsidR="00532DFD" w:rsidRPr="00C964EC" w:rsidRDefault="00532DFD" w:rsidP="00532DFD">
      <w:pPr>
        <w:spacing w:after="0" w:line="240" w:lineRule="auto"/>
        <w:jc w:val="both"/>
        <w:rPr>
          <w:b/>
          <w:bCs/>
          <w:sz w:val="22"/>
          <w:szCs w:val="22"/>
        </w:rPr>
      </w:pPr>
      <w:r w:rsidRPr="00C964EC">
        <w:rPr>
          <w:b/>
          <w:bCs/>
          <w:sz w:val="22"/>
          <w:szCs w:val="22"/>
        </w:rPr>
        <w:t>If yes, please specify</w:t>
      </w:r>
    </w:p>
    <w:p w14:paraId="4BE13FAE" w14:textId="77777777" w:rsidR="00EE4BCD" w:rsidRDefault="00EE4BCD" w:rsidP="00EE4BCD">
      <w:pPr>
        <w:spacing w:after="0" w:line="240" w:lineRule="auto"/>
        <w:jc w:val="both"/>
        <w:rPr>
          <w:color w:val="FF0000"/>
          <w:sz w:val="22"/>
          <w:szCs w:val="22"/>
        </w:rPr>
      </w:pPr>
    </w:p>
    <w:p w14:paraId="7955EDDC" w14:textId="77777777" w:rsidR="009229FA" w:rsidRDefault="00C101DD" w:rsidP="0071419E">
      <w:pPr>
        <w:spacing w:after="0" w:line="240" w:lineRule="auto"/>
        <w:jc w:val="both"/>
        <w:rPr>
          <w:sz w:val="22"/>
          <w:szCs w:val="22"/>
        </w:rPr>
      </w:pPr>
      <w:r w:rsidRPr="009229FA">
        <w:rPr>
          <w:sz w:val="22"/>
          <w:szCs w:val="22"/>
        </w:rPr>
        <w:t>There were a number of responses to this question</w:t>
      </w:r>
      <w:r w:rsidR="007D1302" w:rsidRPr="009229FA">
        <w:rPr>
          <w:sz w:val="22"/>
          <w:szCs w:val="22"/>
        </w:rPr>
        <w:t xml:space="preserve">, covering nearly all divisions. </w:t>
      </w:r>
    </w:p>
    <w:p w14:paraId="5258A927" w14:textId="77777777" w:rsidR="009229FA" w:rsidRDefault="009229FA" w:rsidP="0071419E">
      <w:pPr>
        <w:spacing w:after="0" w:line="240" w:lineRule="auto"/>
        <w:jc w:val="both"/>
        <w:rPr>
          <w:sz w:val="22"/>
          <w:szCs w:val="22"/>
        </w:rPr>
      </w:pPr>
    </w:p>
    <w:p w14:paraId="0B69D6F7" w14:textId="2CAEF05A" w:rsidR="00C964EC" w:rsidRPr="00450C7E" w:rsidRDefault="00A21F92" w:rsidP="009229FA">
      <w:pPr>
        <w:spacing w:after="0" w:line="240" w:lineRule="auto"/>
        <w:jc w:val="both"/>
        <w:rPr>
          <w:sz w:val="22"/>
          <w:szCs w:val="22"/>
        </w:rPr>
      </w:pPr>
      <w:r w:rsidRPr="009229FA">
        <w:rPr>
          <w:sz w:val="22"/>
          <w:szCs w:val="22"/>
        </w:rPr>
        <w:t xml:space="preserve">Most commonly mentioned were proposed new categories in </w:t>
      </w:r>
      <w:r w:rsidR="00F72951" w:rsidRPr="009229FA">
        <w:rPr>
          <w:sz w:val="22"/>
          <w:szCs w:val="22"/>
        </w:rPr>
        <w:t xml:space="preserve">Division 01 </w:t>
      </w:r>
      <w:r w:rsidR="00EC3B02" w:rsidRPr="009229FA">
        <w:rPr>
          <w:sz w:val="22"/>
          <w:szCs w:val="22"/>
        </w:rPr>
        <w:t>-</w:t>
      </w:r>
      <w:r w:rsidR="00F72951" w:rsidRPr="009229FA">
        <w:rPr>
          <w:sz w:val="22"/>
          <w:szCs w:val="22"/>
        </w:rPr>
        <w:t xml:space="preserve"> </w:t>
      </w:r>
      <w:r w:rsidR="00A6375A" w:rsidRPr="009229FA">
        <w:rPr>
          <w:sz w:val="22"/>
          <w:szCs w:val="22"/>
        </w:rPr>
        <w:t xml:space="preserve">General Public Services (including </w:t>
      </w:r>
      <w:r w:rsidR="00B81A05" w:rsidRPr="009229FA">
        <w:rPr>
          <w:sz w:val="22"/>
          <w:szCs w:val="22"/>
        </w:rPr>
        <w:t xml:space="preserve">external affairs, </w:t>
      </w:r>
      <w:r w:rsidR="001A7DA7" w:rsidRPr="009229FA">
        <w:rPr>
          <w:sz w:val="22"/>
          <w:szCs w:val="22"/>
        </w:rPr>
        <w:t xml:space="preserve">additional breakdowns for public debt transactions); </w:t>
      </w:r>
      <w:r w:rsidR="00580ABA" w:rsidRPr="009229FA">
        <w:rPr>
          <w:sz w:val="22"/>
          <w:szCs w:val="22"/>
        </w:rPr>
        <w:t xml:space="preserve">Division </w:t>
      </w:r>
      <w:r w:rsidR="00170578" w:rsidRPr="009229FA">
        <w:rPr>
          <w:sz w:val="22"/>
          <w:szCs w:val="22"/>
        </w:rPr>
        <w:t>0</w:t>
      </w:r>
      <w:r w:rsidR="00580ABA" w:rsidRPr="009229FA">
        <w:rPr>
          <w:sz w:val="22"/>
          <w:szCs w:val="22"/>
        </w:rPr>
        <w:t xml:space="preserve">4 - </w:t>
      </w:r>
      <w:r w:rsidR="00510CF8" w:rsidRPr="009229FA">
        <w:rPr>
          <w:sz w:val="22"/>
          <w:szCs w:val="22"/>
        </w:rPr>
        <w:t>Economic Affairs (</w:t>
      </w:r>
      <w:r w:rsidR="00F341A6" w:rsidRPr="009229FA">
        <w:rPr>
          <w:sz w:val="22"/>
          <w:szCs w:val="22"/>
        </w:rPr>
        <w:t xml:space="preserve">including </w:t>
      </w:r>
      <w:r w:rsidR="00A90258" w:rsidRPr="009229FA">
        <w:rPr>
          <w:sz w:val="22"/>
          <w:szCs w:val="22"/>
        </w:rPr>
        <w:t>resource</w:t>
      </w:r>
      <w:r w:rsidR="00460511" w:rsidRPr="009229FA">
        <w:rPr>
          <w:sz w:val="22"/>
          <w:szCs w:val="22"/>
        </w:rPr>
        <w:t xml:space="preserve"> conservation</w:t>
      </w:r>
      <w:r w:rsidR="00EC1131" w:rsidRPr="009229FA">
        <w:rPr>
          <w:sz w:val="22"/>
          <w:szCs w:val="22"/>
        </w:rPr>
        <w:t>/protection</w:t>
      </w:r>
      <w:r w:rsidR="00460511" w:rsidRPr="009229FA">
        <w:rPr>
          <w:sz w:val="22"/>
          <w:szCs w:val="22"/>
        </w:rPr>
        <w:t xml:space="preserve">, </w:t>
      </w:r>
      <w:r w:rsidR="00F619E9" w:rsidRPr="009229FA">
        <w:rPr>
          <w:sz w:val="22"/>
          <w:szCs w:val="22"/>
        </w:rPr>
        <w:t xml:space="preserve">flood control, </w:t>
      </w:r>
      <w:r w:rsidR="00E756D3" w:rsidRPr="009229FA">
        <w:rPr>
          <w:sz w:val="22"/>
          <w:szCs w:val="22"/>
        </w:rPr>
        <w:t>renewable energy</w:t>
      </w:r>
      <w:r w:rsidR="00290D06" w:rsidRPr="009229FA">
        <w:rPr>
          <w:sz w:val="22"/>
          <w:szCs w:val="22"/>
        </w:rPr>
        <w:t>, public transport services to households</w:t>
      </w:r>
      <w:r w:rsidR="00CF0387" w:rsidRPr="009229FA">
        <w:rPr>
          <w:sz w:val="22"/>
          <w:szCs w:val="22"/>
        </w:rPr>
        <w:t xml:space="preserve"> and space transport)</w:t>
      </w:r>
      <w:r w:rsidR="00580ABA" w:rsidRPr="009229FA">
        <w:rPr>
          <w:sz w:val="22"/>
          <w:szCs w:val="22"/>
        </w:rPr>
        <w:t xml:space="preserve">; Division 05 </w:t>
      </w:r>
      <w:r w:rsidR="0004424D" w:rsidRPr="009229FA">
        <w:rPr>
          <w:sz w:val="22"/>
          <w:szCs w:val="22"/>
        </w:rPr>
        <w:t>-</w:t>
      </w:r>
      <w:r w:rsidR="00580ABA" w:rsidRPr="009229FA">
        <w:rPr>
          <w:sz w:val="22"/>
          <w:szCs w:val="22"/>
        </w:rPr>
        <w:t xml:space="preserve"> </w:t>
      </w:r>
      <w:r w:rsidR="006F10F5" w:rsidRPr="009229FA">
        <w:rPr>
          <w:sz w:val="22"/>
          <w:szCs w:val="22"/>
        </w:rPr>
        <w:t>Environmental Protection (</w:t>
      </w:r>
      <w:r w:rsidR="00322C3C" w:rsidRPr="009229FA">
        <w:rPr>
          <w:sz w:val="22"/>
          <w:szCs w:val="22"/>
        </w:rPr>
        <w:t xml:space="preserve">including </w:t>
      </w:r>
      <w:r w:rsidR="00BD2422" w:rsidRPr="009229FA">
        <w:rPr>
          <w:sz w:val="22"/>
          <w:szCs w:val="22"/>
        </w:rPr>
        <w:t>pollution reduction</w:t>
      </w:r>
      <w:r w:rsidR="00C23AAA" w:rsidRPr="009229FA">
        <w:rPr>
          <w:sz w:val="22"/>
          <w:szCs w:val="22"/>
        </w:rPr>
        <w:t xml:space="preserve">, energy, </w:t>
      </w:r>
      <w:r w:rsidR="004E4592" w:rsidRPr="009229FA">
        <w:rPr>
          <w:sz w:val="22"/>
          <w:szCs w:val="22"/>
        </w:rPr>
        <w:t>waste management, materials recovery</w:t>
      </w:r>
      <w:r w:rsidR="00C76788" w:rsidRPr="009229FA">
        <w:rPr>
          <w:sz w:val="22"/>
          <w:szCs w:val="22"/>
        </w:rPr>
        <w:t xml:space="preserve"> and nuclear safety); </w:t>
      </w:r>
      <w:r w:rsidR="005E6FBB" w:rsidRPr="009229FA">
        <w:rPr>
          <w:sz w:val="22"/>
          <w:szCs w:val="22"/>
        </w:rPr>
        <w:t xml:space="preserve">and </w:t>
      </w:r>
      <w:r w:rsidR="00C76788" w:rsidRPr="009229FA">
        <w:rPr>
          <w:sz w:val="22"/>
          <w:szCs w:val="22"/>
        </w:rPr>
        <w:t xml:space="preserve">Division </w:t>
      </w:r>
      <w:r w:rsidR="005E6FBB" w:rsidRPr="009229FA">
        <w:rPr>
          <w:sz w:val="22"/>
          <w:szCs w:val="22"/>
        </w:rPr>
        <w:t>10</w:t>
      </w:r>
      <w:r w:rsidR="00C76788" w:rsidRPr="009229FA">
        <w:rPr>
          <w:sz w:val="22"/>
          <w:szCs w:val="22"/>
        </w:rPr>
        <w:t xml:space="preserve"> </w:t>
      </w:r>
      <w:r w:rsidR="00BA293B" w:rsidRPr="009229FA">
        <w:rPr>
          <w:sz w:val="22"/>
          <w:szCs w:val="22"/>
        </w:rPr>
        <w:t>-</w:t>
      </w:r>
      <w:r w:rsidR="005E6FBB" w:rsidRPr="009229FA">
        <w:rPr>
          <w:sz w:val="22"/>
          <w:szCs w:val="22"/>
        </w:rPr>
        <w:t xml:space="preserve"> </w:t>
      </w:r>
      <w:r w:rsidR="005E37D9" w:rsidRPr="009229FA">
        <w:rPr>
          <w:sz w:val="22"/>
          <w:szCs w:val="22"/>
        </w:rPr>
        <w:t>Social Protection (including</w:t>
      </w:r>
      <w:r w:rsidR="00FB41FC" w:rsidRPr="009229FA">
        <w:rPr>
          <w:sz w:val="22"/>
          <w:szCs w:val="22"/>
        </w:rPr>
        <w:t xml:space="preserve"> </w:t>
      </w:r>
      <w:r w:rsidR="0071419E" w:rsidRPr="009229FA">
        <w:rPr>
          <w:sz w:val="22"/>
          <w:szCs w:val="22"/>
        </w:rPr>
        <w:t>additional breakdowns for</w:t>
      </w:r>
      <w:r w:rsidR="0071419E" w:rsidRPr="009229FA">
        <w:t xml:space="preserve"> </w:t>
      </w:r>
      <w:r w:rsidR="0071419E" w:rsidRPr="009229FA">
        <w:rPr>
          <w:sz w:val="22"/>
          <w:szCs w:val="22"/>
        </w:rPr>
        <w:t xml:space="preserve">Social exclusion n.e.c.).   </w:t>
      </w:r>
    </w:p>
    <w:p w14:paraId="6917E474" w14:textId="77777777" w:rsidR="002A5B11" w:rsidRDefault="002A5B11" w:rsidP="007457FE">
      <w:pPr>
        <w:spacing w:after="0" w:line="240" w:lineRule="auto"/>
        <w:jc w:val="both"/>
        <w:rPr>
          <w:b/>
          <w:bCs/>
          <w:sz w:val="22"/>
          <w:szCs w:val="22"/>
        </w:rPr>
      </w:pPr>
    </w:p>
    <w:p w14:paraId="67284C2C" w14:textId="3DF5A3BA" w:rsidR="007457FE" w:rsidRPr="007457FE" w:rsidRDefault="007457FE" w:rsidP="007457FE">
      <w:pPr>
        <w:spacing w:after="0" w:line="240" w:lineRule="auto"/>
        <w:jc w:val="both"/>
        <w:rPr>
          <w:sz w:val="22"/>
          <w:szCs w:val="22"/>
        </w:rPr>
      </w:pPr>
      <w:r w:rsidRPr="007457FE">
        <w:rPr>
          <w:sz w:val="22"/>
          <w:szCs w:val="22"/>
        </w:rPr>
        <w:t>----------------------------------------------------------------------------------------------------------------------------</w:t>
      </w:r>
    </w:p>
    <w:p w14:paraId="5369686A" w14:textId="77777777" w:rsidR="0099647A" w:rsidRDefault="0099647A" w:rsidP="00485B5A">
      <w:pPr>
        <w:spacing w:after="0" w:line="240" w:lineRule="auto"/>
        <w:jc w:val="both"/>
        <w:rPr>
          <w:b/>
          <w:bCs/>
          <w:sz w:val="22"/>
          <w:szCs w:val="22"/>
        </w:rPr>
      </w:pPr>
    </w:p>
    <w:p w14:paraId="14F30395" w14:textId="63ED2D38" w:rsidR="001E2D86" w:rsidRPr="00036A3A" w:rsidRDefault="0099647A" w:rsidP="00036A3A">
      <w:pPr>
        <w:spacing w:after="0" w:line="240" w:lineRule="auto"/>
        <w:jc w:val="both"/>
        <w:rPr>
          <w:b/>
          <w:bCs/>
          <w:sz w:val="22"/>
          <w:szCs w:val="22"/>
        </w:rPr>
      </w:pPr>
      <w:r>
        <w:rPr>
          <w:b/>
          <w:bCs/>
          <w:sz w:val="22"/>
          <w:szCs w:val="22"/>
        </w:rPr>
        <w:t xml:space="preserve">Q28. </w:t>
      </w:r>
      <w:r w:rsidRPr="0099647A">
        <w:rPr>
          <w:b/>
          <w:bCs/>
          <w:sz w:val="22"/>
          <w:szCs w:val="22"/>
        </w:rPr>
        <w:t>In your view, are there divisions, groups or classes in COFOG that are now obsolete or less relevant to identify separately?</w:t>
      </w:r>
    </w:p>
    <w:p w14:paraId="44EE7AD5" w14:textId="05525109" w:rsidR="001E2D86" w:rsidRDefault="001E2D86" w:rsidP="00485B5A">
      <w:pPr>
        <w:spacing w:after="0" w:line="240" w:lineRule="auto"/>
        <w:jc w:val="both"/>
        <w:rPr>
          <w:sz w:val="22"/>
          <w:szCs w:val="22"/>
        </w:rPr>
      </w:pPr>
      <w:r>
        <w:rPr>
          <w:noProof/>
          <w:sz w:val="22"/>
          <w:szCs w:val="22"/>
        </w:rPr>
        <w:drawing>
          <wp:inline distT="0" distB="0" distL="0" distR="0" wp14:anchorId="41FB6E5B" wp14:editId="196C83E8">
            <wp:extent cx="3423285" cy="1400175"/>
            <wp:effectExtent l="0" t="0" r="5715" b="0"/>
            <wp:docPr id="142109700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A95F23E" w14:textId="6BD35900" w:rsidR="008A456B" w:rsidRDefault="008F08F0" w:rsidP="00485B5A">
      <w:pPr>
        <w:spacing w:after="0" w:line="240" w:lineRule="auto"/>
        <w:jc w:val="both"/>
        <w:rPr>
          <w:sz w:val="22"/>
          <w:szCs w:val="22"/>
        </w:rPr>
      </w:pPr>
      <w:r>
        <w:rPr>
          <w:sz w:val="22"/>
          <w:szCs w:val="22"/>
        </w:rPr>
        <w:t xml:space="preserve">The majority of respondents </w:t>
      </w:r>
      <w:r w:rsidR="00E5060A">
        <w:rPr>
          <w:sz w:val="22"/>
          <w:szCs w:val="22"/>
        </w:rPr>
        <w:t>(78%</w:t>
      </w:r>
      <w:r w:rsidR="001E2D86">
        <w:rPr>
          <w:sz w:val="22"/>
          <w:szCs w:val="22"/>
        </w:rPr>
        <w:t>, n</w:t>
      </w:r>
      <w:r w:rsidR="00036A3A">
        <w:rPr>
          <w:sz w:val="22"/>
          <w:szCs w:val="22"/>
        </w:rPr>
        <w:t>=64</w:t>
      </w:r>
      <w:r w:rsidR="00E5060A">
        <w:rPr>
          <w:sz w:val="22"/>
          <w:szCs w:val="22"/>
        </w:rPr>
        <w:t xml:space="preserve">) </w:t>
      </w:r>
      <w:r w:rsidR="005F74C5">
        <w:rPr>
          <w:sz w:val="22"/>
          <w:szCs w:val="22"/>
        </w:rPr>
        <w:t>did not note any</w:t>
      </w:r>
      <w:r w:rsidR="00E5060A">
        <w:rPr>
          <w:sz w:val="22"/>
          <w:szCs w:val="22"/>
        </w:rPr>
        <w:t xml:space="preserve"> obsolete or irrelevant categories in the current COFOG classification.  </w:t>
      </w:r>
    </w:p>
    <w:p w14:paraId="6B16EC26" w14:textId="77777777" w:rsidR="008A456B" w:rsidRDefault="008A456B" w:rsidP="00485B5A">
      <w:pPr>
        <w:spacing w:after="0" w:line="240" w:lineRule="auto"/>
        <w:jc w:val="both"/>
        <w:rPr>
          <w:sz w:val="22"/>
          <w:szCs w:val="22"/>
        </w:rPr>
      </w:pPr>
    </w:p>
    <w:p w14:paraId="01DDBF43" w14:textId="7FC6989A" w:rsidR="008A456B" w:rsidRPr="00C964EC" w:rsidRDefault="008A456B" w:rsidP="008A456B">
      <w:pPr>
        <w:spacing w:after="0" w:line="240" w:lineRule="auto"/>
        <w:jc w:val="both"/>
        <w:rPr>
          <w:b/>
          <w:bCs/>
          <w:sz w:val="22"/>
          <w:szCs w:val="22"/>
        </w:rPr>
      </w:pPr>
      <w:r w:rsidRPr="00C964EC">
        <w:rPr>
          <w:b/>
          <w:bCs/>
          <w:sz w:val="22"/>
          <w:szCs w:val="22"/>
        </w:rPr>
        <w:t>If yes, please specify</w:t>
      </w:r>
    </w:p>
    <w:p w14:paraId="47C20B0C" w14:textId="77777777" w:rsidR="008A456B" w:rsidRDefault="008A456B" w:rsidP="00485B5A">
      <w:pPr>
        <w:spacing w:after="0" w:line="240" w:lineRule="auto"/>
        <w:jc w:val="both"/>
        <w:rPr>
          <w:sz w:val="22"/>
          <w:szCs w:val="22"/>
        </w:rPr>
      </w:pPr>
    </w:p>
    <w:p w14:paraId="0434D50B" w14:textId="293A3759" w:rsidR="00DD7682" w:rsidRPr="00714C47" w:rsidRDefault="00B802CF" w:rsidP="00485B5A">
      <w:pPr>
        <w:spacing w:after="0" w:line="240" w:lineRule="auto"/>
        <w:jc w:val="both"/>
        <w:rPr>
          <w:sz w:val="22"/>
          <w:szCs w:val="22"/>
        </w:rPr>
      </w:pPr>
      <w:r w:rsidRPr="00714C47">
        <w:rPr>
          <w:sz w:val="22"/>
          <w:szCs w:val="22"/>
        </w:rPr>
        <w:t xml:space="preserve">Among the </w:t>
      </w:r>
      <w:r w:rsidR="005F74C5" w:rsidRPr="00714C47">
        <w:rPr>
          <w:sz w:val="22"/>
          <w:szCs w:val="22"/>
        </w:rPr>
        <w:t>respondents who did</w:t>
      </w:r>
      <w:r w:rsidRPr="00714C47">
        <w:rPr>
          <w:sz w:val="22"/>
          <w:szCs w:val="22"/>
        </w:rPr>
        <w:t xml:space="preserve">, </w:t>
      </w:r>
      <w:r w:rsidR="00697097" w:rsidRPr="00714C47">
        <w:rPr>
          <w:sz w:val="22"/>
          <w:szCs w:val="22"/>
        </w:rPr>
        <w:t xml:space="preserve">more than half noted 06.4 </w:t>
      </w:r>
      <w:r w:rsidR="00036A3A">
        <w:rPr>
          <w:sz w:val="22"/>
          <w:szCs w:val="22"/>
        </w:rPr>
        <w:t>-</w:t>
      </w:r>
      <w:r w:rsidR="00697097" w:rsidRPr="00714C47">
        <w:rPr>
          <w:sz w:val="22"/>
          <w:szCs w:val="22"/>
        </w:rPr>
        <w:t xml:space="preserve"> Street lighting.  </w:t>
      </w:r>
      <w:r w:rsidR="00143544" w:rsidRPr="00714C47">
        <w:rPr>
          <w:sz w:val="22"/>
          <w:szCs w:val="22"/>
        </w:rPr>
        <w:t>No other categories were mentioned by more than one respondent</w:t>
      </w:r>
      <w:r w:rsidR="00714C47" w:rsidRPr="00714C47">
        <w:rPr>
          <w:sz w:val="22"/>
          <w:szCs w:val="22"/>
        </w:rPr>
        <w:t>.</w:t>
      </w:r>
    </w:p>
    <w:p w14:paraId="54B8E6D0" w14:textId="77777777" w:rsidR="0099647A" w:rsidRDefault="0099647A" w:rsidP="007457FE">
      <w:pPr>
        <w:spacing w:after="0" w:line="240" w:lineRule="auto"/>
        <w:jc w:val="both"/>
        <w:rPr>
          <w:b/>
          <w:bCs/>
          <w:sz w:val="22"/>
          <w:szCs w:val="22"/>
        </w:rPr>
      </w:pPr>
    </w:p>
    <w:p w14:paraId="167610E0" w14:textId="77777777" w:rsidR="007457FE" w:rsidRPr="007457FE" w:rsidRDefault="007457FE" w:rsidP="007457FE">
      <w:pPr>
        <w:spacing w:after="0" w:line="240" w:lineRule="auto"/>
        <w:jc w:val="both"/>
        <w:rPr>
          <w:sz w:val="22"/>
          <w:szCs w:val="22"/>
        </w:rPr>
      </w:pPr>
      <w:r w:rsidRPr="007457FE">
        <w:rPr>
          <w:sz w:val="22"/>
          <w:szCs w:val="22"/>
        </w:rPr>
        <w:t>----------------------------------------------------------------------------------------------------------------------------</w:t>
      </w:r>
    </w:p>
    <w:p w14:paraId="1E755622" w14:textId="77777777" w:rsidR="007457FE" w:rsidRPr="00671399" w:rsidRDefault="007457FE" w:rsidP="007457FE">
      <w:pPr>
        <w:spacing w:after="0" w:line="240" w:lineRule="auto"/>
        <w:jc w:val="both"/>
        <w:rPr>
          <w:b/>
          <w:bCs/>
          <w:sz w:val="22"/>
          <w:szCs w:val="22"/>
        </w:rPr>
      </w:pPr>
    </w:p>
    <w:p w14:paraId="383564EB" w14:textId="3358C4F1" w:rsidR="00036A3A" w:rsidRPr="00CA02A7" w:rsidRDefault="002D0217" w:rsidP="00CA02A7">
      <w:pPr>
        <w:spacing w:after="0" w:line="240" w:lineRule="auto"/>
        <w:jc w:val="both"/>
        <w:rPr>
          <w:b/>
          <w:bCs/>
          <w:sz w:val="22"/>
          <w:szCs w:val="22"/>
        </w:rPr>
      </w:pPr>
      <w:r>
        <w:rPr>
          <w:b/>
          <w:bCs/>
          <w:sz w:val="22"/>
          <w:szCs w:val="22"/>
        </w:rPr>
        <w:t xml:space="preserve">Q29. </w:t>
      </w:r>
      <w:r w:rsidRPr="002D0217">
        <w:rPr>
          <w:b/>
          <w:bCs/>
          <w:sz w:val="22"/>
          <w:szCs w:val="22"/>
        </w:rPr>
        <w:t>Are there any modifications or national adaptations to the COFOG classification that your institution has made to facilitate the collection or dissemination/publication of government expenditure data in your country?</w:t>
      </w:r>
    </w:p>
    <w:p w14:paraId="4460D65A" w14:textId="22D5C060" w:rsidR="00036A3A" w:rsidRDefault="00036A3A" w:rsidP="00BE7E1E">
      <w:pPr>
        <w:spacing w:after="0" w:line="240" w:lineRule="auto"/>
        <w:jc w:val="both"/>
        <w:rPr>
          <w:sz w:val="22"/>
          <w:szCs w:val="22"/>
        </w:rPr>
      </w:pPr>
      <w:r>
        <w:rPr>
          <w:noProof/>
          <w:sz w:val="22"/>
          <w:szCs w:val="22"/>
        </w:rPr>
        <w:drawing>
          <wp:inline distT="0" distB="0" distL="0" distR="0" wp14:anchorId="7D41EA6E" wp14:editId="51BF7D7F">
            <wp:extent cx="3423285" cy="1400175"/>
            <wp:effectExtent l="0" t="0" r="5715" b="0"/>
            <wp:docPr id="78832879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898CCED" w14:textId="670CECF7" w:rsidR="00697097" w:rsidRDefault="004C597A" w:rsidP="00BE7E1E">
      <w:pPr>
        <w:spacing w:after="0" w:line="240" w:lineRule="auto"/>
        <w:jc w:val="both"/>
        <w:rPr>
          <w:sz w:val="22"/>
          <w:szCs w:val="22"/>
        </w:rPr>
      </w:pPr>
      <w:r>
        <w:rPr>
          <w:sz w:val="22"/>
          <w:szCs w:val="22"/>
        </w:rPr>
        <w:t xml:space="preserve">Most respondents </w:t>
      </w:r>
      <w:r w:rsidR="003A1EFA">
        <w:rPr>
          <w:sz w:val="22"/>
          <w:szCs w:val="22"/>
        </w:rPr>
        <w:t>(7</w:t>
      </w:r>
      <w:r w:rsidR="00855358">
        <w:rPr>
          <w:sz w:val="22"/>
          <w:szCs w:val="22"/>
        </w:rPr>
        <w:t>4</w:t>
      </w:r>
      <w:r w:rsidR="003A1EFA">
        <w:rPr>
          <w:sz w:val="22"/>
          <w:szCs w:val="22"/>
        </w:rPr>
        <w:t>%</w:t>
      </w:r>
      <w:r w:rsidR="00CA02A7">
        <w:rPr>
          <w:sz w:val="22"/>
          <w:szCs w:val="22"/>
        </w:rPr>
        <w:t>, n=64</w:t>
      </w:r>
      <w:r w:rsidR="003A1EFA">
        <w:rPr>
          <w:sz w:val="22"/>
          <w:szCs w:val="22"/>
        </w:rPr>
        <w:t xml:space="preserve">) </w:t>
      </w:r>
      <w:r>
        <w:rPr>
          <w:sz w:val="22"/>
          <w:szCs w:val="22"/>
        </w:rPr>
        <w:t xml:space="preserve">did not note any </w:t>
      </w:r>
      <w:r w:rsidR="003A1EFA">
        <w:rPr>
          <w:sz w:val="22"/>
          <w:szCs w:val="22"/>
        </w:rPr>
        <w:t xml:space="preserve">modifications or national adaptations used by their institution.  </w:t>
      </w:r>
    </w:p>
    <w:p w14:paraId="760BE415" w14:textId="77777777" w:rsidR="00697097" w:rsidRDefault="00697097" w:rsidP="00BE7E1E">
      <w:pPr>
        <w:spacing w:after="0" w:line="240" w:lineRule="auto"/>
        <w:jc w:val="both"/>
        <w:rPr>
          <w:sz w:val="22"/>
          <w:szCs w:val="22"/>
        </w:rPr>
      </w:pPr>
    </w:p>
    <w:p w14:paraId="2BA5E45F" w14:textId="38577412" w:rsidR="00BE7E1E" w:rsidRPr="00671399" w:rsidRDefault="00BE7E1E" w:rsidP="00BE7E1E">
      <w:pPr>
        <w:spacing w:after="0" w:line="240" w:lineRule="auto"/>
        <w:jc w:val="both"/>
        <w:rPr>
          <w:b/>
          <w:bCs/>
          <w:sz w:val="22"/>
          <w:szCs w:val="22"/>
        </w:rPr>
      </w:pPr>
      <w:r w:rsidRPr="00671399">
        <w:rPr>
          <w:b/>
          <w:bCs/>
          <w:sz w:val="22"/>
          <w:szCs w:val="22"/>
        </w:rPr>
        <w:t>If yes, please explain</w:t>
      </w:r>
    </w:p>
    <w:p w14:paraId="05FDA546" w14:textId="77777777" w:rsidR="00644FD3" w:rsidRPr="00671399" w:rsidRDefault="00644FD3" w:rsidP="00BE7E1E">
      <w:pPr>
        <w:spacing w:after="0" w:line="240" w:lineRule="auto"/>
        <w:jc w:val="both"/>
        <w:rPr>
          <w:sz w:val="22"/>
          <w:szCs w:val="22"/>
        </w:rPr>
      </w:pPr>
    </w:p>
    <w:p w14:paraId="5A03325C" w14:textId="77777777" w:rsidR="00EC2F06" w:rsidRDefault="00C55825" w:rsidP="00644FD3">
      <w:pPr>
        <w:spacing w:after="0" w:line="240" w:lineRule="auto"/>
        <w:jc w:val="both"/>
        <w:rPr>
          <w:sz w:val="22"/>
          <w:szCs w:val="22"/>
        </w:rPr>
      </w:pPr>
      <w:r>
        <w:rPr>
          <w:sz w:val="22"/>
          <w:szCs w:val="22"/>
        </w:rPr>
        <w:t xml:space="preserve">Some respondents </w:t>
      </w:r>
      <w:r w:rsidR="007428BF">
        <w:rPr>
          <w:sz w:val="22"/>
          <w:szCs w:val="22"/>
        </w:rPr>
        <w:t xml:space="preserve">described their national adaptations of COFOG, which generally provide additional levels of detail </w:t>
      </w:r>
      <w:r w:rsidR="004A7025">
        <w:rPr>
          <w:sz w:val="22"/>
          <w:szCs w:val="22"/>
        </w:rPr>
        <w:t>in areas such as transport</w:t>
      </w:r>
      <w:r w:rsidR="00867E68">
        <w:rPr>
          <w:sz w:val="22"/>
          <w:szCs w:val="22"/>
        </w:rPr>
        <w:t xml:space="preserve"> and education.  Others noted that their national adaptations </w:t>
      </w:r>
      <w:r w:rsidR="00A32C7F">
        <w:rPr>
          <w:sz w:val="22"/>
          <w:szCs w:val="22"/>
        </w:rPr>
        <w:t xml:space="preserve">have additional categories such as religion, or fewer categories based on </w:t>
      </w:r>
      <w:r w:rsidR="00377C66">
        <w:rPr>
          <w:sz w:val="22"/>
          <w:szCs w:val="22"/>
        </w:rPr>
        <w:t xml:space="preserve">data limitations.  </w:t>
      </w:r>
    </w:p>
    <w:p w14:paraId="260A9F92" w14:textId="77777777" w:rsidR="00CA4950" w:rsidRDefault="00CA4950" w:rsidP="00644FD3">
      <w:pPr>
        <w:spacing w:after="0" w:line="240" w:lineRule="auto"/>
        <w:jc w:val="both"/>
        <w:rPr>
          <w:sz w:val="22"/>
          <w:szCs w:val="22"/>
        </w:rPr>
      </w:pPr>
    </w:p>
    <w:p w14:paraId="2A162D12" w14:textId="1CF8F2EA" w:rsidR="00644FD3" w:rsidRPr="00C55825" w:rsidRDefault="00EC2F06" w:rsidP="00644FD3">
      <w:pPr>
        <w:spacing w:after="0" w:line="240" w:lineRule="auto"/>
        <w:jc w:val="both"/>
        <w:rPr>
          <w:sz w:val="22"/>
          <w:szCs w:val="22"/>
        </w:rPr>
      </w:pPr>
      <w:r>
        <w:rPr>
          <w:sz w:val="22"/>
          <w:szCs w:val="22"/>
        </w:rPr>
        <w:t xml:space="preserve">Alternatively, other respondents noted </w:t>
      </w:r>
      <w:r w:rsidR="00CA7326">
        <w:rPr>
          <w:sz w:val="22"/>
          <w:szCs w:val="22"/>
        </w:rPr>
        <w:t>their  use of satellite accounts</w:t>
      </w:r>
      <w:r w:rsidR="008678A5">
        <w:rPr>
          <w:sz w:val="22"/>
          <w:szCs w:val="22"/>
        </w:rPr>
        <w:t>, the ISIC classification</w:t>
      </w:r>
      <w:r w:rsidR="00C162AE">
        <w:rPr>
          <w:sz w:val="22"/>
          <w:szCs w:val="22"/>
        </w:rPr>
        <w:t xml:space="preserve">, or their own functional budget classification.  </w:t>
      </w:r>
      <w:r w:rsidR="00CA7326">
        <w:rPr>
          <w:sz w:val="22"/>
          <w:szCs w:val="22"/>
        </w:rPr>
        <w:t xml:space="preserve"> </w:t>
      </w:r>
      <w:r w:rsidR="00C55825">
        <w:rPr>
          <w:sz w:val="22"/>
          <w:szCs w:val="22"/>
        </w:rPr>
        <w:t xml:space="preserve"> </w:t>
      </w:r>
    </w:p>
    <w:p w14:paraId="292BC232" w14:textId="77777777" w:rsidR="00D907A7" w:rsidRPr="007457FE" w:rsidRDefault="00D907A7" w:rsidP="007457FE">
      <w:pPr>
        <w:spacing w:after="0" w:line="240" w:lineRule="auto"/>
        <w:jc w:val="both"/>
        <w:rPr>
          <w:sz w:val="22"/>
          <w:szCs w:val="22"/>
        </w:rPr>
      </w:pPr>
    </w:p>
    <w:p w14:paraId="14CAAA0D" w14:textId="77777777" w:rsidR="007457FE" w:rsidRPr="007457FE" w:rsidRDefault="007457FE" w:rsidP="007457FE">
      <w:pPr>
        <w:spacing w:after="0" w:line="240" w:lineRule="auto"/>
        <w:jc w:val="both"/>
        <w:rPr>
          <w:sz w:val="22"/>
          <w:szCs w:val="22"/>
        </w:rPr>
      </w:pPr>
      <w:r w:rsidRPr="007457FE">
        <w:rPr>
          <w:sz w:val="22"/>
          <w:szCs w:val="22"/>
        </w:rPr>
        <w:t>----------------------------------------------------------------------------------------------------------------------------</w:t>
      </w:r>
    </w:p>
    <w:p w14:paraId="74780484" w14:textId="77777777" w:rsidR="00895421" w:rsidRDefault="00895421" w:rsidP="007457FE">
      <w:pPr>
        <w:spacing w:after="0" w:line="240" w:lineRule="auto"/>
        <w:jc w:val="both"/>
        <w:rPr>
          <w:b/>
          <w:bCs/>
          <w:sz w:val="22"/>
          <w:szCs w:val="22"/>
        </w:rPr>
      </w:pPr>
    </w:p>
    <w:p w14:paraId="5AAE88EA" w14:textId="77777777" w:rsidR="002D0217" w:rsidRDefault="002D0217" w:rsidP="00485B5A">
      <w:pPr>
        <w:spacing w:after="0" w:line="240" w:lineRule="auto"/>
        <w:jc w:val="both"/>
        <w:rPr>
          <w:b/>
          <w:bCs/>
          <w:sz w:val="22"/>
          <w:szCs w:val="22"/>
        </w:rPr>
      </w:pPr>
    </w:p>
    <w:p w14:paraId="3F4C75E3" w14:textId="77777777" w:rsidR="00EC1650" w:rsidRDefault="00EC1650" w:rsidP="00485B5A">
      <w:pPr>
        <w:spacing w:after="0" w:line="240" w:lineRule="auto"/>
        <w:jc w:val="both"/>
        <w:rPr>
          <w:b/>
          <w:bCs/>
          <w:sz w:val="22"/>
          <w:szCs w:val="22"/>
          <w:u w:val="single"/>
        </w:rPr>
      </w:pPr>
    </w:p>
    <w:p w14:paraId="5D79A7AA" w14:textId="77777777" w:rsidR="00EC1650" w:rsidRDefault="00EC1650" w:rsidP="00485B5A">
      <w:pPr>
        <w:spacing w:after="0" w:line="240" w:lineRule="auto"/>
        <w:jc w:val="both"/>
        <w:rPr>
          <w:b/>
          <w:bCs/>
          <w:sz w:val="22"/>
          <w:szCs w:val="22"/>
          <w:u w:val="single"/>
        </w:rPr>
      </w:pPr>
    </w:p>
    <w:p w14:paraId="7AAED185" w14:textId="77777777" w:rsidR="00EC1650" w:rsidRDefault="00EC1650" w:rsidP="00485B5A">
      <w:pPr>
        <w:spacing w:after="0" w:line="240" w:lineRule="auto"/>
        <w:jc w:val="both"/>
        <w:rPr>
          <w:b/>
          <w:bCs/>
          <w:sz w:val="22"/>
          <w:szCs w:val="22"/>
          <w:u w:val="single"/>
        </w:rPr>
      </w:pPr>
    </w:p>
    <w:p w14:paraId="1D2AD1D3" w14:textId="77777777" w:rsidR="00E14F66" w:rsidRPr="00E14F66" w:rsidRDefault="00E14F66" w:rsidP="00630F00">
      <w:pPr>
        <w:jc w:val="both"/>
        <w:rPr>
          <w:b/>
          <w:bCs/>
          <w:sz w:val="22"/>
          <w:szCs w:val="22"/>
        </w:rPr>
      </w:pPr>
    </w:p>
    <w:p w14:paraId="1C5FC30C" w14:textId="77777777" w:rsidR="001C4731" w:rsidRDefault="001C4731">
      <w:pPr>
        <w:rPr>
          <w:rFonts w:asciiTheme="majorHAnsi" w:eastAsiaTheme="majorEastAsia" w:hAnsiTheme="majorHAnsi" w:cstheme="majorBidi"/>
          <w:b/>
          <w:bCs/>
          <w:sz w:val="22"/>
          <w:szCs w:val="22"/>
          <w:u w:val="single"/>
        </w:rPr>
      </w:pPr>
      <w:r>
        <w:rPr>
          <w:b/>
          <w:bCs/>
          <w:sz w:val="22"/>
          <w:szCs w:val="22"/>
          <w:u w:val="single"/>
        </w:rPr>
        <w:br w:type="page"/>
      </w:r>
    </w:p>
    <w:p w14:paraId="58B82639" w14:textId="12AD3940" w:rsidR="00B44121" w:rsidRPr="007D756D" w:rsidRDefault="00CA7112" w:rsidP="0095432C">
      <w:pPr>
        <w:pStyle w:val="Heading1"/>
      </w:pPr>
      <w:bookmarkStart w:id="19" w:name="_Toc195776393"/>
      <w:r w:rsidRPr="007D756D">
        <w:lastRenderedPageBreak/>
        <w:t xml:space="preserve">Annex </w:t>
      </w:r>
      <w:r>
        <w:t>I</w:t>
      </w:r>
      <w:r w:rsidRPr="007D756D">
        <w:t>. Questionnaire</w:t>
      </w:r>
      <w:bookmarkEnd w:id="19"/>
    </w:p>
    <w:p w14:paraId="3B507524" w14:textId="77777777" w:rsidR="00EC1650" w:rsidRDefault="00EC1650" w:rsidP="00485B5A">
      <w:pPr>
        <w:spacing w:after="0" w:line="240" w:lineRule="auto"/>
        <w:jc w:val="both"/>
        <w:rPr>
          <w:b/>
          <w:bCs/>
          <w:sz w:val="22"/>
          <w:szCs w:val="22"/>
          <w:u w:val="single"/>
        </w:rPr>
      </w:pPr>
    </w:p>
    <w:p w14:paraId="796D0352" w14:textId="14D88807" w:rsidR="0054112C" w:rsidRPr="000655FE" w:rsidRDefault="0054112C" w:rsidP="00806AD8">
      <w:pPr>
        <w:jc w:val="center"/>
        <w:rPr>
          <w:b/>
          <w:bCs/>
          <w:color w:val="156082" w:themeColor="accent1"/>
          <w:sz w:val="22"/>
          <w:szCs w:val="22"/>
        </w:rPr>
      </w:pPr>
      <w:r w:rsidRPr="000655FE">
        <w:rPr>
          <w:b/>
          <w:bCs/>
          <w:color w:val="156082" w:themeColor="accent1"/>
          <w:sz w:val="22"/>
          <w:szCs w:val="22"/>
        </w:rPr>
        <w:t>Global Consultation on the Initial List of Issues for the Update of the Classification of the Functions of Government (COFOG)</w:t>
      </w:r>
    </w:p>
    <w:p w14:paraId="66254830" w14:textId="77777777" w:rsidR="0054112C" w:rsidRPr="000655FE" w:rsidRDefault="0054112C" w:rsidP="0071481F">
      <w:pPr>
        <w:rPr>
          <w:b/>
          <w:bCs/>
          <w:color w:val="156082" w:themeColor="accent1"/>
          <w:sz w:val="22"/>
          <w:szCs w:val="22"/>
        </w:rPr>
      </w:pPr>
      <w:r w:rsidRPr="000655FE">
        <w:rPr>
          <w:b/>
          <w:bCs/>
          <w:color w:val="156082" w:themeColor="accent1"/>
          <w:sz w:val="22"/>
          <w:szCs w:val="22"/>
        </w:rPr>
        <w:t>Introduction</w:t>
      </w:r>
    </w:p>
    <w:p w14:paraId="3F4F584B"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The United Nations Statistical Commission (UNSC) at its fifty-third session in 2022 “recommended the revision of the Classification of the Functions of Government (COFOG) and an assessment of whether changes are required in the other classifications of expenditure according to purpose.” (</w:t>
      </w:r>
      <w:hyperlink r:id="rId38" w:history="1">
        <w:r w:rsidRPr="000655FE">
          <w:rPr>
            <w:rStyle w:val="Hyperlink"/>
            <w:rFonts w:eastAsia="Arial" w:cstheme="minorHAnsi"/>
            <w:sz w:val="20"/>
            <w:szCs w:val="20"/>
          </w:rPr>
          <w:t>Decision 53/125(i) of E/CN.3/2022/41</w:t>
        </w:r>
      </w:hyperlink>
      <w:r w:rsidRPr="000655FE">
        <w:rPr>
          <w:rFonts w:eastAsia="Arial" w:cstheme="minorHAnsi"/>
          <w:sz w:val="20"/>
          <w:szCs w:val="20"/>
        </w:rPr>
        <w:t xml:space="preserve">). </w:t>
      </w:r>
    </w:p>
    <w:p w14:paraId="61FAFC93" w14:textId="77777777" w:rsidR="0054112C" w:rsidRPr="000655FE" w:rsidRDefault="0054112C" w:rsidP="0054112C">
      <w:pPr>
        <w:spacing w:after="0" w:line="240" w:lineRule="auto"/>
        <w:jc w:val="both"/>
        <w:rPr>
          <w:rFonts w:eastAsia="Arial" w:cstheme="minorHAnsi"/>
          <w:sz w:val="20"/>
          <w:szCs w:val="20"/>
        </w:rPr>
      </w:pPr>
    </w:p>
    <w:p w14:paraId="74B8909B"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The update of COFOG will be carried out under the auspices of the</w:t>
      </w:r>
      <w:r w:rsidRPr="000655FE">
        <w:rPr>
          <w:sz w:val="20"/>
          <w:szCs w:val="20"/>
        </w:rPr>
        <w:t xml:space="preserve"> </w:t>
      </w:r>
      <w:r w:rsidRPr="000655FE">
        <w:rPr>
          <w:rFonts w:eastAsia="Arial" w:cstheme="minorHAnsi"/>
          <w:sz w:val="20"/>
          <w:szCs w:val="20"/>
        </w:rPr>
        <w:t>United Nations Committee of Experts on International Statistical Classifications (UNCEISC) and its Task Team on the Revision of COFOG (TT-COFOG). It is anticipated that the update will be completed by March 2027.</w:t>
      </w:r>
    </w:p>
    <w:p w14:paraId="67907827" w14:textId="77777777" w:rsidR="0054112C" w:rsidRPr="000655FE" w:rsidRDefault="0054112C" w:rsidP="0054112C">
      <w:pPr>
        <w:spacing w:after="0" w:line="240" w:lineRule="auto"/>
        <w:jc w:val="both"/>
        <w:rPr>
          <w:rFonts w:eastAsia="Arial" w:cstheme="minorHAnsi"/>
          <w:sz w:val="20"/>
          <w:szCs w:val="20"/>
        </w:rPr>
      </w:pPr>
    </w:p>
    <w:p w14:paraId="2C5E5519"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 xml:space="preserve">The primary objectives of the TT-COFOG are to develop a revised version of the COFOG, including the structure, explanatory notes and correspondences between the revised COFOG and the 1999 version of COFOG. In addition, the task team will provide an assessment </w:t>
      </w:r>
      <w:proofErr w:type="gramStart"/>
      <w:r w:rsidRPr="000655FE">
        <w:rPr>
          <w:rFonts w:eastAsia="Arial" w:cstheme="minorHAnsi"/>
          <w:sz w:val="20"/>
          <w:szCs w:val="20"/>
        </w:rPr>
        <w:t>on</w:t>
      </w:r>
      <w:proofErr w:type="gramEnd"/>
      <w:r w:rsidRPr="000655FE">
        <w:rPr>
          <w:rFonts w:eastAsia="Arial" w:cstheme="minorHAnsi"/>
          <w:sz w:val="20"/>
          <w:szCs w:val="20"/>
        </w:rPr>
        <w:t xml:space="preserve"> whether changes are required in other classifications according to purpose in the context of the COFOG revision and make a recommendation to UNCEISC. </w:t>
      </w:r>
    </w:p>
    <w:p w14:paraId="39F36D42" w14:textId="77777777" w:rsidR="0054112C" w:rsidRPr="000655FE" w:rsidRDefault="0054112C" w:rsidP="0054112C">
      <w:pPr>
        <w:spacing w:after="0" w:line="240" w:lineRule="auto"/>
        <w:rPr>
          <w:rFonts w:eastAsia="Arial" w:cstheme="minorHAnsi"/>
          <w:sz w:val="20"/>
          <w:szCs w:val="20"/>
        </w:rPr>
      </w:pPr>
    </w:p>
    <w:p w14:paraId="4AB35A43"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The revision process of COFOG will be undertaken in coordination with the update process of other macroeconomic standards, including the update of the Government Financial Statistics Manual (GFSM), System of National Accounts (SNA) and the System of Environmental-Economic Accounting (SEEA) Central Framework.</w:t>
      </w:r>
    </w:p>
    <w:p w14:paraId="5D9A9BA6" w14:textId="77777777" w:rsidR="0054112C" w:rsidRPr="000655FE" w:rsidRDefault="0054112C" w:rsidP="0054112C">
      <w:pPr>
        <w:spacing w:after="0" w:line="240" w:lineRule="auto"/>
        <w:jc w:val="both"/>
        <w:rPr>
          <w:rFonts w:eastAsia="Arial" w:cstheme="minorHAnsi"/>
          <w:sz w:val="20"/>
          <w:szCs w:val="20"/>
        </w:rPr>
      </w:pPr>
    </w:p>
    <w:p w14:paraId="0F520AF2"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The Global Consultation on the Initial List of Issues for the Update of COFOG is being conducted with countries, international/regional organizations and broader user communities to collect feedback on the initial list of issues which were identified by the TT-COFOG. The feedback from the global consultation will contribute to the finalization of the list of issues which will be presented to the 56</w:t>
      </w:r>
      <w:r w:rsidRPr="000655FE">
        <w:rPr>
          <w:rFonts w:eastAsia="Arial" w:cstheme="minorHAnsi"/>
          <w:sz w:val="20"/>
          <w:szCs w:val="20"/>
          <w:vertAlign w:val="superscript"/>
        </w:rPr>
        <w:t>th</w:t>
      </w:r>
      <w:r w:rsidRPr="000655FE">
        <w:rPr>
          <w:rFonts w:eastAsia="Arial" w:cstheme="minorHAnsi"/>
          <w:sz w:val="20"/>
          <w:szCs w:val="20"/>
        </w:rPr>
        <w:t xml:space="preserve"> session of the UNSC in 2025.</w:t>
      </w:r>
    </w:p>
    <w:p w14:paraId="597A9F02" w14:textId="77777777" w:rsidR="0054112C" w:rsidRPr="000655FE" w:rsidRDefault="0054112C" w:rsidP="0054112C">
      <w:pPr>
        <w:spacing w:after="0" w:line="240" w:lineRule="auto"/>
        <w:jc w:val="both"/>
        <w:rPr>
          <w:rFonts w:eastAsia="Arial" w:cstheme="minorHAnsi"/>
          <w:sz w:val="20"/>
          <w:szCs w:val="20"/>
        </w:rPr>
      </w:pPr>
    </w:p>
    <w:p w14:paraId="5032F94D" w14:textId="77777777" w:rsidR="0054112C" w:rsidRPr="000655FE" w:rsidRDefault="0054112C" w:rsidP="001A783D">
      <w:pPr>
        <w:rPr>
          <w:b/>
          <w:bCs/>
          <w:color w:val="156082" w:themeColor="accent1"/>
          <w:sz w:val="22"/>
          <w:szCs w:val="22"/>
        </w:rPr>
      </w:pPr>
      <w:r w:rsidRPr="000655FE">
        <w:rPr>
          <w:b/>
          <w:bCs/>
          <w:color w:val="156082" w:themeColor="accent1"/>
          <w:sz w:val="22"/>
          <w:szCs w:val="22"/>
        </w:rPr>
        <w:t>What is COFOG?</w:t>
      </w:r>
    </w:p>
    <w:p w14:paraId="5E729660" w14:textId="77586C19" w:rsidR="0054112C" w:rsidRPr="000655FE" w:rsidRDefault="0054112C" w:rsidP="00AF7902">
      <w:pPr>
        <w:spacing w:after="0" w:line="240" w:lineRule="auto"/>
        <w:rPr>
          <w:rFonts w:eastAsia="Arial" w:cstheme="minorHAnsi"/>
          <w:sz w:val="20"/>
          <w:szCs w:val="20"/>
        </w:rPr>
      </w:pPr>
      <w:r w:rsidRPr="000655FE">
        <w:rPr>
          <w:rFonts w:eastAsia="Arial" w:cstheme="minorHAnsi"/>
          <w:sz w:val="20"/>
          <w:szCs w:val="20"/>
        </w:rPr>
        <w:t>The classification of the functions of government (COFOG) is a classification of</w:t>
      </w:r>
      <w:r w:rsidR="00AF7902" w:rsidRPr="000655FE">
        <w:rPr>
          <w:rFonts w:eastAsia="Arial" w:cstheme="minorHAnsi"/>
          <w:sz w:val="20"/>
          <w:szCs w:val="20"/>
        </w:rPr>
        <w:t xml:space="preserve"> </w:t>
      </w:r>
      <w:r w:rsidRPr="000655FE">
        <w:rPr>
          <w:rFonts w:eastAsia="Arial" w:cstheme="minorHAnsi"/>
          <w:sz w:val="20"/>
          <w:szCs w:val="20"/>
        </w:rPr>
        <w:t xml:space="preserve">transactions designed to apply to general government and its subsectors. In the current version of the COFOG classification, there are ten divisions as follows: </w:t>
      </w:r>
      <w:r w:rsidR="00AF7902" w:rsidRPr="000655FE">
        <w:rPr>
          <w:rFonts w:eastAsia="Arial" w:cstheme="minorHAnsi"/>
          <w:sz w:val="20"/>
          <w:szCs w:val="20"/>
        </w:rPr>
        <w:br/>
      </w:r>
    </w:p>
    <w:p w14:paraId="31725783" w14:textId="7EA5DBF3" w:rsidR="0054112C" w:rsidRPr="000655FE" w:rsidRDefault="0054112C" w:rsidP="0054112C">
      <w:pPr>
        <w:spacing w:after="0" w:line="240" w:lineRule="auto"/>
        <w:ind w:left="720"/>
        <w:rPr>
          <w:rFonts w:eastAsia="Arial" w:cstheme="minorHAnsi"/>
          <w:sz w:val="20"/>
          <w:szCs w:val="20"/>
        </w:rPr>
      </w:pPr>
      <w:r w:rsidRPr="000655FE">
        <w:rPr>
          <w:rFonts w:eastAsia="Arial" w:cstheme="minorHAnsi"/>
          <w:sz w:val="20"/>
          <w:szCs w:val="20"/>
        </w:rPr>
        <w:t xml:space="preserve">01 General public services </w:t>
      </w:r>
    </w:p>
    <w:p w14:paraId="757B4E55" w14:textId="222B7AD0" w:rsidR="0054112C" w:rsidRPr="000655FE" w:rsidRDefault="00AF7902" w:rsidP="001F7C9C">
      <w:pPr>
        <w:spacing w:after="0" w:line="240" w:lineRule="auto"/>
        <w:rPr>
          <w:rFonts w:eastAsia="Arial" w:cstheme="minorHAnsi"/>
          <w:sz w:val="20"/>
          <w:szCs w:val="20"/>
        </w:rPr>
      </w:pPr>
      <w:r w:rsidRPr="000655FE">
        <w:rPr>
          <w:rFonts w:eastAsia="Arial" w:cstheme="minorHAnsi"/>
          <w:sz w:val="20"/>
          <w:szCs w:val="20"/>
        </w:rPr>
        <w:t xml:space="preserve">               </w:t>
      </w:r>
      <w:r w:rsidR="000655FE" w:rsidRPr="000655FE">
        <w:rPr>
          <w:rFonts w:eastAsia="Arial" w:cstheme="minorHAnsi"/>
          <w:sz w:val="20"/>
          <w:szCs w:val="20"/>
        </w:rPr>
        <w:t xml:space="preserve"> </w:t>
      </w:r>
      <w:r w:rsidR="000655FE">
        <w:rPr>
          <w:rFonts w:eastAsia="Arial" w:cstheme="minorHAnsi"/>
          <w:sz w:val="20"/>
          <w:szCs w:val="20"/>
        </w:rPr>
        <w:t xml:space="preserve">  </w:t>
      </w:r>
      <w:r w:rsidR="0054112C" w:rsidRPr="000655FE">
        <w:rPr>
          <w:rFonts w:eastAsia="Arial" w:cstheme="minorHAnsi"/>
          <w:sz w:val="20"/>
          <w:szCs w:val="20"/>
        </w:rPr>
        <w:t>02 Defence</w:t>
      </w:r>
    </w:p>
    <w:p w14:paraId="16791BA0" w14:textId="77777777" w:rsidR="0054112C" w:rsidRPr="000655FE" w:rsidRDefault="0054112C" w:rsidP="0054112C">
      <w:pPr>
        <w:spacing w:after="0" w:line="240" w:lineRule="auto"/>
        <w:ind w:left="720"/>
        <w:rPr>
          <w:rFonts w:eastAsia="Arial" w:cstheme="minorHAnsi"/>
          <w:sz w:val="20"/>
          <w:szCs w:val="20"/>
        </w:rPr>
      </w:pPr>
      <w:r w:rsidRPr="000655FE">
        <w:rPr>
          <w:rFonts w:eastAsia="Arial" w:cstheme="minorHAnsi"/>
          <w:sz w:val="20"/>
          <w:szCs w:val="20"/>
        </w:rPr>
        <w:t xml:space="preserve">03 Public order and safety </w:t>
      </w:r>
    </w:p>
    <w:p w14:paraId="3F258FA2" w14:textId="77777777" w:rsidR="0054112C" w:rsidRPr="000655FE" w:rsidRDefault="0054112C" w:rsidP="0054112C">
      <w:pPr>
        <w:spacing w:after="0" w:line="240" w:lineRule="auto"/>
        <w:ind w:left="720"/>
        <w:rPr>
          <w:rFonts w:eastAsia="Arial" w:cstheme="minorHAnsi"/>
          <w:sz w:val="20"/>
          <w:szCs w:val="20"/>
        </w:rPr>
      </w:pPr>
      <w:r w:rsidRPr="000655FE">
        <w:rPr>
          <w:rFonts w:eastAsia="Arial" w:cstheme="minorHAnsi"/>
          <w:sz w:val="20"/>
          <w:szCs w:val="20"/>
        </w:rPr>
        <w:t xml:space="preserve">04 Economic affairs </w:t>
      </w:r>
    </w:p>
    <w:p w14:paraId="1F0410C5" w14:textId="77777777" w:rsidR="0054112C" w:rsidRPr="000655FE" w:rsidRDefault="0054112C" w:rsidP="0054112C">
      <w:pPr>
        <w:spacing w:after="0" w:line="240" w:lineRule="auto"/>
        <w:ind w:left="720"/>
        <w:rPr>
          <w:rFonts w:eastAsia="Arial" w:cstheme="minorHAnsi"/>
          <w:sz w:val="20"/>
          <w:szCs w:val="20"/>
        </w:rPr>
      </w:pPr>
      <w:r w:rsidRPr="000655FE">
        <w:rPr>
          <w:rFonts w:eastAsia="Arial" w:cstheme="minorHAnsi"/>
          <w:sz w:val="20"/>
          <w:szCs w:val="20"/>
        </w:rPr>
        <w:t xml:space="preserve">05 Environmental protection </w:t>
      </w:r>
    </w:p>
    <w:p w14:paraId="7A042403" w14:textId="77777777" w:rsidR="0054112C" w:rsidRPr="000655FE" w:rsidRDefault="0054112C" w:rsidP="0054112C">
      <w:pPr>
        <w:spacing w:after="0" w:line="240" w:lineRule="auto"/>
        <w:ind w:left="720"/>
        <w:rPr>
          <w:rFonts w:eastAsia="Arial" w:cstheme="minorHAnsi"/>
          <w:sz w:val="20"/>
          <w:szCs w:val="20"/>
        </w:rPr>
      </w:pPr>
      <w:r w:rsidRPr="000655FE">
        <w:rPr>
          <w:rFonts w:eastAsia="Arial" w:cstheme="minorHAnsi"/>
          <w:sz w:val="20"/>
          <w:szCs w:val="20"/>
        </w:rPr>
        <w:t>06 Housing and community amenities</w:t>
      </w:r>
    </w:p>
    <w:p w14:paraId="0BE68E1D" w14:textId="77777777" w:rsidR="0054112C" w:rsidRPr="000655FE" w:rsidRDefault="0054112C" w:rsidP="0054112C">
      <w:pPr>
        <w:spacing w:after="0" w:line="240" w:lineRule="auto"/>
        <w:ind w:left="720"/>
        <w:rPr>
          <w:rFonts w:eastAsia="Arial" w:cstheme="minorHAnsi"/>
          <w:sz w:val="20"/>
          <w:szCs w:val="20"/>
        </w:rPr>
      </w:pPr>
      <w:r w:rsidRPr="000655FE">
        <w:rPr>
          <w:rFonts w:eastAsia="Arial" w:cstheme="minorHAnsi"/>
          <w:sz w:val="20"/>
          <w:szCs w:val="20"/>
        </w:rPr>
        <w:t>07 Health</w:t>
      </w:r>
    </w:p>
    <w:p w14:paraId="26E6AE4D" w14:textId="77777777" w:rsidR="0054112C" w:rsidRPr="000655FE" w:rsidRDefault="0054112C" w:rsidP="0054112C">
      <w:pPr>
        <w:spacing w:after="0" w:line="240" w:lineRule="auto"/>
        <w:ind w:left="720"/>
        <w:rPr>
          <w:rFonts w:eastAsia="Arial" w:cstheme="minorHAnsi"/>
          <w:sz w:val="20"/>
          <w:szCs w:val="20"/>
        </w:rPr>
      </w:pPr>
      <w:r w:rsidRPr="000655FE">
        <w:rPr>
          <w:rFonts w:eastAsia="Arial" w:cstheme="minorHAnsi"/>
          <w:sz w:val="20"/>
          <w:szCs w:val="20"/>
        </w:rPr>
        <w:t>08 Recreation, culture and religion</w:t>
      </w:r>
    </w:p>
    <w:p w14:paraId="7AB9898D" w14:textId="77777777" w:rsidR="0054112C" w:rsidRPr="000655FE" w:rsidRDefault="0054112C" w:rsidP="0054112C">
      <w:pPr>
        <w:spacing w:after="0" w:line="240" w:lineRule="auto"/>
        <w:ind w:left="720"/>
        <w:rPr>
          <w:rFonts w:eastAsia="Arial" w:cstheme="minorHAnsi"/>
          <w:sz w:val="20"/>
          <w:szCs w:val="20"/>
        </w:rPr>
      </w:pPr>
      <w:r w:rsidRPr="000655FE">
        <w:rPr>
          <w:rFonts w:eastAsia="Arial" w:cstheme="minorHAnsi"/>
          <w:sz w:val="20"/>
          <w:szCs w:val="20"/>
        </w:rPr>
        <w:t>09 Education</w:t>
      </w:r>
    </w:p>
    <w:p w14:paraId="3910EE68" w14:textId="77777777" w:rsidR="0054112C" w:rsidRPr="000655FE" w:rsidRDefault="0054112C" w:rsidP="0054112C">
      <w:pPr>
        <w:spacing w:after="0" w:line="240" w:lineRule="auto"/>
        <w:ind w:left="720"/>
        <w:jc w:val="both"/>
        <w:rPr>
          <w:rFonts w:eastAsia="Arial" w:cstheme="minorHAnsi"/>
          <w:sz w:val="20"/>
          <w:szCs w:val="20"/>
        </w:rPr>
      </w:pPr>
      <w:r w:rsidRPr="000655FE">
        <w:rPr>
          <w:rFonts w:eastAsia="Arial" w:cstheme="minorHAnsi"/>
          <w:sz w:val="20"/>
          <w:szCs w:val="20"/>
        </w:rPr>
        <w:t>10 Social protectio</w:t>
      </w:r>
      <w:r w:rsidR="00557FE0" w:rsidRPr="000655FE">
        <w:rPr>
          <w:rFonts w:eastAsia="Arial" w:cstheme="minorHAnsi"/>
          <w:sz w:val="20"/>
          <w:szCs w:val="20"/>
        </w:rPr>
        <w:t>n</w:t>
      </w:r>
    </w:p>
    <w:p w14:paraId="09DD5A00" w14:textId="77777777" w:rsidR="00557FE0" w:rsidRPr="000655FE" w:rsidRDefault="00557FE0" w:rsidP="0054112C">
      <w:pPr>
        <w:spacing w:after="0" w:line="240" w:lineRule="auto"/>
        <w:ind w:left="720"/>
        <w:jc w:val="both"/>
        <w:rPr>
          <w:rFonts w:eastAsia="Arial" w:cstheme="minorHAnsi"/>
          <w:sz w:val="20"/>
          <w:szCs w:val="20"/>
        </w:rPr>
      </w:pPr>
    </w:p>
    <w:p w14:paraId="76BAA088"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These divisions are broken down into more details in groups, which again are broken down into classes. At the most detailed level, classes, whether the expenditure are being related to collective services or individual services are indicated. In practice, in many groups there is only one class, hence group and class are then equal.</w:t>
      </w:r>
    </w:p>
    <w:p w14:paraId="5008E35B" w14:textId="7AE88D2F" w:rsidR="0054112C" w:rsidRPr="000655FE" w:rsidRDefault="0054112C" w:rsidP="00557FE0">
      <w:pPr>
        <w:spacing w:after="0" w:line="240" w:lineRule="auto"/>
        <w:jc w:val="both"/>
        <w:rPr>
          <w:rFonts w:eastAsia="Arial" w:cstheme="minorHAnsi"/>
          <w:sz w:val="20"/>
          <w:szCs w:val="20"/>
        </w:rPr>
      </w:pPr>
      <w:r w:rsidRPr="000655FE">
        <w:rPr>
          <w:rFonts w:eastAsia="Arial" w:cstheme="minorHAnsi"/>
          <w:sz w:val="20"/>
          <w:szCs w:val="20"/>
        </w:rPr>
        <w:lastRenderedPageBreak/>
        <w:t xml:space="preserve">Following the conceptual principles, all of divisions 01 to 06 are collective services, as are groups 07.5 and 07.6 of division 07 </w:t>
      </w:r>
      <w:r w:rsidR="00B953A6" w:rsidRPr="000655FE">
        <w:rPr>
          <w:rFonts w:eastAsia="Arial" w:cstheme="minorHAnsi"/>
          <w:sz w:val="20"/>
          <w:szCs w:val="20"/>
        </w:rPr>
        <w:t>–</w:t>
      </w:r>
      <w:r w:rsidRPr="000655FE">
        <w:rPr>
          <w:rFonts w:eastAsia="Arial" w:cstheme="minorHAnsi"/>
          <w:sz w:val="20"/>
          <w:szCs w:val="20"/>
        </w:rPr>
        <w:t xml:space="preserve"> Health, groups 08.3 to 08.6 of division 08 </w:t>
      </w:r>
      <w:r w:rsidR="00B953A6" w:rsidRPr="000655FE">
        <w:rPr>
          <w:rFonts w:eastAsia="Arial" w:cstheme="minorHAnsi"/>
          <w:sz w:val="20"/>
          <w:szCs w:val="20"/>
        </w:rPr>
        <w:t>–</w:t>
      </w:r>
      <w:r w:rsidRPr="000655FE">
        <w:rPr>
          <w:rFonts w:eastAsia="Arial" w:cstheme="minorHAnsi"/>
          <w:sz w:val="20"/>
          <w:szCs w:val="20"/>
        </w:rPr>
        <w:t xml:space="preserve"> Recreation, culture and religion, groups 09.7 and 09.8 of division 9 </w:t>
      </w:r>
      <w:r w:rsidR="00B953A6" w:rsidRPr="000655FE">
        <w:rPr>
          <w:rFonts w:eastAsia="Arial" w:cstheme="minorHAnsi"/>
          <w:sz w:val="20"/>
          <w:szCs w:val="20"/>
        </w:rPr>
        <w:t>–</w:t>
      </w:r>
      <w:r w:rsidRPr="000655FE">
        <w:rPr>
          <w:rFonts w:eastAsia="Arial" w:cstheme="minorHAnsi"/>
          <w:sz w:val="20"/>
          <w:szCs w:val="20"/>
        </w:rPr>
        <w:t xml:space="preserve"> Education, and groups 10.8 and 10.9 of division 10 </w:t>
      </w:r>
      <w:r w:rsidR="00B953A6" w:rsidRPr="000655FE">
        <w:rPr>
          <w:rFonts w:eastAsia="Arial" w:cstheme="minorHAnsi"/>
          <w:sz w:val="20"/>
          <w:szCs w:val="20"/>
        </w:rPr>
        <w:t>–</w:t>
      </w:r>
      <w:r w:rsidRPr="000655FE">
        <w:rPr>
          <w:rFonts w:eastAsia="Arial" w:cstheme="minorHAnsi"/>
          <w:sz w:val="20"/>
          <w:szCs w:val="20"/>
        </w:rPr>
        <w:t xml:space="preserve"> Social protection. These groups cover </w:t>
      </w:r>
      <w:proofErr w:type="gramStart"/>
      <w:r w:rsidRPr="000655FE">
        <w:rPr>
          <w:rFonts w:eastAsia="Arial" w:cstheme="minorHAnsi"/>
          <w:sz w:val="20"/>
          <w:szCs w:val="20"/>
        </w:rPr>
        <w:t>expenditures</w:t>
      </w:r>
      <w:proofErr w:type="gramEnd"/>
      <w:r w:rsidRPr="000655FE">
        <w:rPr>
          <w:rFonts w:eastAsia="Arial" w:cstheme="minorHAnsi"/>
          <w:sz w:val="20"/>
          <w:szCs w:val="20"/>
        </w:rPr>
        <w:t xml:space="preserve"> on general administration, regulation, research and so on. The remaining parts of the classification refer to expenditure related to individual services. However, the COFOG classification is periodically reviewed and the precise mapping of the COFOG classification to collective and individual services may also be updated during these revisions. </w:t>
      </w:r>
      <w:r w:rsidRPr="000655FE">
        <w:rPr>
          <w:sz w:val="20"/>
          <w:szCs w:val="20"/>
        </w:rPr>
        <w:t>(</w:t>
      </w:r>
      <w:hyperlink r:id="rId39" w:history="1">
        <w:r w:rsidRPr="000655FE">
          <w:rPr>
            <w:rStyle w:val="Hyperlink"/>
            <w:sz w:val="20"/>
            <w:szCs w:val="20"/>
          </w:rPr>
          <w:t>Draft 2025 SNA, paras. 10.101-10.102</w:t>
        </w:r>
      </w:hyperlink>
      <w:r w:rsidRPr="000655FE">
        <w:rPr>
          <w:sz w:val="20"/>
          <w:szCs w:val="20"/>
        </w:rPr>
        <w:t>)</w:t>
      </w:r>
    </w:p>
    <w:p w14:paraId="0006F3D4" w14:textId="77777777" w:rsidR="0054112C" w:rsidRPr="000655FE" w:rsidRDefault="0054112C" w:rsidP="0054112C">
      <w:pPr>
        <w:spacing w:after="0" w:line="240" w:lineRule="auto"/>
        <w:jc w:val="both"/>
        <w:rPr>
          <w:rFonts w:eastAsia="Arial" w:cstheme="minorHAnsi"/>
          <w:sz w:val="20"/>
          <w:szCs w:val="20"/>
        </w:rPr>
      </w:pPr>
    </w:p>
    <w:p w14:paraId="25C4B05C" w14:textId="77777777" w:rsidR="0054112C" w:rsidRPr="000655FE" w:rsidRDefault="0054112C" w:rsidP="001A783D">
      <w:pPr>
        <w:rPr>
          <w:b/>
          <w:bCs/>
          <w:color w:val="156082" w:themeColor="accent1"/>
          <w:sz w:val="22"/>
          <w:szCs w:val="22"/>
        </w:rPr>
      </w:pPr>
      <w:r w:rsidRPr="000655FE">
        <w:rPr>
          <w:b/>
          <w:bCs/>
          <w:color w:val="156082" w:themeColor="accent1"/>
          <w:sz w:val="22"/>
          <w:szCs w:val="22"/>
        </w:rPr>
        <w:t>Who should fill out this questionnaire?</w:t>
      </w:r>
    </w:p>
    <w:p w14:paraId="05AE7093"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 xml:space="preserve">This questionnaire is being circulated to national statistical offices, relevant international/regional organizations and the broader compiler and user community. It is intended to be completed by those who currently compile COFOG or use COFOG in </w:t>
      </w:r>
      <w:proofErr w:type="gramStart"/>
      <w:r w:rsidRPr="000655FE">
        <w:rPr>
          <w:rFonts w:eastAsia="Arial" w:cstheme="minorHAnsi"/>
          <w:sz w:val="20"/>
          <w:szCs w:val="20"/>
        </w:rPr>
        <w:t>analysis, or</w:t>
      </w:r>
      <w:proofErr w:type="gramEnd"/>
      <w:r w:rsidRPr="000655FE">
        <w:rPr>
          <w:rFonts w:eastAsia="Arial" w:cstheme="minorHAnsi"/>
          <w:sz w:val="20"/>
          <w:szCs w:val="20"/>
        </w:rPr>
        <w:t xml:space="preserve"> intend to do so in the future.</w:t>
      </w:r>
    </w:p>
    <w:p w14:paraId="10216C88" w14:textId="77777777" w:rsidR="0054112C" w:rsidRPr="000655FE" w:rsidRDefault="0054112C" w:rsidP="0054112C">
      <w:pPr>
        <w:spacing w:after="0" w:line="240" w:lineRule="auto"/>
        <w:jc w:val="both"/>
        <w:rPr>
          <w:rFonts w:eastAsia="Arial" w:cstheme="minorHAnsi"/>
          <w:sz w:val="20"/>
          <w:szCs w:val="20"/>
        </w:rPr>
      </w:pPr>
    </w:p>
    <w:p w14:paraId="6D4D4890"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 xml:space="preserve">When filling out the questionnaire, respondents are encouraged to consult with or forward the questionnaire to relevant users/producers of the statistics related to COFOG in their institutions and/or in other relevant institutions in their country as appropriate. </w:t>
      </w:r>
    </w:p>
    <w:p w14:paraId="48E5AE21" w14:textId="77777777" w:rsidR="0054112C" w:rsidRPr="000655FE" w:rsidRDefault="0054112C" w:rsidP="0054112C">
      <w:pPr>
        <w:spacing w:after="0" w:line="240" w:lineRule="auto"/>
        <w:jc w:val="both"/>
        <w:rPr>
          <w:rFonts w:eastAsia="Arial" w:cstheme="minorHAnsi"/>
          <w:sz w:val="20"/>
          <w:szCs w:val="20"/>
        </w:rPr>
      </w:pPr>
    </w:p>
    <w:p w14:paraId="2E55FE88" w14:textId="77777777" w:rsidR="0054112C" w:rsidRPr="000655FE" w:rsidRDefault="0054112C" w:rsidP="001A783D">
      <w:pPr>
        <w:rPr>
          <w:b/>
          <w:bCs/>
          <w:color w:val="156082" w:themeColor="accent1"/>
          <w:sz w:val="22"/>
          <w:szCs w:val="22"/>
        </w:rPr>
      </w:pPr>
      <w:r w:rsidRPr="000655FE">
        <w:rPr>
          <w:b/>
          <w:bCs/>
          <w:color w:val="156082" w:themeColor="accent1"/>
          <w:sz w:val="22"/>
          <w:szCs w:val="22"/>
        </w:rPr>
        <w:t>What is the aim of the questionnaire?</w:t>
      </w:r>
    </w:p>
    <w:p w14:paraId="34127961"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 xml:space="preserve">The aim of the questionnaire is to collect feedback on the initial list of issues and their suggested prioritization in order to finalize the list of issues for the revision of COFOG. </w:t>
      </w:r>
    </w:p>
    <w:p w14:paraId="43C74D23" w14:textId="77777777" w:rsidR="0054112C" w:rsidRPr="000655FE" w:rsidRDefault="0054112C" w:rsidP="0054112C">
      <w:pPr>
        <w:spacing w:after="0" w:line="240" w:lineRule="auto"/>
        <w:jc w:val="both"/>
        <w:rPr>
          <w:rFonts w:eastAsia="Arial" w:cstheme="minorHAnsi"/>
          <w:sz w:val="20"/>
          <w:szCs w:val="20"/>
        </w:rPr>
      </w:pPr>
    </w:p>
    <w:p w14:paraId="4FE71BD2" w14:textId="77777777" w:rsidR="0054112C" w:rsidRPr="000655FE" w:rsidRDefault="0054112C" w:rsidP="001A783D">
      <w:pPr>
        <w:rPr>
          <w:b/>
          <w:bCs/>
          <w:color w:val="156082" w:themeColor="accent1"/>
          <w:sz w:val="22"/>
          <w:szCs w:val="22"/>
        </w:rPr>
      </w:pPr>
      <w:r w:rsidRPr="000655FE">
        <w:rPr>
          <w:b/>
          <w:bCs/>
          <w:color w:val="156082" w:themeColor="accent1"/>
          <w:sz w:val="22"/>
          <w:szCs w:val="22"/>
        </w:rPr>
        <w:t>How will the responses be used?</w:t>
      </w:r>
    </w:p>
    <w:p w14:paraId="7023148A"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The responses to the questionnaire will be reviewed by the TT-COFOG to finalize the list of issues for the revision of COFOG. The final list of issues will be presented to the UN Statistical Commission at its 56</w:t>
      </w:r>
      <w:r w:rsidRPr="000655FE">
        <w:rPr>
          <w:rFonts w:eastAsia="Arial" w:cstheme="minorHAnsi"/>
          <w:sz w:val="20"/>
          <w:szCs w:val="20"/>
          <w:vertAlign w:val="superscript"/>
        </w:rPr>
        <w:t>th</w:t>
      </w:r>
      <w:r w:rsidRPr="000655FE">
        <w:rPr>
          <w:rFonts w:eastAsia="Arial" w:cstheme="minorHAnsi"/>
          <w:sz w:val="20"/>
          <w:szCs w:val="20"/>
        </w:rPr>
        <w:t xml:space="preserve"> Session in 2025, along with a summary of the results of the Global Consultation. </w:t>
      </w:r>
    </w:p>
    <w:p w14:paraId="0CD7D664" w14:textId="77777777" w:rsidR="0054112C" w:rsidRPr="000655FE" w:rsidRDefault="0054112C" w:rsidP="0054112C">
      <w:pPr>
        <w:spacing w:after="0" w:line="240" w:lineRule="auto"/>
        <w:jc w:val="both"/>
        <w:rPr>
          <w:rFonts w:eastAsia="Arial" w:cstheme="minorHAnsi"/>
          <w:sz w:val="20"/>
          <w:szCs w:val="20"/>
        </w:rPr>
      </w:pPr>
    </w:p>
    <w:p w14:paraId="4F486F4D"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 xml:space="preserve">In addition, to maximize transparency UNSD plans make the responses to this questionnaire available (no email addresses will be released) on the UNSD website here:  </w:t>
      </w:r>
      <w:hyperlink r:id="rId40" w:history="1">
        <w:r w:rsidRPr="000655FE">
          <w:rPr>
            <w:rStyle w:val="Hyperlink"/>
            <w:rFonts w:eastAsia="Arial" w:cstheme="minorHAnsi"/>
            <w:sz w:val="20"/>
            <w:szCs w:val="20"/>
          </w:rPr>
          <w:t>https://unstats.un.org/unsd/classifications/cofog/revision</w:t>
        </w:r>
      </w:hyperlink>
      <w:r w:rsidRPr="000655FE">
        <w:rPr>
          <w:rFonts w:eastAsia="Arial" w:cstheme="minorHAnsi"/>
          <w:sz w:val="20"/>
          <w:szCs w:val="20"/>
        </w:rPr>
        <w:t xml:space="preserve">. </w:t>
      </w:r>
    </w:p>
    <w:p w14:paraId="28E2C6EC" w14:textId="77777777" w:rsidR="0054112C" w:rsidRPr="000655FE" w:rsidRDefault="0054112C" w:rsidP="0054112C">
      <w:pPr>
        <w:spacing w:after="0" w:line="240" w:lineRule="auto"/>
        <w:jc w:val="both"/>
        <w:rPr>
          <w:rFonts w:eastAsia="Arial" w:cstheme="minorHAnsi"/>
          <w:sz w:val="20"/>
          <w:szCs w:val="20"/>
        </w:rPr>
      </w:pPr>
    </w:p>
    <w:p w14:paraId="1EF61F6E"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At the end of the questionnaire, you can indicate whether you consent to having your response published on the UNSD website. If you answer “no”, your response will only be used internally by the TT-COFOG.</w:t>
      </w:r>
    </w:p>
    <w:p w14:paraId="632094AD" w14:textId="77777777" w:rsidR="0054112C" w:rsidRPr="000655FE" w:rsidRDefault="0054112C" w:rsidP="0054112C">
      <w:pPr>
        <w:spacing w:after="0" w:line="240" w:lineRule="auto"/>
        <w:jc w:val="both"/>
        <w:rPr>
          <w:rFonts w:eastAsia="Arial" w:cstheme="minorHAnsi"/>
          <w:sz w:val="20"/>
          <w:szCs w:val="20"/>
        </w:rPr>
      </w:pPr>
    </w:p>
    <w:p w14:paraId="73F4A941" w14:textId="77777777" w:rsidR="0054112C" w:rsidRPr="000655FE" w:rsidRDefault="0054112C" w:rsidP="001A783D">
      <w:pPr>
        <w:rPr>
          <w:b/>
          <w:bCs/>
          <w:color w:val="156082" w:themeColor="accent1"/>
          <w:sz w:val="22"/>
          <w:szCs w:val="22"/>
        </w:rPr>
      </w:pPr>
      <w:r w:rsidRPr="000655FE">
        <w:rPr>
          <w:b/>
          <w:bCs/>
          <w:color w:val="156082" w:themeColor="accent1"/>
          <w:sz w:val="22"/>
          <w:szCs w:val="22"/>
        </w:rPr>
        <w:t>How to fill out the questionnaire?</w:t>
      </w:r>
    </w:p>
    <w:p w14:paraId="0C0E1ED9"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 xml:space="preserve">This questionnaire is available in two formats: </w:t>
      </w:r>
    </w:p>
    <w:p w14:paraId="14C2249B" w14:textId="77777777" w:rsidR="0054112C" w:rsidRPr="000655FE" w:rsidRDefault="0054112C" w:rsidP="0054112C">
      <w:pPr>
        <w:spacing w:after="0" w:line="240" w:lineRule="auto"/>
        <w:jc w:val="both"/>
        <w:rPr>
          <w:rFonts w:eastAsia="Arial" w:cstheme="minorHAnsi"/>
          <w:sz w:val="12"/>
          <w:szCs w:val="12"/>
        </w:rPr>
      </w:pPr>
    </w:p>
    <w:p w14:paraId="77030381" w14:textId="77777777" w:rsidR="0054112C" w:rsidRPr="000655FE" w:rsidRDefault="0054112C" w:rsidP="00D25872">
      <w:pPr>
        <w:pStyle w:val="ListParagraph"/>
        <w:numPr>
          <w:ilvl w:val="0"/>
          <w:numId w:val="3"/>
        </w:numPr>
        <w:spacing w:after="0" w:line="240" w:lineRule="auto"/>
        <w:jc w:val="both"/>
        <w:rPr>
          <w:rFonts w:eastAsia="Arial" w:cstheme="minorHAnsi"/>
          <w:sz w:val="20"/>
          <w:szCs w:val="20"/>
        </w:rPr>
      </w:pPr>
      <w:r w:rsidRPr="000655FE">
        <w:rPr>
          <w:rFonts w:eastAsia="Arial" w:cstheme="minorHAnsi"/>
          <w:sz w:val="20"/>
          <w:szCs w:val="20"/>
        </w:rPr>
        <w:t xml:space="preserve">an online form, available here </w:t>
      </w:r>
      <w:hyperlink r:id="rId41" w:history="1">
        <w:r w:rsidRPr="000655FE">
          <w:rPr>
            <w:rStyle w:val="Hyperlink"/>
            <w:rFonts w:eastAsia="Arial" w:cstheme="minorHAnsi"/>
            <w:sz w:val="20"/>
            <w:szCs w:val="20"/>
          </w:rPr>
          <w:t>https://www.surveymonkey.com/r/J79YF28</w:t>
        </w:r>
      </w:hyperlink>
      <w:r w:rsidRPr="000655FE">
        <w:rPr>
          <w:rFonts w:eastAsia="Arial" w:cstheme="minorHAnsi"/>
          <w:sz w:val="20"/>
          <w:szCs w:val="20"/>
        </w:rPr>
        <w:t>; or</w:t>
      </w:r>
    </w:p>
    <w:p w14:paraId="49AA6AB7" w14:textId="77777777" w:rsidR="0054112C" w:rsidRPr="000655FE" w:rsidRDefault="0054112C" w:rsidP="00D25872">
      <w:pPr>
        <w:pStyle w:val="ListParagraph"/>
        <w:numPr>
          <w:ilvl w:val="0"/>
          <w:numId w:val="3"/>
        </w:numPr>
        <w:spacing w:after="0" w:line="240" w:lineRule="auto"/>
        <w:jc w:val="both"/>
        <w:rPr>
          <w:rFonts w:eastAsia="Arial" w:cstheme="minorHAnsi"/>
          <w:sz w:val="20"/>
          <w:szCs w:val="20"/>
        </w:rPr>
      </w:pPr>
      <w:r w:rsidRPr="000655FE">
        <w:rPr>
          <w:rFonts w:eastAsia="Arial" w:cstheme="minorHAnsi"/>
          <w:sz w:val="20"/>
          <w:szCs w:val="20"/>
        </w:rPr>
        <w:t xml:space="preserve">a stand-alone Microsoft Word document, to be sent to </w:t>
      </w:r>
      <w:hyperlink r:id="rId42" w:history="1">
        <w:r w:rsidRPr="000655FE">
          <w:rPr>
            <w:rStyle w:val="Hyperlink"/>
            <w:rFonts w:eastAsia="Arial" w:cstheme="minorHAnsi"/>
            <w:sz w:val="20"/>
            <w:szCs w:val="20"/>
          </w:rPr>
          <w:t>chl@un.org</w:t>
        </w:r>
      </w:hyperlink>
      <w:r w:rsidRPr="000655FE">
        <w:rPr>
          <w:rFonts w:eastAsia="Arial" w:cstheme="minorHAnsi"/>
          <w:sz w:val="20"/>
          <w:szCs w:val="20"/>
        </w:rPr>
        <w:t>.</w:t>
      </w:r>
    </w:p>
    <w:p w14:paraId="29CCDC41" w14:textId="77777777" w:rsidR="0054112C" w:rsidRPr="000655FE" w:rsidRDefault="0054112C" w:rsidP="0054112C">
      <w:pPr>
        <w:spacing w:after="0" w:line="240" w:lineRule="auto"/>
        <w:jc w:val="both"/>
        <w:rPr>
          <w:rFonts w:eastAsia="Arial" w:cstheme="minorHAnsi"/>
          <w:sz w:val="20"/>
          <w:szCs w:val="20"/>
        </w:rPr>
      </w:pPr>
    </w:p>
    <w:p w14:paraId="332A6110" w14:textId="77777777" w:rsidR="0054112C" w:rsidRPr="000655FE" w:rsidRDefault="0054112C" w:rsidP="0054112C">
      <w:pPr>
        <w:spacing w:after="0" w:line="240" w:lineRule="auto"/>
        <w:jc w:val="both"/>
        <w:rPr>
          <w:rFonts w:eastAsia="Arial" w:cstheme="minorHAnsi"/>
          <w:sz w:val="20"/>
          <w:szCs w:val="20"/>
        </w:rPr>
      </w:pPr>
      <w:r w:rsidRPr="000655FE">
        <w:rPr>
          <w:rFonts w:eastAsia="Arial" w:cstheme="minorHAnsi"/>
          <w:sz w:val="20"/>
          <w:szCs w:val="20"/>
        </w:rPr>
        <w:t xml:space="preserve">Your response to this questionnaire should be submitted by </w:t>
      </w:r>
      <w:r w:rsidRPr="000655FE">
        <w:rPr>
          <w:rFonts w:eastAsia="Arial" w:cstheme="minorHAnsi"/>
          <w:b/>
          <w:bCs/>
          <w:sz w:val="20"/>
          <w:szCs w:val="20"/>
        </w:rPr>
        <w:t>10 December 2024</w:t>
      </w:r>
      <w:r w:rsidRPr="000655FE">
        <w:rPr>
          <w:rFonts w:eastAsia="Arial" w:cstheme="minorHAnsi"/>
          <w:sz w:val="20"/>
          <w:szCs w:val="20"/>
        </w:rPr>
        <w:t xml:space="preserve">. </w:t>
      </w:r>
    </w:p>
    <w:p w14:paraId="7BDA662B" w14:textId="77777777" w:rsidR="0054112C" w:rsidRPr="000655FE" w:rsidRDefault="0054112C" w:rsidP="0054112C">
      <w:pPr>
        <w:spacing w:after="0" w:line="240" w:lineRule="auto"/>
        <w:jc w:val="both"/>
        <w:rPr>
          <w:rFonts w:eastAsia="Arial" w:cstheme="minorHAnsi"/>
          <w:sz w:val="20"/>
          <w:szCs w:val="20"/>
        </w:rPr>
      </w:pPr>
    </w:p>
    <w:p w14:paraId="6B7C9FF2" w14:textId="42C7524A" w:rsidR="0054112C" w:rsidRPr="000655FE" w:rsidRDefault="0054112C" w:rsidP="000655FE">
      <w:pPr>
        <w:spacing w:after="0" w:line="240" w:lineRule="auto"/>
        <w:jc w:val="both"/>
        <w:rPr>
          <w:rFonts w:eastAsia="Arial" w:cstheme="minorHAnsi"/>
          <w:sz w:val="20"/>
          <w:szCs w:val="20"/>
        </w:rPr>
      </w:pPr>
      <w:r w:rsidRPr="000655FE">
        <w:rPr>
          <w:rFonts w:eastAsia="Arial" w:cstheme="minorHAnsi"/>
          <w:sz w:val="20"/>
          <w:szCs w:val="20"/>
        </w:rPr>
        <w:t xml:space="preserve">Your input into this global consultation is very important and your participation is greatly appreciated. If you have any questions or concerns, please contact us at </w:t>
      </w:r>
      <w:hyperlink r:id="rId43" w:history="1">
        <w:r w:rsidRPr="000655FE">
          <w:rPr>
            <w:rStyle w:val="Hyperlink"/>
            <w:rFonts w:eastAsia="Arial" w:cstheme="minorHAnsi"/>
            <w:sz w:val="20"/>
            <w:szCs w:val="20"/>
          </w:rPr>
          <w:t>chl@un.org</w:t>
        </w:r>
      </w:hyperlink>
      <w:r w:rsidRPr="000655FE">
        <w:rPr>
          <w:rFonts w:eastAsia="Arial" w:cstheme="minorHAnsi"/>
          <w:sz w:val="20"/>
          <w:szCs w:val="20"/>
        </w:rPr>
        <w:t xml:space="preserve">. </w:t>
      </w:r>
    </w:p>
    <w:p w14:paraId="2710E5C6" w14:textId="77777777" w:rsidR="0054112C" w:rsidRDefault="0054112C" w:rsidP="0054112C">
      <w:pPr>
        <w:spacing w:after="0"/>
        <w:rPr>
          <w:rFonts w:eastAsia="Arial" w:cstheme="minorHAnsi"/>
          <w:b/>
          <w:bCs/>
          <w:sz w:val="20"/>
          <w:szCs w:val="20"/>
        </w:rPr>
      </w:pPr>
    </w:p>
    <w:p w14:paraId="74C52AD4" w14:textId="77777777" w:rsidR="000655FE" w:rsidRDefault="000655FE" w:rsidP="0054112C">
      <w:pPr>
        <w:spacing w:after="0"/>
        <w:rPr>
          <w:rFonts w:eastAsia="Arial" w:cstheme="minorHAnsi"/>
          <w:b/>
          <w:bCs/>
          <w:sz w:val="20"/>
          <w:szCs w:val="20"/>
        </w:rPr>
      </w:pPr>
    </w:p>
    <w:p w14:paraId="35BFB193" w14:textId="77777777" w:rsidR="000655FE" w:rsidRDefault="000655FE" w:rsidP="0054112C">
      <w:pPr>
        <w:spacing w:after="0"/>
        <w:rPr>
          <w:rFonts w:eastAsia="Arial" w:cstheme="minorHAnsi"/>
          <w:b/>
          <w:bCs/>
          <w:sz w:val="20"/>
          <w:szCs w:val="20"/>
        </w:rPr>
      </w:pPr>
    </w:p>
    <w:p w14:paraId="683221EA" w14:textId="77777777" w:rsidR="000655FE" w:rsidRDefault="000655FE" w:rsidP="0054112C">
      <w:pPr>
        <w:spacing w:after="0"/>
        <w:rPr>
          <w:rFonts w:eastAsia="Arial" w:cstheme="minorHAnsi"/>
          <w:b/>
          <w:bCs/>
          <w:sz w:val="20"/>
          <w:szCs w:val="20"/>
        </w:rPr>
      </w:pPr>
    </w:p>
    <w:p w14:paraId="0CA4F7FE" w14:textId="77777777" w:rsidR="000655FE" w:rsidRPr="000655FE" w:rsidRDefault="000655FE" w:rsidP="0054112C">
      <w:pPr>
        <w:spacing w:after="0"/>
        <w:rPr>
          <w:rFonts w:eastAsia="Arial" w:cstheme="minorHAnsi"/>
          <w:b/>
          <w:bCs/>
          <w:sz w:val="20"/>
          <w:szCs w:val="20"/>
        </w:rPr>
      </w:pPr>
    </w:p>
    <w:p w14:paraId="4E4BB545" w14:textId="77777777" w:rsidR="0054112C" w:rsidRPr="000655FE" w:rsidRDefault="0054112C" w:rsidP="0054112C">
      <w:pPr>
        <w:spacing w:after="0"/>
        <w:rPr>
          <w:rFonts w:eastAsia="Arial" w:cstheme="minorHAnsi"/>
          <w:b/>
          <w:bCs/>
          <w:sz w:val="22"/>
          <w:szCs w:val="22"/>
        </w:rPr>
      </w:pPr>
      <w:r w:rsidRPr="000655FE">
        <w:rPr>
          <w:rFonts w:eastAsia="Arial" w:cstheme="minorHAnsi"/>
          <w:b/>
          <w:bCs/>
          <w:sz w:val="22"/>
          <w:szCs w:val="22"/>
        </w:rPr>
        <w:lastRenderedPageBreak/>
        <w:t>Part I. Contact and Background Information</w:t>
      </w:r>
    </w:p>
    <w:p w14:paraId="4975F7D3" w14:textId="77777777" w:rsidR="0054112C" w:rsidRPr="009217D0" w:rsidRDefault="0054112C" w:rsidP="0054112C">
      <w:pPr>
        <w:spacing w:after="0" w:line="240" w:lineRule="auto"/>
        <w:rPr>
          <w:rFonts w:eastAsia="Arial" w:cstheme="minorHAnsi"/>
          <w:b/>
          <w:bCs/>
          <w:sz w:val="22"/>
          <w:szCs w:val="22"/>
          <w:lang w:eastAsia="en-US"/>
        </w:rPr>
      </w:pPr>
    </w:p>
    <w:p w14:paraId="4DB138BC" w14:textId="3A982CE5" w:rsidR="0054112C" w:rsidRPr="000655FE" w:rsidRDefault="0054112C" w:rsidP="0054112C">
      <w:pPr>
        <w:spacing w:after="0" w:line="240" w:lineRule="auto"/>
        <w:rPr>
          <w:rFonts w:eastAsia="Tahoma" w:cstheme="minorHAnsi"/>
          <w:sz w:val="20"/>
          <w:szCs w:val="20"/>
          <w:u w:val="single"/>
          <w:lang w:eastAsia="en-US"/>
        </w:rPr>
      </w:pPr>
      <w:r w:rsidRPr="000655FE">
        <w:rPr>
          <w:rFonts w:eastAsia="Tahoma" w:cstheme="minorHAnsi"/>
          <w:sz w:val="20"/>
          <w:szCs w:val="20"/>
          <w:lang w:eastAsia="en-US"/>
        </w:rPr>
        <w:t xml:space="preserve">   </w:t>
      </w:r>
      <w:r w:rsidRPr="000655FE">
        <w:rPr>
          <w:rFonts w:eastAsia="Tahoma" w:cstheme="minorHAnsi"/>
          <w:b/>
          <w:bCs/>
          <w:sz w:val="20"/>
          <w:szCs w:val="20"/>
          <w:lang w:eastAsia="en-US"/>
        </w:rPr>
        <w:t>1.</w:t>
      </w:r>
      <w:r w:rsidRPr="000655FE">
        <w:rPr>
          <w:rFonts w:eastAsia="Tahoma" w:cstheme="minorHAnsi"/>
          <w:sz w:val="20"/>
          <w:szCs w:val="20"/>
          <w:lang w:eastAsia="en-US"/>
        </w:rPr>
        <w:t xml:space="preserve"> </w:t>
      </w:r>
      <w:r w:rsidRPr="000655FE">
        <w:rPr>
          <w:rFonts w:eastAsia="Arial" w:cstheme="minorHAnsi"/>
          <w:b/>
          <w:bCs/>
          <w:sz w:val="20"/>
          <w:szCs w:val="20"/>
          <w:lang w:eastAsia="en-US"/>
        </w:rPr>
        <w:t>Your name</w:t>
      </w:r>
      <w:r w:rsidRPr="000655FE">
        <w:rPr>
          <w:rFonts w:eastAsia="Arial" w:cstheme="minorHAnsi"/>
          <w:sz w:val="20"/>
          <w:szCs w:val="20"/>
          <w:lang w:eastAsia="en-US"/>
        </w:rPr>
        <w:t>:</w:t>
      </w:r>
      <w:r w:rsidRPr="000655FE">
        <w:rPr>
          <w:rFonts w:eastAsia="Tahoma" w:cstheme="minorHAnsi"/>
          <w:sz w:val="20"/>
          <w:szCs w:val="20"/>
          <w:lang w:eastAsia="en-US"/>
        </w:rPr>
        <w:t xml:space="preserve"> </w:t>
      </w:r>
      <w:r w:rsidRPr="000655FE">
        <w:rPr>
          <w:rFonts w:eastAsia="Tahoma" w:cstheme="minorHAnsi"/>
          <w:sz w:val="20"/>
          <w:szCs w:val="20"/>
          <w:lang w:eastAsia="en-US"/>
        </w:rPr>
        <w:tab/>
      </w:r>
      <w:r w:rsidR="00514C16">
        <w:rPr>
          <w:rFonts w:eastAsia="Tahoma" w:cstheme="minorHAnsi"/>
          <w:sz w:val="20"/>
          <w:szCs w:val="20"/>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p>
    <w:p w14:paraId="22DA7165" w14:textId="77777777" w:rsidR="0054112C" w:rsidRPr="000655FE" w:rsidRDefault="0054112C" w:rsidP="0054112C">
      <w:pPr>
        <w:spacing w:after="0" w:line="240" w:lineRule="auto"/>
        <w:rPr>
          <w:rFonts w:eastAsia="Tahoma" w:cstheme="minorHAnsi"/>
          <w:sz w:val="20"/>
          <w:szCs w:val="20"/>
          <w:lang w:eastAsia="en-US"/>
        </w:rPr>
      </w:pPr>
      <w:r w:rsidRPr="000655FE">
        <w:rPr>
          <w:rFonts w:eastAsia="Tahoma" w:cstheme="minorHAnsi"/>
          <w:sz w:val="20"/>
          <w:szCs w:val="20"/>
          <w:lang w:eastAsia="en-US"/>
        </w:rPr>
        <w:t xml:space="preserve">   </w:t>
      </w:r>
      <w:r w:rsidRPr="000655FE">
        <w:rPr>
          <w:rFonts w:eastAsia="Tahoma" w:cstheme="minorHAnsi"/>
          <w:b/>
          <w:bCs/>
          <w:sz w:val="20"/>
          <w:szCs w:val="20"/>
          <w:lang w:eastAsia="en-US"/>
        </w:rPr>
        <w:t>2.</w:t>
      </w:r>
      <w:r w:rsidRPr="000655FE">
        <w:rPr>
          <w:rFonts w:eastAsia="Tahoma" w:cstheme="minorHAnsi"/>
          <w:sz w:val="20"/>
          <w:szCs w:val="20"/>
          <w:lang w:eastAsia="en-US"/>
        </w:rPr>
        <w:t xml:space="preserve"> </w:t>
      </w:r>
      <w:r w:rsidRPr="000655FE">
        <w:rPr>
          <w:rFonts w:eastAsia="Arial" w:cstheme="minorHAnsi"/>
          <w:b/>
          <w:bCs/>
          <w:sz w:val="20"/>
          <w:szCs w:val="20"/>
          <w:lang w:eastAsia="en-US"/>
        </w:rPr>
        <w:t>Country</w:t>
      </w:r>
      <w:r w:rsidRPr="000655FE">
        <w:rPr>
          <w:rFonts w:eastAsia="Arial" w:cstheme="minorHAnsi"/>
          <w:sz w:val="20"/>
          <w:szCs w:val="20"/>
          <w:lang w:eastAsia="en-US"/>
        </w:rPr>
        <w:t>:</w:t>
      </w:r>
      <w:r w:rsidRPr="000655FE">
        <w:rPr>
          <w:rFonts w:eastAsia="Tahoma" w:cstheme="minorHAnsi"/>
          <w:sz w:val="20"/>
          <w:szCs w:val="20"/>
          <w:lang w:eastAsia="en-US"/>
        </w:rPr>
        <w:t xml:space="preserve"> </w:t>
      </w:r>
      <w:r w:rsidRPr="000655FE">
        <w:rPr>
          <w:rFonts w:eastAsia="Tahoma" w:cstheme="minorHAnsi"/>
          <w:sz w:val="20"/>
          <w:szCs w:val="20"/>
          <w:lang w:eastAsia="en-US"/>
        </w:rPr>
        <w:tab/>
      </w:r>
      <w:r w:rsidRPr="000655FE">
        <w:rPr>
          <w:rFonts w:eastAsia="Tahoma" w:cstheme="minorHAnsi"/>
          <w:sz w:val="20"/>
          <w:szCs w:val="20"/>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p>
    <w:p w14:paraId="313CF527" w14:textId="7AFF2E4C" w:rsidR="0054112C" w:rsidRPr="000655FE" w:rsidRDefault="0054112C" w:rsidP="0054112C">
      <w:pPr>
        <w:spacing w:after="0" w:line="240" w:lineRule="auto"/>
        <w:rPr>
          <w:rFonts w:eastAsia="Tahoma" w:cstheme="minorHAnsi"/>
          <w:sz w:val="20"/>
          <w:szCs w:val="20"/>
          <w:lang w:eastAsia="en-US"/>
        </w:rPr>
      </w:pPr>
      <w:r w:rsidRPr="000655FE">
        <w:rPr>
          <w:rFonts w:eastAsia="Tahoma" w:cstheme="minorHAnsi"/>
          <w:b/>
          <w:bCs/>
          <w:sz w:val="20"/>
          <w:szCs w:val="20"/>
          <w:lang w:eastAsia="en-US"/>
        </w:rPr>
        <w:t xml:space="preserve">   3.</w:t>
      </w:r>
      <w:r w:rsidRPr="000655FE">
        <w:rPr>
          <w:rFonts w:eastAsia="Tahoma" w:cstheme="minorHAnsi"/>
          <w:sz w:val="20"/>
          <w:szCs w:val="20"/>
          <w:lang w:eastAsia="en-US"/>
        </w:rPr>
        <w:t xml:space="preserve"> </w:t>
      </w:r>
      <w:r w:rsidRPr="000655FE">
        <w:rPr>
          <w:rFonts w:eastAsia="Arial" w:cstheme="minorHAnsi"/>
          <w:b/>
          <w:bCs/>
          <w:sz w:val="20"/>
          <w:szCs w:val="20"/>
          <w:lang w:eastAsia="en-US"/>
        </w:rPr>
        <w:t>Institution</w:t>
      </w:r>
      <w:r w:rsidRPr="000655FE">
        <w:rPr>
          <w:rFonts w:eastAsia="Arial" w:cstheme="minorHAnsi"/>
          <w:sz w:val="20"/>
          <w:szCs w:val="20"/>
          <w:lang w:eastAsia="en-US"/>
        </w:rPr>
        <w:t>:</w:t>
      </w:r>
      <w:r w:rsidRPr="000655FE">
        <w:rPr>
          <w:rFonts w:eastAsia="Tahoma" w:cstheme="minorHAnsi"/>
          <w:sz w:val="20"/>
          <w:szCs w:val="20"/>
          <w:lang w:eastAsia="en-US"/>
        </w:rPr>
        <w:t xml:space="preserve"> </w:t>
      </w:r>
      <w:r w:rsidRPr="000655FE">
        <w:rPr>
          <w:rFonts w:eastAsia="Tahoma" w:cstheme="minorHAnsi"/>
          <w:sz w:val="20"/>
          <w:szCs w:val="20"/>
          <w:lang w:eastAsia="en-US"/>
        </w:rPr>
        <w:tab/>
      </w:r>
      <w:r w:rsidR="00514C16">
        <w:rPr>
          <w:rFonts w:eastAsia="Tahoma" w:cstheme="minorHAnsi"/>
          <w:sz w:val="20"/>
          <w:szCs w:val="20"/>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p>
    <w:p w14:paraId="0A959B42" w14:textId="77777777" w:rsidR="0054112C" w:rsidRPr="000655FE" w:rsidRDefault="0054112C" w:rsidP="0054112C">
      <w:pPr>
        <w:spacing w:after="0" w:line="240" w:lineRule="auto"/>
        <w:rPr>
          <w:rFonts w:eastAsia="Tahoma" w:cstheme="minorHAnsi"/>
          <w:sz w:val="20"/>
          <w:szCs w:val="20"/>
          <w:lang w:eastAsia="en-US"/>
        </w:rPr>
      </w:pPr>
      <w:r w:rsidRPr="000655FE">
        <w:rPr>
          <w:rFonts w:eastAsia="Arial" w:cstheme="minorHAnsi"/>
          <w:sz w:val="20"/>
          <w:szCs w:val="20"/>
          <w:lang w:eastAsia="en-US"/>
        </w:rPr>
        <w:t xml:space="preserve">   </w:t>
      </w:r>
      <w:r w:rsidRPr="000655FE">
        <w:rPr>
          <w:rFonts w:eastAsia="Arial" w:cstheme="minorHAnsi"/>
          <w:b/>
          <w:bCs/>
          <w:sz w:val="20"/>
          <w:szCs w:val="20"/>
          <w:lang w:eastAsia="en-US"/>
        </w:rPr>
        <w:t>4.</w:t>
      </w:r>
      <w:r w:rsidRPr="000655FE">
        <w:rPr>
          <w:rFonts w:eastAsia="Arial" w:cstheme="minorHAnsi"/>
          <w:sz w:val="20"/>
          <w:szCs w:val="20"/>
          <w:lang w:eastAsia="en-US"/>
        </w:rPr>
        <w:t xml:space="preserve"> </w:t>
      </w:r>
      <w:r w:rsidRPr="000655FE">
        <w:rPr>
          <w:rFonts w:eastAsia="Arial" w:cstheme="minorHAnsi"/>
          <w:b/>
          <w:bCs/>
          <w:sz w:val="20"/>
          <w:szCs w:val="20"/>
          <w:lang w:eastAsia="en-US"/>
        </w:rPr>
        <w:t>Division/Area</w:t>
      </w:r>
      <w:r w:rsidRPr="000655FE">
        <w:rPr>
          <w:rFonts w:eastAsia="Arial" w:cstheme="minorHAnsi"/>
          <w:sz w:val="20"/>
          <w:szCs w:val="20"/>
          <w:lang w:eastAsia="en-US"/>
        </w:rPr>
        <w:t>:</w:t>
      </w:r>
      <w:r w:rsidRPr="000655FE">
        <w:rPr>
          <w:rFonts w:eastAsia="Tahoma" w:cstheme="minorHAnsi"/>
          <w:sz w:val="20"/>
          <w:szCs w:val="20"/>
          <w:lang w:eastAsia="en-US"/>
        </w:rPr>
        <w:t xml:space="preserve"> </w:t>
      </w:r>
      <w:r w:rsidRPr="000655FE">
        <w:rPr>
          <w:rFonts w:eastAsia="Tahoma" w:cstheme="minorHAnsi"/>
          <w:sz w:val="20"/>
          <w:szCs w:val="20"/>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p>
    <w:p w14:paraId="2871EE65" w14:textId="77777777" w:rsidR="0054112C" w:rsidRPr="000655FE" w:rsidRDefault="0054112C" w:rsidP="0054112C">
      <w:pPr>
        <w:spacing w:after="0" w:line="240" w:lineRule="auto"/>
        <w:rPr>
          <w:rFonts w:eastAsia="Tahoma" w:cstheme="minorHAnsi"/>
          <w:sz w:val="20"/>
          <w:szCs w:val="20"/>
          <w:lang w:eastAsia="en-US"/>
        </w:rPr>
      </w:pPr>
      <w:r w:rsidRPr="000655FE">
        <w:rPr>
          <w:rFonts w:eastAsia="Tahoma" w:cstheme="minorHAnsi"/>
          <w:sz w:val="20"/>
          <w:szCs w:val="20"/>
          <w:lang w:eastAsia="en-US"/>
        </w:rPr>
        <w:t xml:space="preserve">   </w:t>
      </w:r>
      <w:r w:rsidRPr="000655FE">
        <w:rPr>
          <w:rFonts w:eastAsia="Tahoma" w:cstheme="minorHAnsi"/>
          <w:b/>
          <w:bCs/>
          <w:sz w:val="20"/>
          <w:szCs w:val="20"/>
          <w:lang w:eastAsia="en-US"/>
        </w:rPr>
        <w:t>5.</w:t>
      </w:r>
      <w:r w:rsidRPr="000655FE">
        <w:rPr>
          <w:rFonts w:eastAsia="Tahoma" w:cstheme="minorHAnsi"/>
          <w:sz w:val="20"/>
          <w:szCs w:val="20"/>
          <w:lang w:eastAsia="en-US"/>
        </w:rPr>
        <w:t xml:space="preserve"> </w:t>
      </w:r>
      <w:r w:rsidRPr="000655FE">
        <w:rPr>
          <w:rFonts w:eastAsia="Arial" w:cstheme="minorHAnsi"/>
          <w:b/>
          <w:bCs/>
          <w:sz w:val="20"/>
          <w:szCs w:val="20"/>
          <w:lang w:eastAsia="en-US"/>
        </w:rPr>
        <w:t>Job</w:t>
      </w:r>
      <w:r w:rsidRPr="000655FE">
        <w:rPr>
          <w:rFonts w:eastAsia="Arial" w:cstheme="minorHAnsi"/>
          <w:sz w:val="20"/>
          <w:szCs w:val="20"/>
          <w:lang w:eastAsia="en-US"/>
        </w:rPr>
        <w:t xml:space="preserve"> </w:t>
      </w:r>
      <w:r w:rsidRPr="000655FE">
        <w:rPr>
          <w:rFonts w:eastAsia="Arial" w:cstheme="minorHAnsi"/>
          <w:b/>
          <w:bCs/>
          <w:sz w:val="20"/>
          <w:szCs w:val="20"/>
          <w:lang w:eastAsia="en-US"/>
        </w:rPr>
        <w:t>title</w:t>
      </w:r>
      <w:r w:rsidRPr="000655FE">
        <w:rPr>
          <w:rFonts w:eastAsia="Arial" w:cstheme="minorHAnsi"/>
          <w:sz w:val="20"/>
          <w:szCs w:val="20"/>
          <w:lang w:eastAsia="en-US"/>
        </w:rPr>
        <w:t>:</w:t>
      </w:r>
      <w:r w:rsidRPr="000655FE">
        <w:rPr>
          <w:rFonts w:eastAsia="Tahoma" w:cstheme="minorHAnsi"/>
          <w:sz w:val="20"/>
          <w:szCs w:val="20"/>
          <w:lang w:eastAsia="en-US"/>
        </w:rPr>
        <w:t xml:space="preserve"> </w:t>
      </w:r>
      <w:r w:rsidRPr="000655FE">
        <w:rPr>
          <w:rFonts w:eastAsia="Tahoma" w:cstheme="minorHAnsi"/>
          <w:sz w:val="20"/>
          <w:szCs w:val="20"/>
          <w:lang w:eastAsia="en-US"/>
        </w:rPr>
        <w:tab/>
      </w:r>
      <w:r w:rsidRPr="000655FE">
        <w:rPr>
          <w:rFonts w:eastAsia="Tahoma" w:cstheme="minorHAnsi"/>
          <w:sz w:val="20"/>
          <w:szCs w:val="20"/>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p>
    <w:p w14:paraId="35D3741B" w14:textId="77777777" w:rsidR="0054112C" w:rsidRPr="000655FE" w:rsidRDefault="0054112C" w:rsidP="0054112C">
      <w:pPr>
        <w:spacing w:after="0" w:line="240" w:lineRule="auto"/>
        <w:rPr>
          <w:rFonts w:eastAsia="Tahoma" w:cstheme="minorHAnsi"/>
          <w:sz w:val="20"/>
          <w:szCs w:val="20"/>
          <w:lang w:eastAsia="en-US"/>
        </w:rPr>
      </w:pPr>
      <w:r w:rsidRPr="000655FE">
        <w:rPr>
          <w:rFonts w:eastAsia="Tahoma" w:cstheme="minorHAnsi"/>
          <w:sz w:val="20"/>
          <w:szCs w:val="20"/>
          <w:lang w:eastAsia="en-US"/>
        </w:rPr>
        <w:t xml:space="preserve">   </w:t>
      </w:r>
      <w:r w:rsidRPr="000655FE">
        <w:rPr>
          <w:rFonts w:eastAsia="Tahoma" w:cstheme="minorHAnsi"/>
          <w:b/>
          <w:bCs/>
          <w:sz w:val="20"/>
          <w:szCs w:val="20"/>
          <w:lang w:eastAsia="en-US"/>
        </w:rPr>
        <w:t>6.</w:t>
      </w:r>
      <w:r w:rsidRPr="000655FE">
        <w:rPr>
          <w:rFonts w:eastAsia="Tahoma" w:cstheme="minorHAnsi"/>
          <w:sz w:val="20"/>
          <w:szCs w:val="20"/>
          <w:lang w:eastAsia="en-US"/>
        </w:rPr>
        <w:t xml:space="preserve"> </w:t>
      </w:r>
      <w:r w:rsidRPr="000655FE">
        <w:rPr>
          <w:rFonts w:eastAsia="Arial" w:cstheme="minorHAnsi"/>
          <w:b/>
          <w:bCs/>
          <w:sz w:val="20"/>
          <w:szCs w:val="20"/>
          <w:lang w:eastAsia="en-US"/>
        </w:rPr>
        <w:t>Email address</w:t>
      </w:r>
      <w:r w:rsidRPr="000655FE">
        <w:rPr>
          <w:rFonts w:eastAsia="Arial" w:cstheme="minorHAnsi"/>
          <w:sz w:val="20"/>
          <w:szCs w:val="20"/>
          <w:lang w:eastAsia="en-US"/>
        </w:rPr>
        <w:t>:</w:t>
      </w:r>
      <w:r w:rsidRPr="000655FE">
        <w:rPr>
          <w:rFonts w:eastAsia="Tahoma" w:cstheme="minorHAnsi"/>
          <w:sz w:val="20"/>
          <w:szCs w:val="20"/>
          <w:lang w:eastAsia="en-US"/>
        </w:rPr>
        <w:t xml:space="preserve"> </w:t>
      </w:r>
      <w:r w:rsidRPr="000655FE">
        <w:rPr>
          <w:rFonts w:eastAsia="Tahoma" w:cstheme="minorHAnsi"/>
          <w:sz w:val="20"/>
          <w:szCs w:val="20"/>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r w:rsidRPr="000655FE">
        <w:rPr>
          <w:rFonts w:eastAsia="Tahoma" w:cstheme="minorHAnsi"/>
          <w:sz w:val="20"/>
          <w:szCs w:val="20"/>
          <w:u w:val="single"/>
          <w:lang w:eastAsia="en-US"/>
        </w:rPr>
        <w:tab/>
      </w:r>
    </w:p>
    <w:p w14:paraId="0C19FA5E" w14:textId="77777777" w:rsidR="0054112C" w:rsidRPr="009217D0" w:rsidRDefault="0054112C" w:rsidP="0054112C">
      <w:pPr>
        <w:spacing w:after="0" w:line="240" w:lineRule="auto"/>
        <w:jc w:val="both"/>
        <w:rPr>
          <w:rFonts w:eastAsia="Arial" w:cstheme="minorHAnsi"/>
          <w:b/>
          <w:bCs/>
        </w:rPr>
      </w:pPr>
    </w:p>
    <w:p w14:paraId="5BA6915C" w14:textId="77777777" w:rsidR="0054112C" w:rsidRPr="009217D0" w:rsidRDefault="0054112C" w:rsidP="0054112C">
      <w:pPr>
        <w:spacing w:after="0" w:line="240" w:lineRule="auto"/>
        <w:jc w:val="both"/>
        <w:rPr>
          <w:rFonts w:eastAsia="Arial" w:cstheme="minorHAnsi"/>
          <w:b/>
          <w:bCs/>
        </w:rPr>
      </w:pPr>
    </w:p>
    <w:p w14:paraId="20234C84" w14:textId="77777777" w:rsidR="0054112C" w:rsidRPr="009217D0" w:rsidRDefault="0054112C" w:rsidP="0054112C">
      <w:pPr>
        <w:spacing w:after="0" w:line="240" w:lineRule="auto"/>
        <w:jc w:val="both"/>
        <w:rPr>
          <w:rFonts w:eastAsia="Arial" w:cstheme="minorHAnsi"/>
          <w:b/>
          <w:bCs/>
        </w:rPr>
      </w:pPr>
      <w:r w:rsidRPr="009217D0">
        <w:rPr>
          <w:rFonts w:eastAsia="Arial" w:cstheme="minorHAnsi"/>
          <w:b/>
          <w:bCs/>
        </w:rPr>
        <w:t>Part II. Use of COFOG in Your Institution</w:t>
      </w:r>
    </w:p>
    <w:p w14:paraId="053B327B" w14:textId="77777777" w:rsidR="0054112C" w:rsidRPr="009217D0" w:rsidRDefault="0054112C" w:rsidP="0054112C">
      <w:pPr>
        <w:spacing w:after="0" w:line="240" w:lineRule="auto"/>
        <w:rPr>
          <w:rFonts w:eastAsia="Tahoma" w:cstheme="minorHAnsi"/>
          <w:sz w:val="22"/>
          <w:szCs w:val="22"/>
          <w:lang w:eastAsia="en-US"/>
        </w:rPr>
      </w:pPr>
    </w:p>
    <w:p w14:paraId="4B0C59F2" w14:textId="77777777" w:rsidR="0054112C" w:rsidRPr="009217D0" w:rsidRDefault="0054112C" w:rsidP="00D25872">
      <w:pPr>
        <w:pStyle w:val="NormalWeb"/>
        <w:numPr>
          <w:ilvl w:val="0"/>
          <w:numId w:val="2"/>
        </w:numPr>
        <w:spacing w:before="0" w:beforeAutospacing="0" w:after="0" w:afterAutospacing="0"/>
        <w:jc w:val="both"/>
        <w:rPr>
          <w:rFonts w:asciiTheme="minorHAnsi" w:hAnsiTheme="minorHAnsi" w:cstheme="minorHAnsi"/>
          <w:b/>
          <w:bCs/>
          <w:color w:val="000000"/>
          <w:sz w:val="20"/>
          <w:szCs w:val="20"/>
        </w:rPr>
      </w:pPr>
      <w:r w:rsidRPr="009217D0">
        <w:rPr>
          <w:rFonts w:asciiTheme="minorHAnsi" w:hAnsiTheme="minorHAnsi" w:cstheme="minorBidi"/>
          <w:b/>
          <w:bCs/>
          <w:color w:val="000000" w:themeColor="text1"/>
          <w:sz w:val="20"/>
          <w:szCs w:val="20"/>
        </w:rPr>
        <w:t xml:space="preserve">We encourage a coordinated response from your institution. Please indicate below if your response is coordinated with experts in the following areas within your institution </w:t>
      </w:r>
      <w:r w:rsidRPr="009217D0">
        <w:rPr>
          <w:sz w:val="22"/>
          <w:szCs w:val="22"/>
        </w:rPr>
        <w:br/>
      </w:r>
      <w:r w:rsidRPr="009217D0">
        <w:rPr>
          <w:rFonts w:asciiTheme="minorHAnsi" w:hAnsiTheme="minorHAnsi" w:cstheme="minorBidi"/>
          <w:b/>
          <w:bCs/>
          <w:color w:val="000000" w:themeColor="text1"/>
          <w:sz w:val="20"/>
          <w:szCs w:val="20"/>
        </w:rPr>
        <w:t>(Please select all that apply)</w:t>
      </w:r>
    </w:p>
    <w:p w14:paraId="33E37AC5" w14:textId="77777777" w:rsidR="0054112C" w:rsidRPr="009217D0" w:rsidRDefault="00710D62" w:rsidP="0054112C">
      <w:pPr>
        <w:pStyle w:val="NormalWeb"/>
        <w:spacing w:before="0" w:beforeAutospacing="0" w:after="0" w:afterAutospacing="0"/>
        <w:ind w:left="360"/>
        <w:rPr>
          <w:rFonts w:asciiTheme="minorHAnsi" w:hAnsiTheme="minorHAnsi" w:cstheme="minorHAnsi"/>
          <w:color w:val="000000"/>
          <w:sz w:val="20"/>
          <w:szCs w:val="20"/>
        </w:rPr>
      </w:pPr>
      <w:sdt>
        <w:sdtPr>
          <w:rPr>
            <w:rFonts w:asciiTheme="minorHAnsi" w:eastAsia="MS Gothic" w:hAnsiTheme="minorHAnsi" w:cstheme="minorHAnsi"/>
            <w:sz w:val="20"/>
            <w:szCs w:val="20"/>
          </w:rPr>
          <w:id w:val="-661620475"/>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hAnsiTheme="minorHAnsi" w:cstheme="minorHAnsi"/>
          <w:color w:val="000000"/>
          <w:sz w:val="20"/>
          <w:szCs w:val="20"/>
        </w:rPr>
        <w:t xml:space="preserve"> Government finance statistics</w:t>
      </w:r>
    </w:p>
    <w:p w14:paraId="38E9B9F3" w14:textId="77777777" w:rsidR="0054112C" w:rsidRPr="009217D0" w:rsidRDefault="00710D62" w:rsidP="0054112C">
      <w:pPr>
        <w:pStyle w:val="NormalWeb"/>
        <w:spacing w:before="0" w:beforeAutospacing="0" w:after="0" w:afterAutospacing="0"/>
        <w:ind w:left="360"/>
        <w:rPr>
          <w:rFonts w:asciiTheme="minorHAnsi" w:hAnsiTheme="minorHAnsi" w:cstheme="minorHAnsi"/>
          <w:color w:val="000000"/>
          <w:sz w:val="20"/>
          <w:szCs w:val="20"/>
        </w:rPr>
      </w:pPr>
      <w:sdt>
        <w:sdtPr>
          <w:rPr>
            <w:rFonts w:asciiTheme="minorHAnsi" w:eastAsia="MS Gothic" w:hAnsiTheme="minorHAnsi" w:cstheme="minorHAnsi"/>
            <w:sz w:val="20"/>
            <w:szCs w:val="20"/>
          </w:rPr>
          <w:id w:val="14288792"/>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hAnsiTheme="minorHAnsi" w:cstheme="minorHAnsi"/>
          <w:color w:val="000000"/>
          <w:sz w:val="20"/>
          <w:szCs w:val="20"/>
        </w:rPr>
        <w:t xml:space="preserve"> National accounts</w:t>
      </w:r>
    </w:p>
    <w:p w14:paraId="798F65B5" w14:textId="77777777" w:rsidR="0054112C" w:rsidRPr="009217D0" w:rsidRDefault="00710D62" w:rsidP="0054112C">
      <w:pPr>
        <w:pStyle w:val="NormalWeb"/>
        <w:spacing w:before="0" w:beforeAutospacing="0" w:after="0" w:afterAutospacing="0"/>
        <w:ind w:firstLine="360"/>
        <w:rPr>
          <w:rFonts w:asciiTheme="minorHAnsi" w:hAnsiTheme="minorHAnsi" w:cstheme="minorHAnsi"/>
          <w:color w:val="000000"/>
          <w:sz w:val="20"/>
          <w:szCs w:val="20"/>
        </w:rPr>
      </w:pPr>
      <w:sdt>
        <w:sdtPr>
          <w:rPr>
            <w:rFonts w:asciiTheme="minorHAnsi" w:eastAsia="MS Gothic" w:hAnsiTheme="minorHAnsi" w:cstheme="minorHAnsi"/>
            <w:sz w:val="20"/>
            <w:szCs w:val="20"/>
          </w:rPr>
          <w:id w:val="702220212"/>
          <w14:checkbox>
            <w14:checked w14:val="0"/>
            <w14:checkedState w14:val="2612" w14:font="MS Gothic"/>
            <w14:uncheckedState w14:val="2610" w14:font="MS Gothic"/>
          </w14:checkbox>
        </w:sdtPr>
        <w:sdtEndPr/>
        <w:sdtContent>
          <w:r w:rsidR="0054112C" w:rsidRPr="009217D0">
            <w:rPr>
              <w:rFonts w:ascii="MS Gothic" w:eastAsia="MS Gothic" w:hAnsi="MS Gothic" w:cstheme="minorHAnsi" w:hint="eastAsia"/>
              <w:sz w:val="20"/>
              <w:szCs w:val="20"/>
            </w:rPr>
            <w:t>☐</w:t>
          </w:r>
        </w:sdtContent>
      </w:sdt>
      <w:r w:rsidR="0054112C" w:rsidRPr="009217D0">
        <w:rPr>
          <w:rFonts w:asciiTheme="minorHAnsi" w:hAnsiTheme="minorHAnsi" w:cstheme="minorHAnsi"/>
          <w:color w:val="000000"/>
          <w:sz w:val="20"/>
          <w:szCs w:val="20"/>
        </w:rPr>
        <w:t xml:space="preserve"> Classifications</w:t>
      </w:r>
    </w:p>
    <w:p w14:paraId="0D3DC712" w14:textId="77777777" w:rsidR="0054112C" w:rsidRPr="009217D0" w:rsidRDefault="00710D62" w:rsidP="0054112C">
      <w:pPr>
        <w:pStyle w:val="NormalWeb"/>
        <w:spacing w:before="0" w:beforeAutospacing="0" w:after="0" w:afterAutospacing="0"/>
        <w:ind w:left="360"/>
        <w:rPr>
          <w:rFonts w:asciiTheme="minorHAnsi" w:hAnsiTheme="minorHAnsi" w:cstheme="minorHAnsi"/>
          <w:color w:val="000000"/>
          <w:sz w:val="20"/>
          <w:szCs w:val="20"/>
        </w:rPr>
      </w:pPr>
      <w:sdt>
        <w:sdtPr>
          <w:rPr>
            <w:rFonts w:asciiTheme="minorHAnsi" w:eastAsia="MS Gothic" w:hAnsiTheme="minorHAnsi" w:cstheme="minorHAnsi"/>
            <w:sz w:val="20"/>
            <w:szCs w:val="20"/>
          </w:rPr>
          <w:id w:val="-892963532"/>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hAnsiTheme="minorHAnsi" w:cstheme="minorHAnsi"/>
          <w:color w:val="000000"/>
          <w:sz w:val="20"/>
          <w:szCs w:val="20"/>
        </w:rPr>
        <w:t xml:space="preserve"> Business and trade statistics</w:t>
      </w:r>
    </w:p>
    <w:p w14:paraId="160AA9D3" w14:textId="77777777" w:rsidR="0054112C" w:rsidRPr="009217D0" w:rsidRDefault="00710D62" w:rsidP="0054112C">
      <w:pPr>
        <w:pStyle w:val="NormalWeb"/>
        <w:spacing w:before="0" w:beforeAutospacing="0" w:after="0" w:afterAutospacing="0"/>
        <w:ind w:left="360"/>
        <w:rPr>
          <w:rFonts w:asciiTheme="minorHAnsi" w:hAnsiTheme="minorHAnsi" w:cstheme="minorBidi"/>
          <w:color w:val="000000" w:themeColor="text1"/>
          <w:sz w:val="20"/>
          <w:szCs w:val="20"/>
        </w:rPr>
      </w:pPr>
      <w:sdt>
        <w:sdtPr>
          <w:rPr>
            <w:rFonts w:asciiTheme="minorHAnsi" w:eastAsia="MS Gothic" w:hAnsiTheme="minorHAnsi" w:cstheme="minorHAnsi"/>
            <w:sz w:val="20"/>
            <w:szCs w:val="20"/>
          </w:rPr>
          <w:id w:val="-263466035"/>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hAnsiTheme="minorHAnsi" w:cstheme="minorBidi"/>
          <w:color w:val="000000" w:themeColor="text1"/>
          <w:sz w:val="20"/>
          <w:szCs w:val="20"/>
        </w:rPr>
        <w:t xml:space="preserve"> Environment statistics</w:t>
      </w:r>
    </w:p>
    <w:p w14:paraId="3221C48B" w14:textId="77777777" w:rsidR="0054112C" w:rsidRPr="009217D0" w:rsidRDefault="00710D62" w:rsidP="0054112C">
      <w:pPr>
        <w:pStyle w:val="NormalWeb"/>
        <w:spacing w:before="0" w:beforeAutospacing="0" w:after="0" w:afterAutospacing="0"/>
        <w:ind w:left="360"/>
        <w:rPr>
          <w:rFonts w:asciiTheme="minorHAnsi" w:hAnsiTheme="minorHAnsi" w:cstheme="minorBidi"/>
          <w:color w:val="000000" w:themeColor="text1"/>
          <w:sz w:val="20"/>
          <w:szCs w:val="20"/>
        </w:rPr>
      </w:pPr>
      <w:sdt>
        <w:sdtPr>
          <w:rPr>
            <w:rFonts w:asciiTheme="minorHAnsi" w:eastAsia="MS Gothic" w:hAnsiTheme="minorHAnsi" w:cstheme="minorHAnsi"/>
            <w:sz w:val="20"/>
            <w:szCs w:val="20"/>
          </w:rPr>
          <w:id w:val="1681086218"/>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hAnsiTheme="minorHAnsi" w:cstheme="minorBidi"/>
          <w:color w:val="000000" w:themeColor="text1"/>
          <w:sz w:val="20"/>
          <w:szCs w:val="20"/>
        </w:rPr>
        <w:t xml:space="preserve"> Environmental-economic accounts </w:t>
      </w:r>
    </w:p>
    <w:p w14:paraId="547DC783" w14:textId="77777777" w:rsidR="0054112C" w:rsidRPr="009217D0" w:rsidRDefault="00710D62" w:rsidP="0054112C">
      <w:pPr>
        <w:pStyle w:val="NormalWeb"/>
        <w:spacing w:before="0" w:beforeAutospacing="0" w:after="0" w:afterAutospacing="0"/>
        <w:ind w:left="360"/>
        <w:rPr>
          <w:rFonts w:asciiTheme="minorHAnsi" w:hAnsiTheme="minorHAnsi" w:cstheme="minorHAnsi"/>
          <w:color w:val="000000"/>
          <w:sz w:val="20"/>
          <w:szCs w:val="20"/>
        </w:rPr>
      </w:pPr>
      <w:sdt>
        <w:sdtPr>
          <w:rPr>
            <w:rFonts w:asciiTheme="minorHAnsi" w:eastAsia="MS Gothic" w:hAnsiTheme="minorHAnsi" w:cstheme="minorHAnsi"/>
            <w:sz w:val="20"/>
            <w:szCs w:val="20"/>
          </w:rPr>
          <w:id w:val="179938051"/>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hAnsiTheme="minorHAnsi" w:cstheme="minorHAnsi"/>
          <w:color w:val="000000"/>
          <w:sz w:val="20"/>
          <w:szCs w:val="20"/>
        </w:rPr>
        <w:t xml:space="preserve"> Social and demographic statistics </w:t>
      </w:r>
    </w:p>
    <w:p w14:paraId="785BBD36" w14:textId="77777777" w:rsidR="0054112C" w:rsidRPr="009217D0" w:rsidRDefault="00710D62" w:rsidP="0054112C">
      <w:pPr>
        <w:pStyle w:val="NormalWeb"/>
        <w:spacing w:before="0" w:beforeAutospacing="0" w:after="0" w:afterAutospacing="0"/>
        <w:ind w:left="360"/>
        <w:rPr>
          <w:rFonts w:asciiTheme="minorHAnsi" w:hAnsiTheme="minorHAnsi" w:cstheme="minorHAnsi"/>
          <w:color w:val="000000"/>
          <w:sz w:val="20"/>
          <w:szCs w:val="20"/>
        </w:rPr>
      </w:pPr>
      <w:sdt>
        <w:sdtPr>
          <w:rPr>
            <w:rFonts w:asciiTheme="minorHAnsi" w:eastAsia="MS Gothic" w:hAnsiTheme="minorHAnsi" w:cstheme="minorHAnsi"/>
            <w:sz w:val="20"/>
            <w:szCs w:val="20"/>
          </w:rPr>
          <w:id w:val="-121230877"/>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hAnsiTheme="minorHAnsi" w:cstheme="minorHAnsi"/>
          <w:color w:val="000000"/>
          <w:sz w:val="20"/>
          <w:szCs w:val="20"/>
        </w:rPr>
        <w:t xml:space="preserve"> Health statistics </w:t>
      </w:r>
    </w:p>
    <w:p w14:paraId="7276AB8A" w14:textId="77777777" w:rsidR="0054112C" w:rsidRPr="009217D0" w:rsidRDefault="00710D62" w:rsidP="0054112C">
      <w:pPr>
        <w:pStyle w:val="NormalWeb"/>
        <w:spacing w:before="0" w:beforeAutospacing="0" w:after="0" w:afterAutospacing="0"/>
        <w:ind w:left="360"/>
        <w:rPr>
          <w:rFonts w:asciiTheme="minorHAnsi" w:hAnsiTheme="minorHAnsi" w:cstheme="minorHAnsi"/>
          <w:color w:val="000000"/>
          <w:sz w:val="20"/>
          <w:szCs w:val="20"/>
        </w:rPr>
      </w:pPr>
      <w:sdt>
        <w:sdtPr>
          <w:rPr>
            <w:rFonts w:asciiTheme="minorHAnsi" w:eastAsia="MS Gothic" w:hAnsiTheme="minorHAnsi" w:cstheme="minorHAnsi"/>
            <w:sz w:val="20"/>
            <w:szCs w:val="20"/>
          </w:rPr>
          <w:id w:val="866799792"/>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hAnsiTheme="minorHAnsi" w:cstheme="minorHAnsi"/>
          <w:color w:val="000000"/>
          <w:sz w:val="20"/>
          <w:szCs w:val="20"/>
        </w:rPr>
        <w:t xml:space="preserve"> Education statistics</w:t>
      </w:r>
    </w:p>
    <w:p w14:paraId="4D9FAEC4" w14:textId="77777777" w:rsidR="0054112C" w:rsidRPr="009217D0" w:rsidRDefault="00710D62" w:rsidP="0054112C">
      <w:pPr>
        <w:pStyle w:val="NormalWeb"/>
        <w:spacing w:before="0" w:beforeAutospacing="0" w:after="0" w:afterAutospacing="0"/>
        <w:ind w:left="360"/>
        <w:rPr>
          <w:rFonts w:asciiTheme="minorHAnsi" w:eastAsia="MS Gothic" w:hAnsiTheme="minorHAnsi" w:cstheme="minorHAnsi"/>
          <w:sz w:val="20"/>
          <w:szCs w:val="20"/>
        </w:rPr>
      </w:pPr>
      <w:sdt>
        <w:sdtPr>
          <w:rPr>
            <w:rFonts w:asciiTheme="minorHAnsi" w:eastAsia="MS Gothic" w:hAnsiTheme="minorHAnsi" w:cstheme="minorHAnsi"/>
            <w:sz w:val="20"/>
            <w:szCs w:val="20"/>
          </w:rPr>
          <w:id w:val="752781376"/>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eastAsia="MS Gothic" w:hAnsiTheme="minorHAnsi" w:cstheme="minorHAnsi"/>
          <w:sz w:val="20"/>
          <w:szCs w:val="20"/>
        </w:rPr>
        <w:t xml:space="preserve"> SNA extended and thematic accounts (please specify which:  ____________________________) </w:t>
      </w:r>
    </w:p>
    <w:p w14:paraId="020062C2" w14:textId="77777777" w:rsidR="0054112C" w:rsidRPr="009217D0" w:rsidRDefault="00710D62" w:rsidP="0054112C">
      <w:pPr>
        <w:pStyle w:val="NormalWeb"/>
        <w:spacing w:before="0" w:beforeAutospacing="0" w:after="0" w:afterAutospacing="0"/>
        <w:ind w:left="360"/>
        <w:rPr>
          <w:rFonts w:asciiTheme="minorHAnsi" w:eastAsia="MS Gothic" w:hAnsiTheme="minorHAnsi" w:cstheme="minorHAnsi"/>
          <w:sz w:val="20"/>
          <w:szCs w:val="20"/>
        </w:rPr>
      </w:pPr>
      <w:sdt>
        <w:sdtPr>
          <w:rPr>
            <w:rFonts w:asciiTheme="minorHAnsi" w:eastAsia="MS Gothic" w:hAnsiTheme="minorHAnsi" w:cstheme="minorHAnsi"/>
            <w:sz w:val="20"/>
            <w:szCs w:val="20"/>
          </w:rPr>
          <w:id w:val="440273815"/>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eastAsia="MS Gothic" w:hAnsiTheme="minorHAnsi" w:cstheme="minorHAnsi"/>
          <w:sz w:val="20"/>
          <w:szCs w:val="20"/>
        </w:rPr>
        <w:t xml:space="preserve"> Tourism statistics</w:t>
      </w:r>
    </w:p>
    <w:p w14:paraId="63D95FE0" w14:textId="77777777" w:rsidR="0054112C" w:rsidRPr="009217D0" w:rsidRDefault="00710D62" w:rsidP="0054112C">
      <w:pPr>
        <w:pStyle w:val="NormalWeb"/>
        <w:spacing w:before="0" w:beforeAutospacing="0" w:after="0" w:afterAutospacing="0"/>
        <w:ind w:left="360"/>
        <w:rPr>
          <w:rFonts w:asciiTheme="minorHAnsi" w:hAnsiTheme="minorHAnsi" w:cstheme="minorHAnsi"/>
          <w:color w:val="000000"/>
          <w:sz w:val="20"/>
          <w:szCs w:val="20"/>
        </w:rPr>
      </w:pPr>
      <w:sdt>
        <w:sdtPr>
          <w:rPr>
            <w:rFonts w:asciiTheme="minorHAnsi" w:eastAsia="MS Gothic" w:hAnsiTheme="minorHAnsi" w:cstheme="minorHAnsi"/>
            <w:sz w:val="20"/>
            <w:szCs w:val="20"/>
          </w:rPr>
          <w:id w:val="1117952437"/>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eastAsia="MS Gothic" w:hAnsiTheme="minorHAnsi" w:cstheme="minorHAnsi"/>
          <w:sz w:val="20"/>
          <w:szCs w:val="20"/>
        </w:rPr>
        <w:t xml:space="preserve"> Research and development statistics</w:t>
      </w:r>
    </w:p>
    <w:p w14:paraId="25400572" w14:textId="77777777" w:rsidR="0054112C" w:rsidRPr="009217D0" w:rsidRDefault="00710D62" w:rsidP="0054112C">
      <w:pPr>
        <w:pStyle w:val="NormalWeb"/>
        <w:spacing w:before="0" w:beforeAutospacing="0" w:after="0" w:afterAutospacing="0"/>
        <w:ind w:left="360"/>
        <w:rPr>
          <w:rFonts w:asciiTheme="minorHAnsi" w:hAnsiTheme="minorHAnsi" w:cstheme="minorHAnsi"/>
          <w:color w:val="000000"/>
          <w:sz w:val="20"/>
          <w:szCs w:val="20"/>
        </w:rPr>
      </w:pPr>
      <w:sdt>
        <w:sdtPr>
          <w:rPr>
            <w:rFonts w:asciiTheme="minorHAnsi" w:eastAsia="MS Gothic" w:hAnsiTheme="minorHAnsi" w:cstheme="minorHAnsi"/>
            <w:sz w:val="20"/>
            <w:szCs w:val="20"/>
          </w:rPr>
          <w:id w:val="-310716069"/>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hAnsiTheme="minorHAnsi" w:cstheme="minorHAnsi"/>
          <w:color w:val="000000"/>
          <w:sz w:val="20"/>
          <w:szCs w:val="20"/>
        </w:rPr>
        <w:t xml:space="preserve"> Other, please specify: _________________________________________________________________</w:t>
      </w:r>
    </w:p>
    <w:p w14:paraId="241DB491" w14:textId="77777777" w:rsidR="0054112C" w:rsidRPr="009217D0" w:rsidRDefault="0054112C" w:rsidP="0054112C">
      <w:pPr>
        <w:pStyle w:val="NormalWeb"/>
        <w:spacing w:before="0" w:beforeAutospacing="0" w:after="0" w:afterAutospacing="0"/>
        <w:rPr>
          <w:rFonts w:asciiTheme="minorHAnsi" w:hAnsiTheme="minorHAnsi" w:cstheme="minorHAnsi"/>
          <w:color w:val="000000"/>
          <w:sz w:val="20"/>
          <w:szCs w:val="20"/>
        </w:rPr>
      </w:pPr>
    </w:p>
    <w:p w14:paraId="5761B5CF" w14:textId="77777777" w:rsidR="00806AD8" w:rsidRPr="009217D0" w:rsidRDefault="00806AD8" w:rsidP="0054112C">
      <w:pPr>
        <w:pStyle w:val="NormalWeb"/>
        <w:spacing w:before="0" w:beforeAutospacing="0" w:after="0" w:afterAutospacing="0"/>
        <w:rPr>
          <w:rFonts w:asciiTheme="minorHAnsi" w:hAnsiTheme="minorHAnsi" w:cstheme="minorHAnsi"/>
          <w:color w:val="000000"/>
          <w:sz w:val="20"/>
          <w:szCs w:val="20"/>
        </w:rPr>
      </w:pPr>
    </w:p>
    <w:p w14:paraId="22A4E376" w14:textId="77777777" w:rsidR="0054112C" w:rsidRPr="009217D0" w:rsidRDefault="0054112C" w:rsidP="00D25872">
      <w:pPr>
        <w:pStyle w:val="NormalWeb"/>
        <w:numPr>
          <w:ilvl w:val="0"/>
          <w:numId w:val="2"/>
        </w:numPr>
        <w:spacing w:before="0" w:beforeAutospacing="0" w:after="0" w:afterAutospacing="0"/>
        <w:rPr>
          <w:rFonts w:asciiTheme="minorHAnsi" w:hAnsiTheme="minorHAnsi" w:cstheme="minorHAnsi"/>
          <w:b/>
          <w:bCs/>
          <w:color w:val="000000"/>
          <w:sz w:val="20"/>
          <w:szCs w:val="20"/>
        </w:rPr>
      </w:pPr>
      <w:r w:rsidRPr="009217D0">
        <w:rPr>
          <w:rFonts w:asciiTheme="minorHAnsi" w:hAnsiTheme="minorHAnsi" w:cstheme="minorHAnsi"/>
          <w:b/>
          <w:bCs/>
          <w:color w:val="000000"/>
          <w:sz w:val="20"/>
          <w:szCs w:val="20"/>
        </w:rPr>
        <w:t>Is your response coordinated with other institutions (not your own) in your country?</w:t>
      </w:r>
    </w:p>
    <w:p w14:paraId="2AB6F5F8" w14:textId="77777777" w:rsidR="0054112C" w:rsidRPr="009217D0" w:rsidRDefault="00710D62" w:rsidP="0054112C">
      <w:pPr>
        <w:pStyle w:val="NormalWeb"/>
        <w:spacing w:before="0" w:beforeAutospacing="0" w:after="0" w:afterAutospacing="0"/>
        <w:ind w:left="360"/>
        <w:rPr>
          <w:rFonts w:asciiTheme="minorHAnsi" w:hAnsiTheme="minorHAnsi" w:cstheme="minorHAnsi"/>
          <w:color w:val="000000"/>
          <w:sz w:val="20"/>
          <w:szCs w:val="20"/>
        </w:rPr>
      </w:pPr>
      <w:sdt>
        <w:sdtPr>
          <w:rPr>
            <w:rFonts w:asciiTheme="minorHAnsi" w:eastAsia="MS Gothic" w:hAnsiTheme="minorHAnsi" w:cstheme="minorHAnsi"/>
            <w:sz w:val="20"/>
            <w:szCs w:val="20"/>
          </w:rPr>
          <w:id w:val="1356231381"/>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hAnsiTheme="minorHAnsi" w:cstheme="minorHAnsi"/>
          <w:color w:val="000000"/>
          <w:sz w:val="20"/>
          <w:szCs w:val="20"/>
        </w:rPr>
        <w:t xml:space="preserve"> Yes. If yes, with whom? </w:t>
      </w:r>
      <w:sdt>
        <w:sdtPr>
          <w:rPr>
            <w:rFonts w:cstheme="minorHAnsi"/>
            <w:color w:val="000000"/>
            <w:sz w:val="22"/>
            <w:szCs w:val="22"/>
          </w:rPr>
          <w:id w:val="1399248246"/>
          <w:placeholder>
            <w:docPart w:val="47C8152DD6594686AE9FCAD710D772B4"/>
          </w:placeholder>
          <w:text/>
        </w:sdtPr>
        <w:sdtEndPr/>
        <w:sdtContent>
          <w:r w:rsidR="0054112C" w:rsidRPr="00990E01">
            <w:rPr>
              <w:rFonts w:cstheme="minorHAnsi"/>
              <w:color w:val="000000"/>
              <w:sz w:val="22"/>
              <w:szCs w:val="22"/>
            </w:rPr>
            <w:t>______________________________________________________</w:t>
          </w:r>
        </w:sdtContent>
      </w:sdt>
    </w:p>
    <w:p w14:paraId="4806E53D" w14:textId="77777777" w:rsidR="0054112C" w:rsidRPr="009217D0" w:rsidRDefault="00710D62" w:rsidP="0054112C">
      <w:pPr>
        <w:pStyle w:val="NormalWeb"/>
        <w:spacing w:before="0" w:beforeAutospacing="0" w:after="0" w:afterAutospacing="0"/>
        <w:ind w:left="360"/>
        <w:rPr>
          <w:rFonts w:asciiTheme="minorHAnsi" w:hAnsiTheme="minorHAnsi" w:cstheme="minorHAnsi"/>
          <w:color w:val="000000"/>
          <w:sz w:val="20"/>
          <w:szCs w:val="20"/>
        </w:rPr>
      </w:pPr>
      <w:sdt>
        <w:sdtPr>
          <w:rPr>
            <w:rFonts w:asciiTheme="minorHAnsi" w:eastAsia="MS Gothic" w:hAnsiTheme="minorHAnsi" w:cstheme="minorHAnsi"/>
            <w:sz w:val="20"/>
            <w:szCs w:val="20"/>
          </w:rPr>
          <w:id w:val="272765619"/>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hAnsiTheme="minorHAnsi" w:cstheme="minorHAnsi"/>
          <w:color w:val="000000"/>
          <w:sz w:val="20"/>
          <w:szCs w:val="20"/>
        </w:rPr>
        <w:t xml:space="preserve"> No</w:t>
      </w:r>
    </w:p>
    <w:p w14:paraId="0C0F8680" w14:textId="3E81E033" w:rsidR="0054112C" w:rsidRPr="009217D0" w:rsidRDefault="00710D62" w:rsidP="00557FE0">
      <w:pPr>
        <w:pStyle w:val="NormalWeb"/>
        <w:spacing w:before="0" w:beforeAutospacing="0" w:after="0" w:afterAutospacing="0"/>
        <w:ind w:left="360"/>
        <w:rPr>
          <w:rFonts w:asciiTheme="minorHAnsi" w:hAnsiTheme="minorHAnsi" w:cstheme="minorHAnsi"/>
          <w:color w:val="000000"/>
          <w:sz w:val="20"/>
          <w:szCs w:val="20"/>
        </w:rPr>
      </w:pPr>
      <w:sdt>
        <w:sdtPr>
          <w:rPr>
            <w:rFonts w:asciiTheme="minorHAnsi" w:eastAsia="MS Gothic" w:hAnsiTheme="minorHAnsi" w:cstheme="minorHAnsi"/>
            <w:sz w:val="20"/>
            <w:szCs w:val="20"/>
          </w:rPr>
          <w:id w:val="214245284"/>
          <w14:checkbox>
            <w14:checked w14:val="0"/>
            <w14:checkedState w14:val="2612" w14:font="MS Gothic"/>
            <w14:uncheckedState w14:val="2610" w14:font="MS Gothic"/>
          </w14:checkbox>
        </w:sdtPr>
        <w:sdtEndPr/>
        <w:sdtContent>
          <w:r w:rsidR="0054112C" w:rsidRPr="009217D0">
            <w:rPr>
              <w:rFonts w:ascii="Segoe UI Symbol" w:eastAsia="MS Gothic" w:hAnsi="Segoe UI Symbol" w:cs="Segoe UI Symbol"/>
              <w:sz w:val="20"/>
              <w:szCs w:val="20"/>
            </w:rPr>
            <w:t>☐</w:t>
          </w:r>
        </w:sdtContent>
      </w:sdt>
      <w:r w:rsidR="0054112C" w:rsidRPr="009217D0">
        <w:rPr>
          <w:rFonts w:asciiTheme="minorHAnsi" w:hAnsiTheme="minorHAnsi" w:cstheme="minorHAnsi"/>
          <w:color w:val="000000"/>
          <w:sz w:val="20"/>
          <w:szCs w:val="20"/>
        </w:rPr>
        <w:t xml:space="preserve"> Not applicable</w:t>
      </w:r>
    </w:p>
    <w:p w14:paraId="13AAA18A" w14:textId="77777777" w:rsidR="00557FE0" w:rsidRPr="009217D0" w:rsidRDefault="00557FE0" w:rsidP="00557FE0">
      <w:pPr>
        <w:pStyle w:val="NormalWeb"/>
        <w:spacing w:before="0" w:beforeAutospacing="0" w:after="0" w:afterAutospacing="0"/>
        <w:ind w:left="360"/>
        <w:rPr>
          <w:rFonts w:asciiTheme="minorHAnsi" w:hAnsiTheme="minorHAnsi" w:cstheme="minorHAnsi"/>
          <w:color w:val="000000"/>
          <w:sz w:val="20"/>
          <w:szCs w:val="20"/>
        </w:rPr>
      </w:pPr>
    </w:p>
    <w:p w14:paraId="44483E93" w14:textId="77777777" w:rsidR="00806AD8" w:rsidRPr="009217D0" w:rsidRDefault="00806AD8" w:rsidP="00557FE0">
      <w:pPr>
        <w:pStyle w:val="NormalWeb"/>
        <w:spacing w:before="0" w:beforeAutospacing="0" w:after="0" w:afterAutospacing="0"/>
        <w:ind w:left="360"/>
        <w:rPr>
          <w:rFonts w:asciiTheme="minorHAnsi" w:hAnsiTheme="minorHAnsi" w:cstheme="minorHAnsi"/>
          <w:color w:val="000000"/>
          <w:sz w:val="20"/>
          <w:szCs w:val="20"/>
        </w:rPr>
      </w:pPr>
    </w:p>
    <w:p w14:paraId="4AA7A1BC" w14:textId="77777777" w:rsidR="0054112C" w:rsidRPr="009217D0" w:rsidRDefault="0054112C" w:rsidP="00D25872">
      <w:pPr>
        <w:pStyle w:val="NormalWeb"/>
        <w:numPr>
          <w:ilvl w:val="0"/>
          <w:numId w:val="2"/>
        </w:numPr>
        <w:spacing w:before="0" w:beforeAutospacing="0" w:after="0" w:afterAutospacing="0"/>
        <w:jc w:val="both"/>
        <w:rPr>
          <w:rFonts w:asciiTheme="minorHAnsi" w:hAnsiTheme="minorHAnsi" w:cstheme="minorHAnsi"/>
          <w:b/>
          <w:bCs/>
          <w:color w:val="000000"/>
          <w:sz w:val="20"/>
          <w:szCs w:val="20"/>
        </w:rPr>
      </w:pPr>
      <w:r w:rsidRPr="009217D0">
        <w:rPr>
          <w:rFonts w:asciiTheme="minorHAnsi" w:hAnsiTheme="minorHAnsi" w:cstheme="minorHAnsi"/>
          <w:b/>
          <w:bCs/>
          <w:color w:val="000000"/>
          <w:sz w:val="20"/>
          <w:szCs w:val="20"/>
        </w:rPr>
        <w:t xml:space="preserve">Does your institution compile or use government expenditure statistics or accounts utilizing COFOG? (Please select all that apply) </w:t>
      </w:r>
    </w:p>
    <w:p w14:paraId="1BF47CD8" w14:textId="77777777" w:rsidR="0054112C" w:rsidRPr="000655FE" w:rsidRDefault="00710D62" w:rsidP="0054112C">
      <w:pPr>
        <w:tabs>
          <w:tab w:val="left" w:pos="630"/>
        </w:tabs>
        <w:spacing w:after="0" w:line="240" w:lineRule="auto"/>
        <w:ind w:left="360"/>
        <w:jc w:val="both"/>
        <w:rPr>
          <w:rFonts w:eastAsia="Arial" w:cstheme="minorHAnsi"/>
          <w:sz w:val="20"/>
          <w:szCs w:val="20"/>
          <w:lang w:eastAsia="en-US"/>
        </w:rPr>
      </w:pPr>
      <w:sdt>
        <w:sdtPr>
          <w:rPr>
            <w:rFonts w:eastAsia="Tahoma" w:cstheme="minorHAnsi"/>
            <w:sz w:val="20"/>
            <w:szCs w:val="20"/>
            <w:lang w:eastAsia="en-US"/>
          </w:rPr>
          <w:id w:val="2071689518"/>
          <w14:checkbox>
            <w14:checked w14:val="0"/>
            <w14:checkedState w14:val="2612" w14:font="MS Gothic"/>
            <w14:uncheckedState w14:val="2610" w14:font="MS Gothic"/>
          </w14:checkbox>
        </w:sdtPr>
        <w:sdtEndPr/>
        <w:sdtContent>
          <w:r w:rsidR="0054112C" w:rsidRPr="000655FE">
            <w:rPr>
              <w:rFonts w:ascii="Segoe UI Symbol" w:eastAsia="Tahoma" w:hAnsi="Segoe UI Symbol" w:cs="Segoe UI Symbol"/>
              <w:sz w:val="20"/>
              <w:szCs w:val="20"/>
              <w:lang w:eastAsia="en-US"/>
            </w:rPr>
            <w:t>☐</w:t>
          </w:r>
        </w:sdtContent>
      </w:sdt>
      <w:r w:rsidR="0054112C" w:rsidRPr="000655FE">
        <w:rPr>
          <w:rFonts w:eastAsia="Tahoma" w:cstheme="minorHAnsi"/>
          <w:sz w:val="20"/>
          <w:szCs w:val="20"/>
          <w:lang w:eastAsia="en-US"/>
        </w:rPr>
        <w:tab/>
        <w:t xml:space="preserve">A. My institution </w:t>
      </w:r>
      <w:r w:rsidR="0054112C" w:rsidRPr="000655FE">
        <w:rPr>
          <w:rFonts w:eastAsia="Tahoma" w:cstheme="minorHAnsi"/>
          <w:sz w:val="20"/>
          <w:szCs w:val="20"/>
          <w:u w:val="single"/>
          <w:lang w:eastAsia="en-US"/>
        </w:rPr>
        <w:t>compiles</w:t>
      </w:r>
      <w:r w:rsidR="0054112C" w:rsidRPr="000655FE">
        <w:rPr>
          <w:rFonts w:eastAsia="Arial" w:cstheme="minorHAnsi"/>
          <w:sz w:val="20"/>
          <w:szCs w:val="20"/>
          <w:lang w:eastAsia="en-US"/>
        </w:rPr>
        <w:t xml:space="preserve"> government expenditure accounts based on the COFOG classification </w:t>
      </w:r>
    </w:p>
    <w:p w14:paraId="0D663241" w14:textId="77777777" w:rsidR="0054112C" w:rsidRPr="000655FE" w:rsidRDefault="00710D62" w:rsidP="0054112C">
      <w:pPr>
        <w:tabs>
          <w:tab w:val="left" w:pos="630"/>
        </w:tabs>
        <w:spacing w:after="0" w:line="240" w:lineRule="auto"/>
        <w:ind w:left="360"/>
        <w:jc w:val="both"/>
        <w:rPr>
          <w:rFonts w:eastAsia="Arial" w:cstheme="minorHAnsi"/>
          <w:sz w:val="20"/>
          <w:szCs w:val="20"/>
          <w:lang w:eastAsia="en-US"/>
        </w:rPr>
      </w:pPr>
      <w:sdt>
        <w:sdtPr>
          <w:rPr>
            <w:rFonts w:eastAsia="Tahoma" w:cstheme="minorHAnsi"/>
            <w:sz w:val="20"/>
            <w:szCs w:val="20"/>
            <w:lang w:eastAsia="en-US"/>
          </w:rPr>
          <w:id w:val="2063975631"/>
          <w14:checkbox>
            <w14:checked w14:val="0"/>
            <w14:checkedState w14:val="2612" w14:font="MS Gothic"/>
            <w14:uncheckedState w14:val="2610" w14:font="MS Gothic"/>
          </w14:checkbox>
        </w:sdtPr>
        <w:sdtEndPr/>
        <w:sdtContent>
          <w:r w:rsidR="0054112C" w:rsidRPr="000655FE">
            <w:rPr>
              <w:rFonts w:ascii="Segoe UI Symbol" w:eastAsia="Tahoma" w:hAnsi="Segoe UI Symbol" w:cs="Segoe UI Symbol"/>
              <w:sz w:val="20"/>
              <w:szCs w:val="20"/>
              <w:lang w:eastAsia="en-US"/>
            </w:rPr>
            <w:t>☐</w:t>
          </w:r>
        </w:sdtContent>
      </w:sdt>
      <w:r w:rsidR="0054112C" w:rsidRPr="000655FE">
        <w:rPr>
          <w:rFonts w:eastAsia="Tahoma" w:cstheme="minorHAnsi"/>
          <w:sz w:val="20"/>
          <w:szCs w:val="20"/>
          <w:lang w:eastAsia="en-US"/>
        </w:rPr>
        <w:tab/>
        <w:t xml:space="preserve">B. My institution </w:t>
      </w:r>
      <w:r w:rsidR="0054112C" w:rsidRPr="000655FE">
        <w:rPr>
          <w:rFonts w:eastAsia="Tahoma" w:cstheme="minorHAnsi"/>
          <w:sz w:val="20"/>
          <w:szCs w:val="20"/>
          <w:u w:val="single"/>
          <w:lang w:eastAsia="en-US"/>
        </w:rPr>
        <w:t>provides data</w:t>
      </w:r>
      <w:r w:rsidR="0054112C" w:rsidRPr="000655FE">
        <w:rPr>
          <w:rFonts w:eastAsia="Tahoma" w:cstheme="minorHAnsi"/>
          <w:sz w:val="20"/>
          <w:szCs w:val="20"/>
          <w:lang w:eastAsia="en-US"/>
        </w:rPr>
        <w:t xml:space="preserve"> for the compilation of </w:t>
      </w:r>
      <w:r w:rsidR="0054112C" w:rsidRPr="000655FE">
        <w:rPr>
          <w:rFonts w:eastAsia="Arial" w:cstheme="minorHAnsi"/>
          <w:sz w:val="20"/>
          <w:szCs w:val="20"/>
          <w:lang w:eastAsia="en-US"/>
        </w:rPr>
        <w:t xml:space="preserve">government expenditure accounts based on the COFOG classification </w:t>
      </w:r>
    </w:p>
    <w:p w14:paraId="24A29B8A" w14:textId="77777777" w:rsidR="0054112C" w:rsidRPr="000655FE" w:rsidRDefault="00710D62" w:rsidP="0054112C">
      <w:pPr>
        <w:tabs>
          <w:tab w:val="left" w:pos="630"/>
        </w:tabs>
        <w:spacing w:after="0" w:line="240" w:lineRule="auto"/>
        <w:ind w:left="360"/>
        <w:jc w:val="both"/>
        <w:rPr>
          <w:rFonts w:eastAsia="Arial" w:cstheme="minorHAnsi"/>
          <w:sz w:val="20"/>
          <w:szCs w:val="20"/>
          <w:lang w:eastAsia="en-US"/>
        </w:rPr>
      </w:pPr>
      <w:sdt>
        <w:sdtPr>
          <w:rPr>
            <w:rFonts w:eastAsia="Tahoma" w:cstheme="minorHAnsi"/>
            <w:sz w:val="20"/>
            <w:szCs w:val="20"/>
            <w:lang w:eastAsia="en-US"/>
          </w:rPr>
          <w:id w:val="-1421400191"/>
          <w14:checkbox>
            <w14:checked w14:val="0"/>
            <w14:checkedState w14:val="2612" w14:font="MS Gothic"/>
            <w14:uncheckedState w14:val="2610" w14:font="MS Gothic"/>
          </w14:checkbox>
        </w:sdtPr>
        <w:sdtEndPr/>
        <w:sdtContent>
          <w:r w:rsidR="0054112C" w:rsidRPr="000655FE">
            <w:rPr>
              <w:rFonts w:ascii="MS Gothic" w:eastAsia="MS Gothic" w:hAnsi="MS Gothic" w:cstheme="minorHAnsi" w:hint="eastAsia"/>
              <w:sz w:val="20"/>
              <w:szCs w:val="20"/>
              <w:lang w:eastAsia="en-US"/>
            </w:rPr>
            <w:t>☐</w:t>
          </w:r>
        </w:sdtContent>
      </w:sdt>
      <w:r w:rsidR="0054112C" w:rsidRPr="000655FE">
        <w:rPr>
          <w:rFonts w:eastAsia="Tahoma" w:cstheme="minorHAnsi"/>
          <w:sz w:val="20"/>
          <w:szCs w:val="20"/>
          <w:lang w:eastAsia="en-US"/>
        </w:rPr>
        <w:tab/>
        <w:t xml:space="preserve">C. My institution </w:t>
      </w:r>
      <w:r w:rsidR="0054112C" w:rsidRPr="000655FE">
        <w:rPr>
          <w:rFonts w:eastAsia="Tahoma" w:cstheme="minorHAnsi"/>
          <w:sz w:val="20"/>
          <w:szCs w:val="20"/>
          <w:u w:val="single"/>
          <w:lang w:eastAsia="en-US"/>
        </w:rPr>
        <w:t>uses</w:t>
      </w:r>
      <w:r w:rsidR="0054112C" w:rsidRPr="000655FE">
        <w:rPr>
          <w:rFonts w:eastAsia="Arial" w:cstheme="minorHAnsi"/>
          <w:sz w:val="20"/>
          <w:szCs w:val="20"/>
          <w:lang w:eastAsia="en-US"/>
        </w:rPr>
        <w:t xml:space="preserve"> government expenditure accounts based on the COFOG classification</w:t>
      </w:r>
    </w:p>
    <w:p w14:paraId="0D35D241" w14:textId="77777777" w:rsidR="0054112C" w:rsidRPr="000655FE" w:rsidRDefault="00710D62" w:rsidP="0054112C">
      <w:pPr>
        <w:tabs>
          <w:tab w:val="left" w:pos="630"/>
        </w:tabs>
        <w:spacing w:after="0" w:line="240" w:lineRule="auto"/>
        <w:ind w:left="360"/>
        <w:jc w:val="both"/>
        <w:rPr>
          <w:rFonts w:eastAsia="Tahoma" w:cstheme="minorHAnsi"/>
          <w:sz w:val="20"/>
          <w:szCs w:val="20"/>
          <w:lang w:eastAsia="en-US"/>
        </w:rPr>
      </w:pPr>
      <w:sdt>
        <w:sdtPr>
          <w:rPr>
            <w:rFonts w:eastAsia="Tahoma" w:cstheme="minorHAnsi"/>
            <w:sz w:val="20"/>
            <w:szCs w:val="20"/>
            <w:lang w:eastAsia="en-US"/>
          </w:rPr>
          <w:id w:val="-1299829634"/>
          <w14:checkbox>
            <w14:checked w14:val="0"/>
            <w14:checkedState w14:val="2612" w14:font="MS Gothic"/>
            <w14:uncheckedState w14:val="2610" w14:font="MS Gothic"/>
          </w14:checkbox>
        </w:sdtPr>
        <w:sdtEndPr/>
        <w:sdtContent>
          <w:r w:rsidR="0054112C" w:rsidRPr="000655FE">
            <w:rPr>
              <w:rFonts w:ascii="Segoe UI Symbol" w:eastAsia="Tahoma" w:hAnsi="Segoe UI Symbol" w:cs="Segoe UI Symbol"/>
              <w:sz w:val="20"/>
              <w:szCs w:val="20"/>
              <w:lang w:eastAsia="en-US"/>
            </w:rPr>
            <w:t>☐</w:t>
          </w:r>
        </w:sdtContent>
      </w:sdt>
      <w:r w:rsidR="0054112C" w:rsidRPr="000655FE">
        <w:rPr>
          <w:rFonts w:eastAsia="Tahoma" w:cstheme="minorHAnsi"/>
          <w:sz w:val="20"/>
          <w:szCs w:val="20"/>
          <w:lang w:eastAsia="en-US"/>
        </w:rPr>
        <w:tab/>
        <w:t xml:space="preserve">D. My institution </w:t>
      </w:r>
      <w:r w:rsidR="0054112C" w:rsidRPr="000655FE">
        <w:rPr>
          <w:rFonts w:eastAsia="Tahoma" w:cstheme="minorHAnsi"/>
          <w:sz w:val="20"/>
          <w:szCs w:val="20"/>
          <w:u w:val="single"/>
          <w:lang w:eastAsia="en-US"/>
        </w:rPr>
        <w:t>does not compile, use or provide</w:t>
      </w:r>
      <w:r w:rsidR="0054112C" w:rsidRPr="000655FE">
        <w:rPr>
          <w:rFonts w:eastAsia="Tahoma" w:cstheme="minorHAnsi"/>
          <w:sz w:val="20"/>
          <w:szCs w:val="20"/>
          <w:lang w:eastAsia="en-US"/>
        </w:rPr>
        <w:t xml:space="preserve"> data for </w:t>
      </w:r>
      <w:r w:rsidR="0054112C" w:rsidRPr="000655FE">
        <w:rPr>
          <w:rFonts w:eastAsia="Arial" w:cstheme="minorHAnsi"/>
          <w:sz w:val="20"/>
          <w:szCs w:val="20"/>
          <w:lang w:eastAsia="en-US"/>
        </w:rPr>
        <w:t>government expenditure accounts based on the COFOG classification</w:t>
      </w:r>
      <w:r w:rsidR="0054112C" w:rsidRPr="000655FE">
        <w:rPr>
          <w:rFonts w:eastAsia="Tahoma" w:cstheme="minorHAnsi"/>
          <w:sz w:val="20"/>
          <w:szCs w:val="20"/>
          <w:lang w:eastAsia="en-US"/>
        </w:rPr>
        <w:t xml:space="preserve">, </w:t>
      </w:r>
      <w:r w:rsidR="0054112C" w:rsidRPr="000655FE">
        <w:rPr>
          <w:rFonts w:eastAsia="Tahoma" w:cstheme="minorHAnsi"/>
          <w:sz w:val="20"/>
          <w:szCs w:val="20"/>
          <w:u w:val="single"/>
          <w:lang w:eastAsia="en-US"/>
        </w:rPr>
        <w:t>but the framework is relevant</w:t>
      </w:r>
      <w:r w:rsidR="0054112C" w:rsidRPr="000655FE">
        <w:rPr>
          <w:rFonts w:eastAsia="Tahoma" w:cstheme="minorHAnsi"/>
          <w:sz w:val="20"/>
          <w:szCs w:val="20"/>
          <w:lang w:eastAsia="en-US"/>
        </w:rPr>
        <w:t xml:space="preserve"> to the work of my institution </w:t>
      </w:r>
    </w:p>
    <w:p w14:paraId="12431C45" w14:textId="77777777" w:rsidR="0054112C" w:rsidRDefault="0054112C" w:rsidP="0054112C">
      <w:pPr>
        <w:tabs>
          <w:tab w:val="left" w:pos="630"/>
        </w:tabs>
        <w:spacing w:after="0" w:line="240" w:lineRule="auto"/>
        <w:ind w:left="360"/>
        <w:rPr>
          <w:rFonts w:eastAsia="Arial" w:cstheme="minorHAnsi"/>
          <w:sz w:val="22"/>
          <w:szCs w:val="22"/>
          <w:lang w:eastAsia="en-US"/>
        </w:rPr>
      </w:pPr>
    </w:p>
    <w:p w14:paraId="469CD9DE" w14:textId="77777777" w:rsidR="000655FE" w:rsidRPr="009217D0" w:rsidRDefault="000655FE" w:rsidP="0054112C">
      <w:pPr>
        <w:tabs>
          <w:tab w:val="left" w:pos="630"/>
        </w:tabs>
        <w:spacing w:after="0" w:line="240" w:lineRule="auto"/>
        <w:ind w:left="360"/>
        <w:rPr>
          <w:rFonts w:eastAsia="Arial" w:cstheme="minorHAnsi"/>
          <w:sz w:val="22"/>
          <w:szCs w:val="22"/>
          <w:lang w:eastAsia="en-US"/>
        </w:rPr>
      </w:pPr>
    </w:p>
    <w:p w14:paraId="33A039B1" w14:textId="77777777" w:rsidR="0054112C" w:rsidRPr="000655FE" w:rsidRDefault="0054112C" w:rsidP="0054112C">
      <w:pPr>
        <w:tabs>
          <w:tab w:val="left" w:pos="630"/>
        </w:tabs>
        <w:spacing w:after="0" w:line="240" w:lineRule="auto"/>
        <w:rPr>
          <w:rFonts w:eastAsia="Arial" w:cstheme="minorHAnsi"/>
          <w:b/>
          <w:bCs/>
          <w:sz w:val="20"/>
          <w:szCs w:val="20"/>
          <w:u w:val="single"/>
          <w:lang w:eastAsia="en-US"/>
        </w:rPr>
      </w:pPr>
      <w:r w:rsidRPr="000655FE">
        <w:rPr>
          <w:rFonts w:eastAsia="Arial" w:cstheme="minorHAnsi"/>
          <w:b/>
          <w:bCs/>
          <w:sz w:val="20"/>
          <w:szCs w:val="20"/>
          <w:u w:val="single"/>
          <w:lang w:eastAsia="en-US"/>
        </w:rPr>
        <w:t>*Please note the following regarding your response to Question 9*</w:t>
      </w:r>
    </w:p>
    <w:p w14:paraId="24D1FEBD" w14:textId="77777777" w:rsidR="0054112C" w:rsidRPr="000655FE" w:rsidRDefault="0054112C" w:rsidP="0054112C">
      <w:pPr>
        <w:tabs>
          <w:tab w:val="left" w:pos="630"/>
        </w:tabs>
        <w:spacing w:after="0" w:line="240" w:lineRule="auto"/>
        <w:rPr>
          <w:rFonts w:eastAsia="Arial" w:cstheme="minorHAnsi"/>
          <w:b/>
          <w:bCs/>
          <w:sz w:val="20"/>
          <w:szCs w:val="20"/>
          <w:lang w:eastAsia="en-US"/>
        </w:rPr>
      </w:pPr>
      <w:r w:rsidRPr="000655FE">
        <w:rPr>
          <w:rFonts w:eastAsia="Arial" w:cstheme="minorHAnsi"/>
          <w:b/>
          <w:bCs/>
          <w:sz w:val="20"/>
          <w:szCs w:val="20"/>
          <w:lang w:eastAsia="en-US"/>
        </w:rPr>
        <w:t>If your response includes A and/or B only, answer Questions 10-16 and skip Questions 17-19</w:t>
      </w:r>
    </w:p>
    <w:p w14:paraId="27265E6C" w14:textId="77777777" w:rsidR="0054112C" w:rsidRPr="000655FE" w:rsidRDefault="0054112C" w:rsidP="0054112C">
      <w:pPr>
        <w:tabs>
          <w:tab w:val="left" w:pos="630"/>
        </w:tabs>
        <w:spacing w:after="0" w:line="240" w:lineRule="auto"/>
        <w:rPr>
          <w:rFonts w:eastAsia="Arial" w:cstheme="minorHAnsi"/>
          <w:b/>
          <w:bCs/>
          <w:sz w:val="20"/>
          <w:szCs w:val="20"/>
          <w:lang w:eastAsia="en-US"/>
        </w:rPr>
      </w:pPr>
      <w:r w:rsidRPr="000655FE">
        <w:rPr>
          <w:rFonts w:eastAsia="Arial" w:cstheme="minorHAnsi"/>
          <w:b/>
          <w:bCs/>
          <w:sz w:val="20"/>
          <w:szCs w:val="20"/>
          <w:lang w:eastAsia="en-US"/>
        </w:rPr>
        <w:t>If your response includes A and/or B and C, answer all Questions 10-19</w:t>
      </w:r>
    </w:p>
    <w:p w14:paraId="06010CD6" w14:textId="77777777" w:rsidR="0054112C" w:rsidRPr="000655FE" w:rsidRDefault="0054112C" w:rsidP="0054112C">
      <w:pPr>
        <w:tabs>
          <w:tab w:val="left" w:pos="630"/>
        </w:tabs>
        <w:spacing w:after="0" w:line="240" w:lineRule="auto"/>
        <w:rPr>
          <w:rFonts w:eastAsia="Arial" w:cstheme="minorHAnsi"/>
          <w:b/>
          <w:bCs/>
          <w:sz w:val="20"/>
          <w:szCs w:val="20"/>
          <w:lang w:eastAsia="en-US"/>
        </w:rPr>
      </w:pPr>
      <w:r w:rsidRPr="000655FE">
        <w:rPr>
          <w:rFonts w:eastAsia="Arial" w:cstheme="minorHAnsi"/>
          <w:b/>
          <w:bCs/>
          <w:sz w:val="20"/>
          <w:szCs w:val="20"/>
          <w:lang w:eastAsia="en-US"/>
        </w:rPr>
        <w:lastRenderedPageBreak/>
        <w:t>If your response includes C only, skip Questions 10-16 and answer Questions 17-19</w:t>
      </w:r>
    </w:p>
    <w:p w14:paraId="715618AC" w14:textId="77777777" w:rsidR="0054112C" w:rsidRPr="000655FE" w:rsidRDefault="0054112C" w:rsidP="0054112C">
      <w:pPr>
        <w:tabs>
          <w:tab w:val="left" w:pos="630"/>
        </w:tabs>
        <w:spacing w:after="0" w:line="240" w:lineRule="auto"/>
        <w:rPr>
          <w:rFonts w:eastAsia="Arial" w:cstheme="minorHAnsi"/>
          <w:b/>
          <w:bCs/>
          <w:sz w:val="20"/>
          <w:szCs w:val="20"/>
          <w:lang w:eastAsia="en-US"/>
        </w:rPr>
      </w:pPr>
      <w:r w:rsidRPr="000655FE">
        <w:rPr>
          <w:rFonts w:eastAsia="Arial" w:cstheme="minorHAnsi"/>
          <w:b/>
          <w:bCs/>
          <w:sz w:val="20"/>
          <w:szCs w:val="20"/>
          <w:lang w:eastAsia="en-US"/>
        </w:rPr>
        <w:t>If your response includes D only, skip Questions 10-19</w:t>
      </w:r>
    </w:p>
    <w:p w14:paraId="0EFD81C3" w14:textId="77777777" w:rsidR="0054112C" w:rsidRPr="000655FE" w:rsidRDefault="0054112C" w:rsidP="0054112C">
      <w:pPr>
        <w:tabs>
          <w:tab w:val="left" w:pos="630"/>
        </w:tabs>
        <w:spacing w:after="0" w:line="240" w:lineRule="auto"/>
        <w:ind w:left="360"/>
        <w:rPr>
          <w:rFonts w:eastAsia="Arial" w:cstheme="minorHAnsi"/>
          <w:sz w:val="20"/>
          <w:szCs w:val="20"/>
          <w:lang w:eastAsia="en-US"/>
        </w:rPr>
      </w:pPr>
    </w:p>
    <w:p w14:paraId="2E67D24F" w14:textId="77777777" w:rsidR="0054112C" w:rsidRPr="000655FE" w:rsidRDefault="0054112C" w:rsidP="0054112C">
      <w:pPr>
        <w:tabs>
          <w:tab w:val="left" w:pos="630"/>
        </w:tabs>
        <w:spacing w:after="0" w:line="240" w:lineRule="auto"/>
        <w:ind w:left="360"/>
        <w:rPr>
          <w:rFonts w:eastAsia="Arial" w:cstheme="minorHAnsi"/>
          <w:sz w:val="20"/>
          <w:szCs w:val="20"/>
          <w:lang w:eastAsia="en-US"/>
        </w:rPr>
      </w:pPr>
    </w:p>
    <w:p w14:paraId="5FFBEA94" w14:textId="77777777" w:rsidR="0054112C" w:rsidRPr="000655FE" w:rsidRDefault="0054112C" w:rsidP="0054112C">
      <w:pPr>
        <w:tabs>
          <w:tab w:val="left" w:pos="630"/>
        </w:tabs>
        <w:spacing w:after="0" w:line="240" w:lineRule="auto"/>
        <w:rPr>
          <w:rFonts w:eastAsia="Arial" w:cstheme="minorHAnsi"/>
          <w:b/>
          <w:bCs/>
          <w:sz w:val="20"/>
          <w:szCs w:val="20"/>
          <w:u w:val="single"/>
          <w:lang w:eastAsia="en-US"/>
        </w:rPr>
      </w:pPr>
      <w:r w:rsidRPr="000655FE">
        <w:rPr>
          <w:rFonts w:eastAsia="Arial" w:cstheme="minorHAnsi"/>
          <w:b/>
          <w:bCs/>
          <w:sz w:val="20"/>
          <w:szCs w:val="20"/>
          <w:u w:val="single"/>
          <w:lang w:eastAsia="en-US"/>
        </w:rPr>
        <w:t>Questions 10-16:  For compilers and data providers</w:t>
      </w:r>
    </w:p>
    <w:p w14:paraId="5E630D59" w14:textId="77777777" w:rsidR="0054112C" w:rsidRPr="000655FE" w:rsidRDefault="0054112C" w:rsidP="0054112C">
      <w:pPr>
        <w:tabs>
          <w:tab w:val="left" w:pos="630"/>
        </w:tabs>
        <w:spacing w:after="0" w:line="240" w:lineRule="auto"/>
        <w:rPr>
          <w:rFonts w:eastAsia="Arial" w:cstheme="minorHAnsi"/>
          <w:sz w:val="20"/>
          <w:szCs w:val="20"/>
          <w:lang w:eastAsia="en-US"/>
        </w:rPr>
      </w:pPr>
    </w:p>
    <w:p w14:paraId="19040A84" w14:textId="77777777" w:rsidR="0054112C" w:rsidRPr="000655FE" w:rsidRDefault="0054112C" w:rsidP="00D25872">
      <w:pPr>
        <w:pStyle w:val="ListParagraph"/>
        <w:numPr>
          <w:ilvl w:val="0"/>
          <w:numId w:val="2"/>
        </w:numPr>
        <w:spacing w:after="0" w:line="240" w:lineRule="auto"/>
        <w:jc w:val="both"/>
        <w:rPr>
          <w:rFonts w:eastAsia="Arial" w:cstheme="minorHAnsi"/>
          <w:b/>
          <w:bCs/>
          <w:sz w:val="20"/>
          <w:szCs w:val="20"/>
          <w:lang w:eastAsia="en-US"/>
        </w:rPr>
      </w:pPr>
      <w:r w:rsidRPr="000655FE">
        <w:rPr>
          <w:rFonts w:eastAsia="Arial" w:cstheme="minorHAnsi"/>
          <w:b/>
          <w:bCs/>
          <w:sz w:val="20"/>
          <w:szCs w:val="20"/>
          <w:lang w:eastAsia="en-US"/>
        </w:rPr>
        <w:t>At what level of detail does your institution provide COFOG source data or compile COFOG? Please mark all that are applicable:</w:t>
      </w:r>
    </w:p>
    <w:p w14:paraId="4B14351B" w14:textId="77777777" w:rsidR="0054112C" w:rsidRPr="000655FE" w:rsidRDefault="0054112C" w:rsidP="0054112C">
      <w:pPr>
        <w:spacing w:after="0" w:line="240" w:lineRule="auto"/>
        <w:ind w:left="446"/>
        <w:rPr>
          <w:rFonts w:eastAsia="Tahoma" w:cstheme="minorHAnsi"/>
          <w:sz w:val="20"/>
          <w:szCs w:val="20"/>
          <w:lang w:eastAsia="en-US"/>
        </w:rPr>
      </w:pPr>
      <w:r w:rsidRPr="000655FE">
        <w:rPr>
          <w:rFonts w:eastAsia="Tahoma" w:cstheme="minorHAnsi"/>
          <w:sz w:val="20"/>
          <w:szCs w:val="20"/>
          <w:lang w:eastAsia="en-US"/>
        </w:rPr>
        <w:t>☐</w:t>
      </w:r>
      <w:r w:rsidRPr="000655FE">
        <w:rPr>
          <w:rFonts w:eastAsia="Tahoma" w:cstheme="minorHAnsi"/>
          <w:sz w:val="20"/>
          <w:szCs w:val="20"/>
          <w:lang w:eastAsia="en-US"/>
        </w:rPr>
        <w:tab/>
        <w:t>Division (2 digits)</w:t>
      </w:r>
    </w:p>
    <w:p w14:paraId="61462DC4" w14:textId="77777777" w:rsidR="0054112C" w:rsidRPr="000655FE" w:rsidRDefault="0054112C" w:rsidP="0054112C">
      <w:pPr>
        <w:spacing w:after="0" w:line="240" w:lineRule="auto"/>
        <w:ind w:left="446"/>
        <w:rPr>
          <w:rFonts w:eastAsia="Tahoma" w:cstheme="minorHAnsi"/>
          <w:sz w:val="20"/>
          <w:szCs w:val="20"/>
          <w:lang w:eastAsia="en-US"/>
        </w:rPr>
      </w:pPr>
      <w:r w:rsidRPr="000655FE">
        <w:rPr>
          <w:rFonts w:eastAsia="Tahoma" w:cstheme="minorHAnsi"/>
          <w:sz w:val="20"/>
          <w:szCs w:val="20"/>
          <w:lang w:eastAsia="en-US"/>
        </w:rPr>
        <w:t>☐</w:t>
      </w:r>
      <w:r w:rsidRPr="000655FE">
        <w:rPr>
          <w:rFonts w:eastAsia="Tahoma" w:cstheme="minorHAnsi"/>
          <w:sz w:val="20"/>
          <w:szCs w:val="20"/>
          <w:lang w:eastAsia="en-US"/>
        </w:rPr>
        <w:tab/>
        <w:t>Group (3 digits)</w:t>
      </w:r>
    </w:p>
    <w:p w14:paraId="5C5693B0" w14:textId="77777777" w:rsidR="0054112C" w:rsidRPr="000655FE" w:rsidRDefault="0054112C" w:rsidP="0054112C">
      <w:pPr>
        <w:spacing w:after="0" w:line="240" w:lineRule="auto"/>
        <w:ind w:left="446"/>
        <w:rPr>
          <w:rFonts w:eastAsia="Tahoma" w:cstheme="minorHAnsi"/>
          <w:sz w:val="20"/>
          <w:szCs w:val="20"/>
          <w:lang w:eastAsia="en-US"/>
        </w:rPr>
      </w:pPr>
      <w:r w:rsidRPr="000655FE">
        <w:rPr>
          <w:rFonts w:eastAsia="Tahoma" w:cstheme="minorHAnsi"/>
          <w:sz w:val="20"/>
          <w:szCs w:val="20"/>
          <w:lang w:eastAsia="en-US"/>
        </w:rPr>
        <w:t>☐</w:t>
      </w:r>
      <w:r w:rsidRPr="000655FE">
        <w:rPr>
          <w:rFonts w:eastAsia="Tahoma" w:cstheme="minorHAnsi"/>
          <w:sz w:val="20"/>
          <w:szCs w:val="20"/>
          <w:lang w:eastAsia="en-US"/>
        </w:rPr>
        <w:tab/>
        <w:t>Class (4 digits)</w:t>
      </w:r>
    </w:p>
    <w:p w14:paraId="006CBED4" w14:textId="77777777" w:rsidR="0054112C" w:rsidRPr="000655FE" w:rsidRDefault="0054112C" w:rsidP="0054112C">
      <w:pPr>
        <w:spacing w:after="0" w:line="240" w:lineRule="auto"/>
        <w:ind w:left="446"/>
        <w:rPr>
          <w:rFonts w:eastAsia="Tahoma" w:cstheme="minorHAnsi"/>
          <w:sz w:val="20"/>
          <w:szCs w:val="20"/>
          <w:lang w:eastAsia="en-US"/>
        </w:rPr>
      </w:pPr>
      <w:r w:rsidRPr="000655FE">
        <w:rPr>
          <w:rFonts w:eastAsia="Tahoma" w:cstheme="minorHAnsi"/>
          <w:sz w:val="20"/>
          <w:szCs w:val="20"/>
          <w:lang w:eastAsia="en-US"/>
        </w:rPr>
        <w:t>☐</w:t>
      </w:r>
      <w:r w:rsidRPr="000655FE">
        <w:rPr>
          <w:rFonts w:eastAsia="Tahoma" w:cstheme="minorHAnsi"/>
          <w:sz w:val="20"/>
          <w:szCs w:val="20"/>
          <w:lang w:eastAsia="en-US"/>
        </w:rPr>
        <w:tab/>
        <w:t>Additional level(s) of detail (5+ digits) for national adaptation</w:t>
      </w:r>
    </w:p>
    <w:p w14:paraId="66E1701A" w14:textId="77777777" w:rsidR="0054112C" w:rsidRPr="000655FE" w:rsidRDefault="0054112C" w:rsidP="0054112C">
      <w:pPr>
        <w:spacing w:after="0" w:line="240" w:lineRule="auto"/>
        <w:rPr>
          <w:rFonts w:eastAsia="Arial" w:cstheme="minorHAnsi"/>
          <w:sz w:val="20"/>
          <w:szCs w:val="20"/>
        </w:rPr>
      </w:pPr>
    </w:p>
    <w:p w14:paraId="71969246" w14:textId="77777777" w:rsidR="0054112C" w:rsidRPr="000655FE" w:rsidRDefault="0054112C" w:rsidP="00D25872">
      <w:pPr>
        <w:pStyle w:val="ListParagraph"/>
        <w:numPr>
          <w:ilvl w:val="0"/>
          <w:numId w:val="2"/>
        </w:numPr>
        <w:spacing w:after="0" w:line="240" w:lineRule="auto"/>
        <w:rPr>
          <w:rFonts w:eastAsia="Arial" w:cstheme="minorHAnsi"/>
          <w:b/>
          <w:bCs/>
          <w:sz w:val="20"/>
          <w:szCs w:val="20"/>
          <w:lang w:eastAsia="en-US"/>
        </w:rPr>
      </w:pPr>
      <w:r w:rsidRPr="000655FE">
        <w:rPr>
          <w:rFonts w:eastAsia="Arial" w:cstheme="minorHAnsi"/>
          <w:b/>
          <w:bCs/>
          <w:sz w:val="20"/>
          <w:szCs w:val="20"/>
          <w:lang w:eastAsia="en-US"/>
        </w:rPr>
        <w:t>At what level of detail does your institution publish COFOG data? Please mark all that are applicable:</w:t>
      </w:r>
    </w:p>
    <w:p w14:paraId="38768443" w14:textId="77777777" w:rsidR="0054112C" w:rsidRPr="000655FE" w:rsidRDefault="0054112C" w:rsidP="0054112C">
      <w:pPr>
        <w:spacing w:after="0" w:line="240" w:lineRule="auto"/>
        <w:ind w:left="446"/>
        <w:rPr>
          <w:rFonts w:eastAsia="Tahoma" w:cstheme="minorHAnsi"/>
          <w:sz w:val="20"/>
          <w:szCs w:val="20"/>
          <w:lang w:eastAsia="en-US"/>
        </w:rPr>
      </w:pPr>
      <w:r w:rsidRPr="000655FE">
        <w:rPr>
          <w:rFonts w:eastAsia="Tahoma" w:cstheme="minorHAnsi"/>
          <w:sz w:val="20"/>
          <w:szCs w:val="20"/>
          <w:lang w:eastAsia="en-US"/>
        </w:rPr>
        <w:t>☐</w:t>
      </w:r>
      <w:r w:rsidRPr="000655FE">
        <w:rPr>
          <w:rFonts w:eastAsia="Tahoma" w:cstheme="minorHAnsi"/>
          <w:sz w:val="20"/>
          <w:szCs w:val="20"/>
          <w:lang w:eastAsia="en-US"/>
        </w:rPr>
        <w:tab/>
        <w:t>Division (2 digits)</w:t>
      </w:r>
    </w:p>
    <w:p w14:paraId="35BCC97E" w14:textId="77777777" w:rsidR="0054112C" w:rsidRPr="000655FE" w:rsidRDefault="0054112C" w:rsidP="0054112C">
      <w:pPr>
        <w:spacing w:after="0" w:line="240" w:lineRule="auto"/>
        <w:ind w:left="446"/>
        <w:rPr>
          <w:rFonts w:eastAsia="Tahoma" w:cstheme="minorHAnsi"/>
          <w:sz w:val="20"/>
          <w:szCs w:val="20"/>
          <w:lang w:eastAsia="en-US"/>
        </w:rPr>
      </w:pPr>
      <w:r w:rsidRPr="000655FE">
        <w:rPr>
          <w:rFonts w:eastAsia="Tahoma" w:cstheme="minorHAnsi"/>
          <w:sz w:val="20"/>
          <w:szCs w:val="20"/>
          <w:lang w:eastAsia="en-US"/>
        </w:rPr>
        <w:t>☐</w:t>
      </w:r>
      <w:r w:rsidRPr="000655FE">
        <w:rPr>
          <w:rFonts w:eastAsia="Tahoma" w:cstheme="minorHAnsi"/>
          <w:sz w:val="20"/>
          <w:szCs w:val="20"/>
          <w:lang w:eastAsia="en-US"/>
        </w:rPr>
        <w:tab/>
        <w:t>Group (3 digits)</w:t>
      </w:r>
    </w:p>
    <w:p w14:paraId="268AC7BC" w14:textId="77777777" w:rsidR="0054112C" w:rsidRPr="000655FE" w:rsidRDefault="0054112C" w:rsidP="0054112C">
      <w:pPr>
        <w:spacing w:after="0" w:line="240" w:lineRule="auto"/>
        <w:ind w:left="446"/>
        <w:rPr>
          <w:rFonts w:eastAsia="Tahoma" w:cstheme="minorHAnsi"/>
          <w:sz w:val="20"/>
          <w:szCs w:val="20"/>
          <w:lang w:eastAsia="en-US"/>
        </w:rPr>
      </w:pPr>
      <w:r w:rsidRPr="000655FE">
        <w:rPr>
          <w:rFonts w:eastAsia="Tahoma" w:cstheme="minorHAnsi"/>
          <w:sz w:val="20"/>
          <w:szCs w:val="20"/>
          <w:lang w:eastAsia="en-US"/>
        </w:rPr>
        <w:t>☐</w:t>
      </w:r>
      <w:r w:rsidRPr="000655FE">
        <w:rPr>
          <w:rFonts w:eastAsia="Tahoma" w:cstheme="minorHAnsi"/>
          <w:sz w:val="20"/>
          <w:szCs w:val="20"/>
          <w:lang w:eastAsia="en-US"/>
        </w:rPr>
        <w:tab/>
        <w:t>Class (4 digits)</w:t>
      </w:r>
    </w:p>
    <w:p w14:paraId="351D2C6C" w14:textId="77777777" w:rsidR="0054112C" w:rsidRPr="000655FE" w:rsidRDefault="0054112C" w:rsidP="0054112C">
      <w:pPr>
        <w:spacing w:after="0" w:line="240" w:lineRule="auto"/>
        <w:ind w:left="446"/>
        <w:rPr>
          <w:rFonts w:eastAsia="Tahoma" w:cstheme="minorHAnsi"/>
          <w:sz w:val="20"/>
          <w:szCs w:val="20"/>
          <w:lang w:eastAsia="en-US"/>
        </w:rPr>
      </w:pPr>
      <w:r w:rsidRPr="000655FE">
        <w:rPr>
          <w:rFonts w:eastAsia="Tahoma" w:cstheme="minorHAnsi"/>
          <w:sz w:val="20"/>
          <w:szCs w:val="20"/>
          <w:lang w:eastAsia="en-US"/>
        </w:rPr>
        <w:t>☐</w:t>
      </w:r>
      <w:r w:rsidRPr="000655FE">
        <w:rPr>
          <w:rFonts w:eastAsia="Tahoma" w:cstheme="minorHAnsi"/>
          <w:sz w:val="20"/>
          <w:szCs w:val="20"/>
          <w:lang w:eastAsia="en-US"/>
        </w:rPr>
        <w:tab/>
        <w:t>Additional level(s) of detail (5+ digits) for national adaptation</w:t>
      </w:r>
    </w:p>
    <w:p w14:paraId="3B3DFCC2" w14:textId="77777777" w:rsidR="0054112C" w:rsidRPr="000655FE" w:rsidRDefault="0054112C" w:rsidP="0054112C">
      <w:pPr>
        <w:spacing w:after="0" w:line="240" w:lineRule="auto"/>
        <w:rPr>
          <w:rFonts w:eastAsia="Arial" w:cstheme="minorHAnsi"/>
          <w:sz w:val="20"/>
          <w:szCs w:val="20"/>
        </w:rPr>
      </w:pPr>
    </w:p>
    <w:p w14:paraId="541669EE" w14:textId="77777777" w:rsidR="0054112C" w:rsidRPr="000655FE" w:rsidRDefault="0054112C" w:rsidP="00D25872">
      <w:pPr>
        <w:pStyle w:val="ListParagraph"/>
        <w:numPr>
          <w:ilvl w:val="0"/>
          <w:numId w:val="2"/>
        </w:numPr>
        <w:spacing w:after="0" w:line="240" w:lineRule="auto"/>
        <w:rPr>
          <w:rFonts w:eastAsia="Arial" w:cstheme="minorHAnsi"/>
          <w:b/>
          <w:bCs/>
          <w:sz w:val="20"/>
          <w:szCs w:val="20"/>
          <w:lang w:eastAsia="en-US"/>
        </w:rPr>
      </w:pPr>
      <w:r w:rsidRPr="000655FE">
        <w:rPr>
          <w:rFonts w:eastAsia="Arial" w:cstheme="minorHAnsi"/>
          <w:b/>
          <w:bCs/>
          <w:sz w:val="20"/>
          <w:szCs w:val="20"/>
          <w:lang w:eastAsia="en-US"/>
        </w:rPr>
        <w:t>For which institutional sectors does your institution provide COFOG source data or compile COFOG? Please mark all that are applicable:</w:t>
      </w:r>
    </w:p>
    <w:p w14:paraId="7AEAA5ED" w14:textId="77777777" w:rsidR="0054112C" w:rsidRPr="000655FE" w:rsidRDefault="0054112C" w:rsidP="0054112C">
      <w:pPr>
        <w:spacing w:after="0" w:line="240" w:lineRule="auto"/>
        <w:ind w:left="446"/>
        <w:rPr>
          <w:rFonts w:eastAsia="Tahoma" w:cstheme="minorHAnsi"/>
          <w:sz w:val="20"/>
          <w:szCs w:val="20"/>
          <w:lang w:eastAsia="en-US"/>
        </w:rPr>
      </w:pPr>
      <w:bookmarkStart w:id="20" w:name="_Hlk177109182"/>
      <w:r w:rsidRPr="000655FE">
        <w:rPr>
          <w:rFonts w:eastAsia="Tahoma" w:cstheme="minorHAnsi"/>
          <w:sz w:val="20"/>
          <w:szCs w:val="20"/>
          <w:lang w:eastAsia="en-US"/>
        </w:rPr>
        <w:t>☐</w:t>
      </w:r>
      <w:r w:rsidRPr="000655FE">
        <w:rPr>
          <w:rFonts w:eastAsia="Tahoma" w:cstheme="minorHAnsi"/>
          <w:sz w:val="20"/>
          <w:szCs w:val="20"/>
          <w:lang w:eastAsia="en-US"/>
        </w:rPr>
        <w:tab/>
        <w:t>General government (S.13)</w:t>
      </w:r>
    </w:p>
    <w:p w14:paraId="16EC6678" w14:textId="77777777" w:rsidR="0054112C" w:rsidRPr="000655FE" w:rsidRDefault="0054112C" w:rsidP="0054112C">
      <w:pPr>
        <w:spacing w:after="0" w:line="240" w:lineRule="auto"/>
        <w:ind w:left="446"/>
        <w:rPr>
          <w:rFonts w:eastAsia="Tahoma" w:cstheme="minorHAnsi"/>
          <w:sz w:val="20"/>
          <w:szCs w:val="20"/>
          <w:lang w:eastAsia="en-US"/>
        </w:rPr>
      </w:pPr>
      <w:bookmarkStart w:id="21" w:name="_Hlk178770840"/>
      <w:r w:rsidRPr="000655FE">
        <w:rPr>
          <w:rFonts w:eastAsia="Tahoma" w:cstheme="minorHAnsi"/>
          <w:sz w:val="20"/>
          <w:szCs w:val="20"/>
          <w:lang w:eastAsia="en-US"/>
        </w:rPr>
        <w:t>☐</w:t>
      </w:r>
      <w:r w:rsidRPr="000655FE">
        <w:rPr>
          <w:rFonts w:eastAsia="Tahoma" w:cstheme="minorHAnsi"/>
          <w:sz w:val="20"/>
          <w:szCs w:val="20"/>
          <w:lang w:eastAsia="en-US"/>
        </w:rPr>
        <w:tab/>
        <w:t>Central government (S.1311)</w:t>
      </w:r>
    </w:p>
    <w:p w14:paraId="0623B654" w14:textId="77777777" w:rsidR="0054112C" w:rsidRPr="000655FE" w:rsidRDefault="0054112C" w:rsidP="0054112C">
      <w:pPr>
        <w:spacing w:after="0" w:line="240" w:lineRule="auto"/>
        <w:ind w:left="446" w:firstLine="274"/>
        <w:rPr>
          <w:rFonts w:eastAsia="Tahoma" w:cstheme="minorHAnsi"/>
          <w:i/>
          <w:iCs/>
          <w:sz w:val="20"/>
          <w:szCs w:val="20"/>
          <w:lang w:eastAsia="en-US"/>
        </w:rPr>
      </w:pPr>
      <w:r w:rsidRPr="000655FE">
        <w:rPr>
          <w:rFonts w:eastAsia="Tahoma" w:cstheme="minorHAnsi"/>
          <w:i/>
          <w:iCs/>
          <w:sz w:val="20"/>
          <w:szCs w:val="20"/>
          <w:lang w:eastAsia="en-US"/>
        </w:rPr>
        <w:t>☐ (Of which):  Budgetary central government (S.1311)</w:t>
      </w:r>
    </w:p>
    <w:p w14:paraId="231678DA" w14:textId="77777777" w:rsidR="0054112C" w:rsidRPr="000655FE" w:rsidRDefault="0054112C" w:rsidP="0054112C">
      <w:pPr>
        <w:spacing w:after="0" w:line="240" w:lineRule="auto"/>
        <w:ind w:left="446" w:firstLine="274"/>
        <w:rPr>
          <w:rFonts w:eastAsia="Tahoma" w:cstheme="minorHAnsi"/>
          <w:i/>
          <w:iCs/>
          <w:sz w:val="20"/>
          <w:szCs w:val="20"/>
          <w:lang w:eastAsia="en-US"/>
        </w:rPr>
      </w:pPr>
      <w:r w:rsidRPr="000655FE">
        <w:rPr>
          <w:rFonts w:eastAsia="Tahoma" w:cstheme="minorHAnsi"/>
          <w:i/>
          <w:iCs/>
          <w:sz w:val="20"/>
          <w:szCs w:val="20"/>
          <w:lang w:eastAsia="en-US"/>
        </w:rPr>
        <w:t>☐ (Of which):  Non-budgetary central government (S.1311)</w:t>
      </w:r>
    </w:p>
    <w:p w14:paraId="30270FD9" w14:textId="77777777" w:rsidR="0054112C" w:rsidRPr="000655FE" w:rsidRDefault="0054112C" w:rsidP="0054112C">
      <w:pPr>
        <w:spacing w:after="0" w:line="240" w:lineRule="auto"/>
        <w:ind w:left="446"/>
        <w:rPr>
          <w:rFonts w:eastAsia="Tahoma" w:cstheme="minorHAnsi"/>
          <w:sz w:val="20"/>
          <w:szCs w:val="20"/>
          <w:lang w:eastAsia="en-US"/>
        </w:rPr>
      </w:pPr>
      <w:r w:rsidRPr="000655FE">
        <w:rPr>
          <w:rFonts w:eastAsia="Tahoma" w:cstheme="minorHAnsi"/>
          <w:sz w:val="20"/>
          <w:szCs w:val="20"/>
          <w:lang w:eastAsia="en-US"/>
        </w:rPr>
        <w:t>☐</w:t>
      </w:r>
      <w:r w:rsidRPr="000655FE">
        <w:rPr>
          <w:rFonts w:eastAsia="Tahoma" w:cstheme="minorHAnsi"/>
          <w:sz w:val="20"/>
          <w:szCs w:val="20"/>
          <w:lang w:eastAsia="en-US"/>
        </w:rPr>
        <w:tab/>
        <w:t>State government (S.1312)</w:t>
      </w:r>
    </w:p>
    <w:p w14:paraId="6597CAB3" w14:textId="77777777" w:rsidR="0054112C" w:rsidRPr="000655FE" w:rsidRDefault="0054112C" w:rsidP="0054112C">
      <w:pPr>
        <w:spacing w:after="0" w:line="240" w:lineRule="auto"/>
        <w:ind w:left="446"/>
        <w:rPr>
          <w:rFonts w:eastAsia="Tahoma" w:cstheme="minorHAnsi"/>
          <w:sz w:val="20"/>
          <w:szCs w:val="20"/>
          <w:lang w:eastAsia="en-US"/>
        </w:rPr>
      </w:pPr>
      <w:r w:rsidRPr="000655FE">
        <w:rPr>
          <w:rFonts w:eastAsia="Tahoma" w:cstheme="minorHAnsi"/>
          <w:sz w:val="20"/>
          <w:szCs w:val="20"/>
          <w:lang w:eastAsia="en-US"/>
        </w:rPr>
        <w:t>☐</w:t>
      </w:r>
      <w:r w:rsidRPr="000655FE">
        <w:rPr>
          <w:rFonts w:eastAsia="Tahoma" w:cstheme="minorHAnsi"/>
          <w:sz w:val="20"/>
          <w:szCs w:val="20"/>
          <w:lang w:eastAsia="en-US"/>
        </w:rPr>
        <w:tab/>
        <w:t>Local government (S.1313)</w:t>
      </w:r>
    </w:p>
    <w:p w14:paraId="0B483130" w14:textId="77777777" w:rsidR="0054112C" w:rsidRPr="000655FE" w:rsidRDefault="0054112C" w:rsidP="0054112C">
      <w:pPr>
        <w:spacing w:after="0" w:line="240" w:lineRule="auto"/>
        <w:ind w:left="446"/>
        <w:rPr>
          <w:rFonts w:eastAsia="Tahoma" w:cstheme="minorHAnsi"/>
          <w:sz w:val="20"/>
          <w:szCs w:val="20"/>
          <w:lang w:eastAsia="en-US"/>
        </w:rPr>
      </w:pPr>
      <w:r w:rsidRPr="000655FE">
        <w:rPr>
          <w:rFonts w:eastAsia="Tahoma" w:cstheme="minorHAnsi"/>
          <w:sz w:val="20"/>
          <w:szCs w:val="20"/>
          <w:lang w:eastAsia="en-US"/>
        </w:rPr>
        <w:t>☐</w:t>
      </w:r>
      <w:r w:rsidRPr="000655FE">
        <w:rPr>
          <w:rFonts w:eastAsia="Tahoma" w:cstheme="minorHAnsi"/>
          <w:sz w:val="20"/>
          <w:szCs w:val="20"/>
          <w:lang w:eastAsia="en-US"/>
        </w:rPr>
        <w:tab/>
        <w:t>Social security funds (S.1314)</w:t>
      </w:r>
    </w:p>
    <w:p w14:paraId="6B93B116" w14:textId="77777777" w:rsidR="0054112C" w:rsidRPr="000655FE" w:rsidRDefault="0054112C" w:rsidP="0054112C">
      <w:pPr>
        <w:spacing w:after="0" w:line="240" w:lineRule="auto"/>
        <w:ind w:left="446"/>
        <w:rPr>
          <w:rFonts w:eastAsia="Tahoma" w:cstheme="minorHAnsi"/>
          <w:sz w:val="20"/>
          <w:szCs w:val="20"/>
          <w:lang w:eastAsia="en-US"/>
        </w:rPr>
      </w:pPr>
      <w:r w:rsidRPr="000655FE">
        <w:rPr>
          <w:rFonts w:eastAsia="Tahoma" w:cstheme="minorHAnsi"/>
          <w:sz w:val="20"/>
          <w:szCs w:val="20"/>
          <w:lang w:eastAsia="en-US"/>
        </w:rPr>
        <w:t>☐</w:t>
      </w:r>
      <w:r w:rsidRPr="000655FE">
        <w:rPr>
          <w:rFonts w:eastAsia="Tahoma" w:cstheme="minorHAnsi"/>
          <w:sz w:val="20"/>
          <w:szCs w:val="20"/>
          <w:lang w:eastAsia="en-US"/>
        </w:rPr>
        <w:tab/>
        <w:t>State-owned enterprises/public corporations</w:t>
      </w:r>
      <w:bookmarkEnd w:id="21"/>
      <w:r w:rsidRPr="000655FE">
        <w:rPr>
          <w:rFonts w:eastAsia="Tahoma" w:cstheme="minorHAnsi"/>
          <w:strike/>
          <w:sz w:val="20"/>
          <w:szCs w:val="20"/>
          <w:lang w:eastAsia="en-US"/>
        </w:rPr>
        <w:t xml:space="preserve"> </w:t>
      </w:r>
      <w:bookmarkEnd w:id="20"/>
    </w:p>
    <w:p w14:paraId="1BFD911B" w14:textId="77777777" w:rsidR="0054112C" w:rsidRPr="000655FE" w:rsidRDefault="0054112C" w:rsidP="0054112C">
      <w:pPr>
        <w:spacing w:after="0" w:line="240" w:lineRule="auto"/>
        <w:rPr>
          <w:rFonts w:eastAsia="Tahoma" w:cstheme="minorHAnsi"/>
          <w:b/>
          <w:bCs/>
          <w:sz w:val="20"/>
          <w:szCs w:val="20"/>
          <w:lang w:eastAsia="en-US"/>
        </w:rPr>
      </w:pPr>
    </w:p>
    <w:p w14:paraId="4AA7F2CF" w14:textId="77777777" w:rsidR="0054112C" w:rsidRPr="000655FE" w:rsidRDefault="0054112C" w:rsidP="0054112C">
      <w:pPr>
        <w:spacing w:after="0" w:line="240" w:lineRule="auto"/>
        <w:rPr>
          <w:rFonts w:eastAsia="Tahoma" w:cstheme="minorHAnsi"/>
          <w:b/>
          <w:bCs/>
          <w:sz w:val="20"/>
          <w:szCs w:val="20"/>
          <w:lang w:eastAsia="en-US"/>
        </w:rPr>
      </w:pPr>
    </w:p>
    <w:p w14:paraId="281ADD92" w14:textId="77777777" w:rsidR="0054112C" w:rsidRPr="000655FE" w:rsidRDefault="0054112C" w:rsidP="00D25872">
      <w:pPr>
        <w:pStyle w:val="ListParagraph"/>
        <w:numPr>
          <w:ilvl w:val="0"/>
          <w:numId w:val="2"/>
        </w:numPr>
        <w:spacing w:after="0" w:line="240" w:lineRule="auto"/>
        <w:rPr>
          <w:rFonts w:eastAsia="Tahoma" w:cstheme="minorHAnsi"/>
          <w:sz w:val="20"/>
          <w:szCs w:val="20"/>
          <w:lang w:eastAsia="en-US"/>
        </w:rPr>
      </w:pPr>
      <w:r w:rsidRPr="000655FE">
        <w:rPr>
          <w:rFonts w:eastAsia="Arial" w:cstheme="minorHAnsi"/>
          <w:b/>
          <w:bCs/>
          <w:sz w:val="20"/>
          <w:szCs w:val="20"/>
          <w:lang w:eastAsia="en-US"/>
        </w:rPr>
        <w:t xml:space="preserve">Does your institution use budget tagging to identify primary expenditures in your data system? </w:t>
      </w:r>
      <w:r w:rsidRPr="000655FE">
        <w:rPr>
          <w:rFonts w:eastAsia="Tahoma" w:cstheme="minorHAnsi"/>
          <w:sz w:val="20"/>
          <w:szCs w:val="20"/>
          <w:lang w:eastAsia="en-US"/>
        </w:rPr>
        <w:t xml:space="preserve">          </w:t>
      </w:r>
    </w:p>
    <w:p w14:paraId="29B2F2DF" w14:textId="77777777" w:rsidR="0054112C" w:rsidRPr="000655FE" w:rsidRDefault="0054112C" w:rsidP="0054112C">
      <w:pPr>
        <w:pStyle w:val="ListParagraph"/>
        <w:spacing w:after="0" w:line="240" w:lineRule="auto"/>
        <w:ind w:left="360"/>
        <w:rPr>
          <w:rFonts w:eastAsia="Tahoma" w:cstheme="minorHAnsi"/>
          <w:sz w:val="20"/>
          <w:szCs w:val="20"/>
          <w:lang w:eastAsia="en-US"/>
        </w:rPr>
      </w:pPr>
      <w:r w:rsidRPr="000655FE">
        <w:rPr>
          <w:rFonts w:eastAsia="Tahoma" w:cstheme="minorHAnsi"/>
          <w:sz w:val="20"/>
          <w:szCs w:val="20"/>
          <w:lang w:eastAsia="en-US"/>
        </w:rPr>
        <w:t>☐ Yes</w:t>
      </w:r>
    </w:p>
    <w:p w14:paraId="511C1DC4" w14:textId="3622732F" w:rsidR="0054112C" w:rsidRDefault="0054112C" w:rsidP="000655FE">
      <w:pPr>
        <w:pStyle w:val="ListParagraph"/>
        <w:spacing w:after="0" w:line="240" w:lineRule="auto"/>
        <w:ind w:left="360"/>
        <w:rPr>
          <w:rFonts w:eastAsia="Tahoma" w:cstheme="minorHAnsi"/>
          <w:sz w:val="20"/>
          <w:szCs w:val="20"/>
          <w:lang w:eastAsia="en-US"/>
        </w:rPr>
      </w:pPr>
      <w:r w:rsidRPr="000655FE">
        <w:rPr>
          <w:rFonts w:eastAsia="Tahoma" w:cstheme="minorHAnsi"/>
          <w:sz w:val="20"/>
          <w:szCs w:val="20"/>
          <w:lang w:eastAsia="en-US"/>
        </w:rPr>
        <w:t xml:space="preserve">☐ No.  If </w:t>
      </w:r>
      <w:proofErr w:type="gramStart"/>
      <w:r w:rsidRPr="000655FE">
        <w:rPr>
          <w:rFonts w:eastAsia="Tahoma" w:cstheme="minorHAnsi"/>
          <w:sz w:val="20"/>
          <w:szCs w:val="20"/>
          <w:lang w:eastAsia="en-US"/>
        </w:rPr>
        <w:t>no</w:t>
      </w:r>
      <w:proofErr w:type="gramEnd"/>
      <w:r w:rsidRPr="000655FE">
        <w:rPr>
          <w:rFonts w:eastAsia="Tahoma" w:cstheme="minorHAnsi"/>
          <w:sz w:val="20"/>
          <w:szCs w:val="20"/>
          <w:lang w:eastAsia="en-US"/>
        </w:rPr>
        <w:t>, please explain which method(s) are used to identify primary expenditure: _________________________________________________________________________________</w:t>
      </w:r>
    </w:p>
    <w:p w14:paraId="48E0178F" w14:textId="77777777" w:rsidR="000655FE" w:rsidRDefault="000655FE" w:rsidP="000655FE">
      <w:pPr>
        <w:pStyle w:val="ListParagraph"/>
        <w:spacing w:after="0" w:line="240" w:lineRule="auto"/>
        <w:ind w:left="360"/>
        <w:rPr>
          <w:rFonts w:eastAsia="Tahoma" w:cstheme="minorHAnsi"/>
          <w:sz w:val="20"/>
          <w:szCs w:val="20"/>
          <w:lang w:eastAsia="en-US"/>
        </w:rPr>
      </w:pPr>
    </w:p>
    <w:p w14:paraId="537BF8F7" w14:textId="77777777" w:rsidR="0054112C" w:rsidRPr="000655FE" w:rsidRDefault="0054112C" w:rsidP="0054112C">
      <w:pPr>
        <w:spacing w:after="0" w:line="240" w:lineRule="auto"/>
        <w:ind w:firstLine="360"/>
        <w:rPr>
          <w:rFonts w:eastAsia="Tahoma" w:cstheme="minorHAnsi"/>
          <w:sz w:val="20"/>
          <w:szCs w:val="20"/>
          <w:lang w:eastAsia="en-US"/>
        </w:rPr>
      </w:pPr>
    </w:p>
    <w:p w14:paraId="560B07A0" w14:textId="33386C64" w:rsidR="0054112C" w:rsidRPr="000655FE" w:rsidRDefault="0054112C" w:rsidP="00D25872">
      <w:pPr>
        <w:pStyle w:val="ListParagraph"/>
        <w:numPr>
          <w:ilvl w:val="0"/>
          <w:numId w:val="2"/>
        </w:numPr>
        <w:spacing w:after="0" w:line="240" w:lineRule="auto"/>
        <w:rPr>
          <w:rFonts w:eastAsia="Tahoma" w:cstheme="minorHAnsi"/>
          <w:sz w:val="20"/>
          <w:szCs w:val="20"/>
          <w:lang w:eastAsia="en-US"/>
        </w:rPr>
      </w:pPr>
      <w:r w:rsidRPr="000655FE">
        <w:rPr>
          <w:rFonts w:eastAsia="Arial" w:cstheme="minorHAnsi"/>
          <w:b/>
          <w:bCs/>
          <w:sz w:val="20"/>
          <w:szCs w:val="20"/>
          <w:lang w:eastAsia="en-US"/>
        </w:rPr>
        <w:t xml:space="preserve">Does your institution identify secondary expenditures in the same way as primary purposes of expenditure? (See Annex for issue category B2. </w:t>
      </w:r>
      <w:r w:rsidR="00B953A6" w:rsidRPr="000655FE">
        <w:rPr>
          <w:rFonts w:eastAsia="Arial" w:cstheme="minorHAnsi"/>
          <w:b/>
          <w:bCs/>
          <w:sz w:val="20"/>
          <w:szCs w:val="20"/>
          <w:lang w:eastAsia="en-US"/>
        </w:rPr>
        <w:t>F</w:t>
      </w:r>
      <w:r w:rsidRPr="000655FE">
        <w:rPr>
          <w:rFonts w:eastAsia="Arial" w:cstheme="minorHAnsi"/>
          <w:b/>
          <w:bCs/>
          <w:sz w:val="20"/>
          <w:szCs w:val="20"/>
          <w:lang w:eastAsia="en-US"/>
        </w:rPr>
        <w:t xml:space="preserve">or more information) </w:t>
      </w:r>
      <w:r w:rsidRPr="000655FE">
        <w:rPr>
          <w:rFonts w:eastAsia="Tahoma" w:cstheme="minorHAnsi"/>
          <w:sz w:val="20"/>
          <w:szCs w:val="20"/>
          <w:lang w:eastAsia="en-US"/>
        </w:rPr>
        <w:t xml:space="preserve">         </w:t>
      </w:r>
    </w:p>
    <w:p w14:paraId="0030748C" w14:textId="77777777" w:rsidR="0054112C" w:rsidRPr="000655FE" w:rsidRDefault="0054112C" w:rsidP="0054112C">
      <w:pPr>
        <w:pStyle w:val="ListParagraph"/>
        <w:spacing w:after="0" w:line="240" w:lineRule="auto"/>
        <w:ind w:left="360"/>
        <w:rPr>
          <w:rFonts w:eastAsia="Tahoma" w:cstheme="minorHAnsi"/>
          <w:sz w:val="20"/>
          <w:szCs w:val="20"/>
          <w:lang w:eastAsia="en-US"/>
        </w:rPr>
      </w:pPr>
      <w:r w:rsidRPr="000655FE">
        <w:rPr>
          <w:rFonts w:eastAsia="Tahoma" w:cstheme="minorHAnsi"/>
          <w:sz w:val="20"/>
          <w:szCs w:val="20"/>
          <w:lang w:eastAsia="en-US"/>
        </w:rPr>
        <w:t>☐ Yes</w:t>
      </w:r>
    </w:p>
    <w:p w14:paraId="5DF3D628" w14:textId="44F9FF48" w:rsidR="0054112C" w:rsidRPr="000655FE" w:rsidRDefault="0054112C" w:rsidP="0054112C">
      <w:pPr>
        <w:pStyle w:val="ListParagraph"/>
        <w:spacing w:after="0" w:line="240" w:lineRule="auto"/>
        <w:ind w:left="360"/>
        <w:rPr>
          <w:rFonts w:eastAsia="Tahoma" w:cstheme="minorHAnsi"/>
          <w:sz w:val="20"/>
          <w:szCs w:val="20"/>
          <w:lang w:eastAsia="en-US"/>
        </w:rPr>
      </w:pPr>
      <w:r w:rsidRPr="000655FE">
        <w:rPr>
          <w:rFonts w:eastAsia="Tahoma" w:cstheme="minorHAnsi"/>
          <w:sz w:val="20"/>
          <w:szCs w:val="20"/>
          <w:lang w:eastAsia="en-US"/>
        </w:rPr>
        <w:t xml:space="preserve">☐ No, our institution uses alternative methods to identify secondary expenditure.  Please explain how secondary expenditures are identified, if applicable: </w:t>
      </w:r>
      <w:proofErr w:type="gramStart"/>
      <w:r w:rsidRPr="000655FE">
        <w:rPr>
          <w:rFonts w:eastAsia="Tahoma" w:cstheme="minorHAnsi"/>
          <w:sz w:val="20"/>
          <w:szCs w:val="20"/>
          <w:lang w:eastAsia="en-US"/>
        </w:rPr>
        <w:t xml:space="preserve"> ___________________________ </w:t>
      </w:r>
      <w:proofErr w:type="gramEnd"/>
      <w:r w:rsidRPr="000655FE">
        <w:rPr>
          <w:rFonts w:eastAsia="Tahoma" w:cstheme="minorHAnsi"/>
          <w:sz w:val="20"/>
          <w:szCs w:val="20"/>
          <w:lang w:eastAsia="en-US"/>
        </w:rPr>
        <w:t>______________________________________________________</w:t>
      </w:r>
    </w:p>
    <w:p w14:paraId="6E6B9851" w14:textId="77777777" w:rsidR="0054112C" w:rsidRPr="000655FE" w:rsidRDefault="0054112C" w:rsidP="0054112C">
      <w:pPr>
        <w:pStyle w:val="ListParagraph"/>
        <w:spacing w:after="0" w:line="240" w:lineRule="auto"/>
        <w:ind w:left="360"/>
        <w:rPr>
          <w:rFonts w:eastAsia="Tahoma" w:cstheme="minorHAnsi"/>
          <w:sz w:val="20"/>
          <w:szCs w:val="20"/>
          <w:lang w:eastAsia="en-US"/>
        </w:rPr>
      </w:pPr>
      <w:r w:rsidRPr="000655FE">
        <w:rPr>
          <w:rFonts w:eastAsia="Tahoma" w:cstheme="minorHAnsi"/>
          <w:sz w:val="20"/>
          <w:szCs w:val="20"/>
          <w:lang w:eastAsia="en-US"/>
        </w:rPr>
        <w:t xml:space="preserve">☐ No, our institution does not identify secondary expenditure </w:t>
      </w:r>
    </w:p>
    <w:p w14:paraId="30BF5735" w14:textId="77777777" w:rsidR="0054112C" w:rsidRPr="000655FE" w:rsidRDefault="0054112C" w:rsidP="0054112C">
      <w:pPr>
        <w:spacing w:after="0" w:line="240" w:lineRule="auto"/>
        <w:rPr>
          <w:rFonts w:eastAsia="Tahoma" w:cstheme="minorHAnsi"/>
          <w:b/>
          <w:bCs/>
          <w:sz w:val="20"/>
          <w:szCs w:val="20"/>
          <w:lang w:eastAsia="en-US"/>
        </w:rPr>
      </w:pPr>
    </w:p>
    <w:p w14:paraId="378168CB" w14:textId="77777777" w:rsidR="0054112C" w:rsidRPr="000655FE" w:rsidRDefault="0054112C" w:rsidP="00D25872">
      <w:pPr>
        <w:pStyle w:val="ListParagraph"/>
        <w:numPr>
          <w:ilvl w:val="0"/>
          <w:numId w:val="2"/>
        </w:numPr>
        <w:spacing w:after="0" w:line="240" w:lineRule="auto"/>
        <w:jc w:val="both"/>
        <w:rPr>
          <w:rFonts w:eastAsia="Arial" w:cstheme="minorHAnsi"/>
          <w:b/>
          <w:bCs/>
          <w:sz w:val="20"/>
          <w:szCs w:val="20"/>
          <w:lang w:eastAsia="en-US"/>
        </w:rPr>
      </w:pPr>
      <w:r w:rsidRPr="000655FE">
        <w:rPr>
          <w:rFonts w:eastAsia="Arial" w:cstheme="minorHAnsi"/>
          <w:b/>
          <w:bCs/>
          <w:sz w:val="20"/>
          <w:szCs w:val="20"/>
          <w:lang w:eastAsia="en-US"/>
        </w:rPr>
        <w:t xml:space="preserve">In the compilation or provision of COFOG data, do you </w:t>
      </w:r>
      <w:r w:rsidRPr="000655FE">
        <w:rPr>
          <w:rFonts w:eastAsia="Arial" w:cstheme="minorHAnsi"/>
          <w:b/>
          <w:bCs/>
          <w:sz w:val="20"/>
          <w:szCs w:val="20"/>
        </w:rPr>
        <w:t>ensure (or aim to achieve) consistency with other related data, such as non-financial data for government statistics and other domains (e.g. employment, energy, etc.)?</w:t>
      </w:r>
    </w:p>
    <w:p w14:paraId="7A9DF3BB" w14:textId="5B46B187" w:rsidR="0054112C" w:rsidRPr="000655FE" w:rsidRDefault="0054112C" w:rsidP="0054112C">
      <w:pPr>
        <w:spacing w:after="0" w:line="240" w:lineRule="auto"/>
        <w:ind w:left="446"/>
        <w:rPr>
          <w:rFonts w:eastAsia="Arial" w:cstheme="minorHAnsi"/>
          <w:sz w:val="20"/>
          <w:szCs w:val="20"/>
          <w:lang w:eastAsia="en-US"/>
        </w:rPr>
      </w:pPr>
      <w:r w:rsidRPr="000655FE">
        <w:rPr>
          <w:rFonts w:eastAsia="Tahoma" w:cstheme="minorHAnsi"/>
          <w:sz w:val="20"/>
          <w:szCs w:val="20"/>
          <w:lang w:eastAsia="en-US"/>
        </w:rPr>
        <w:t xml:space="preserve">☐ </w:t>
      </w:r>
      <w:r w:rsidRPr="000655FE">
        <w:rPr>
          <w:rFonts w:eastAsia="Arial" w:cstheme="minorHAnsi"/>
          <w:sz w:val="20"/>
          <w:szCs w:val="20"/>
          <w:lang w:eastAsia="en-US"/>
        </w:rPr>
        <w:t>Yes.  Please explain: _________________________________________________________________</w:t>
      </w:r>
      <w:r w:rsidR="00806AD8" w:rsidRPr="000655FE">
        <w:rPr>
          <w:rFonts w:eastAsia="Arial" w:cstheme="minorHAnsi"/>
          <w:sz w:val="20"/>
          <w:szCs w:val="20"/>
          <w:lang w:eastAsia="en-US"/>
        </w:rPr>
        <w:t>_______________</w:t>
      </w:r>
    </w:p>
    <w:p w14:paraId="3FFA4172" w14:textId="77777777" w:rsidR="0054112C" w:rsidRPr="000655FE" w:rsidRDefault="0054112C" w:rsidP="0054112C">
      <w:pPr>
        <w:spacing w:after="0" w:line="240" w:lineRule="auto"/>
        <w:ind w:firstLine="446"/>
        <w:rPr>
          <w:rFonts w:eastAsia="Arial" w:cstheme="minorHAnsi"/>
          <w:sz w:val="20"/>
          <w:szCs w:val="20"/>
          <w:lang w:eastAsia="en-US"/>
        </w:rPr>
      </w:pPr>
      <w:r w:rsidRPr="000655FE">
        <w:rPr>
          <w:rFonts w:eastAsia="Tahoma" w:cstheme="minorHAnsi"/>
          <w:sz w:val="20"/>
          <w:szCs w:val="20"/>
          <w:lang w:eastAsia="en-US"/>
        </w:rPr>
        <w:t xml:space="preserve">☐ </w:t>
      </w:r>
      <w:r w:rsidRPr="000655FE">
        <w:rPr>
          <w:rFonts w:eastAsia="Arial" w:cstheme="minorHAnsi"/>
          <w:sz w:val="20"/>
          <w:szCs w:val="20"/>
          <w:lang w:eastAsia="en-US"/>
        </w:rPr>
        <w:t>No</w:t>
      </w:r>
    </w:p>
    <w:p w14:paraId="7EAD7971" w14:textId="77777777" w:rsidR="0054112C" w:rsidRPr="000655FE" w:rsidRDefault="0054112C" w:rsidP="0054112C">
      <w:pPr>
        <w:spacing w:after="0" w:line="240" w:lineRule="auto"/>
        <w:ind w:firstLine="446"/>
        <w:rPr>
          <w:rFonts w:eastAsia="Arial" w:cstheme="minorHAnsi"/>
          <w:sz w:val="20"/>
          <w:szCs w:val="20"/>
          <w:lang w:eastAsia="en-US"/>
        </w:rPr>
      </w:pPr>
    </w:p>
    <w:p w14:paraId="6018EBBF" w14:textId="77777777" w:rsidR="0054112C" w:rsidRPr="000655FE" w:rsidRDefault="0054112C" w:rsidP="00D25872">
      <w:pPr>
        <w:pStyle w:val="ListParagraph"/>
        <w:numPr>
          <w:ilvl w:val="0"/>
          <w:numId w:val="2"/>
        </w:numPr>
        <w:spacing w:after="0" w:line="240" w:lineRule="auto"/>
        <w:rPr>
          <w:rFonts w:eastAsia="Arial" w:cstheme="minorHAnsi"/>
          <w:sz w:val="20"/>
          <w:szCs w:val="20"/>
          <w:lang w:eastAsia="en-US"/>
        </w:rPr>
      </w:pPr>
      <w:r w:rsidRPr="000655FE">
        <w:rPr>
          <w:rFonts w:eastAsia="Arial" w:cstheme="minorHAnsi"/>
          <w:b/>
          <w:bCs/>
          <w:sz w:val="20"/>
          <w:szCs w:val="20"/>
          <w:lang w:eastAsia="en-US"/>
        </w:rPr>
        <w:lastRenderedPageBreak/>
        <w:t xml:space="preserve">Are COFOG statistics compiled ex post or ex </w:t>
      </w:r>
      <w:proofErr w:type="gramStart"/>
      <w:r w:rsidRPr="000655FE">
        <w:rPr>
          <w:rFonts w:eastAsia="Arial" w:cstheme="minorHAnsi"/>
          <w:b/>
          <w:bCs/>
          <w:sz w:val="20"/>
          <w:szCs w:val="20"/>
          <w:lang w:eastAsia="en-US"/>
        </w:rPr>
        <w:t>ante</w:t>
      </w:r>
      <w:proofErr w:type="gramEnd"/>
      <w:r w:rsidRPr="000655FE">
        <w:rPr>
          <w:rFonts w:eastAsia="Arial" w:cstheme="minorHAnsi"/>
          <w:b/>
          <w:bCs/>
          <w:sz w:val="20"/>
          <w:szCs w:val="20"/>
          <w:lang w:eastAsia="en-US"/>
        </w:rPr>
        <w:t xml:space="preserve"> in the budgeting process?</w:t>
      </w:r>
    </w:p>
    <w:p w14:paraId="3718D66E" w14:textId="575875BF" w:rsidR="0054112C" w:rsidRPr="000655FE" w:rsidRDefault="000655FE" w:rsidP="00B953A6">
      <w:pPr>
        <w:spacing w:after="0" w:line="240" w:lineRule="auto"/>
        <w:ind w:left="360"/>
        <w:rPr>
          <w:rFonts w:eastAsia="Arial" w:cstheme="minorHAnsi"/>
          <w:sz w:val="20"/>
          <w:szCs w:val="20"/>
          <w:lang w:eastAsia="en-US"/>
        </w:rPr>
      </w:pPr>
      <w:r>
        <w:rPr>
          <w:rFonts w:eastAsia="Tahoma" w:cstheme="minorHAnsi"/>
          <w:sz w:val="20"/>
          <w:szCs w:val="20"/>
          <w:lang w:eastAsia="en-US"/>
        </w:rPr>
        <w:t xml:space="preserve">   </w:t>
      </w:r>
      <w:r w:rsidR="0054112C" w:rsidRPr="000655FE">
        <w:rPr>
          <w:rFonts w:eastAsia="Tahoma" w:cstheme="minorHAnsi"/>
          <w:sz w:val="20"/>
          <w:szCs w:val="20"/>
          <w:lang w:eastAsia="en-US"/>
        </w:rPr>
        <w:t xml:space="preserve">☐ </w:t>
      </w:r>
      <w:r w:rsidR="0054112C" w:rsidRPr="000655FE">
        <w:rPr>
          <w:rFonts w:eastAsia="Arial" w:cstheme="minorHAnsi"/>
          <w:sz w:val="20"/>
          <w:szCs w:val="20"/>
          <w:lang w:eastAsia="en-US"/>
        </w:rPr>
        <w:t>Ex post (at the end of the budget cycle)</w:t>
      </w:r>
    </w:p>
    <w:p w14:paraId="4EE6FDD8" w14:textId="5047655A" w:rsidR="0054112C" w:rsidRPr="000655FE" w:rsidRDefault="0054112C" w:rsidP="0054112C">
      <w:pPr>
        <w:spacing w:after="0" w:line="240" w:lineRule="auto"/>
        <w:ind w:firstLine="360"/>
        <w:rPr>
          <w:rFonts w:eastAsia="Arial" w:cstheme="minorHAnsi"/>
          <w:sz w:val="20"/>
          <w:szCs w:val="20"/>
          <w:lang w:eastAsia="en-US"/>
        </w:rPr>
      </w:pPr>
      <w:r w:rsidRPr="000655FE">
        <w:rPr>
          <w:rFonts w:ascii="MS Gothic" w:eastAsia="MS Gothic" w:hAnsi="MS Gothic" w:cstheme="minorHAnsi"/>
          <w:sz w:val="20"/>
          <w:szCs w:val="20"/>
          <w:lang w:eastAsia="en-US"/>
        </w:rPr>
        <w:t xml:space="preserve"> </w:t>
      </w:r>
      <w:r w:rsidRPr="000655FE">
        <w:rPr>
          <w:rFonts w:eastAsia="Tahoma" w:cstheme="minorHAnsi"/>
          <w:sz w:val="20"/>
          <w:szCs w:val="20"/>
          <w:lang w:eastAsia="en-US"/>
        </w:rPr>
        <w:t xml:space="preserve">☐ </w:t>
      </w:r>
      <w:r w:rsidRPr="000655FE">
        <w:rPr>
          <w:rFonts w:eastAsia="Arial" w:cstheme="minorHAnsi"/>
          <w:sz w:val="20"/>
          <w:szCs w:val="20"/>
          <w:lang w:eastAsia="en-US"/>
        </w:rPr>
        <w:t>Ex ante (at the beginning of the budget cycle)</w:t>
      </w:r>
    </w:p>
    <w:p w14:paraId="0EA5370A" w14:textId="77777777" w:rsidR="0054112C" w:rsidRPr="000655FE" w:rsidRDefault="0054112C" w:rsidP="0054112C">
      <w:pPr>
        <w:spacing w:after="0" w:line="240" w:lineRule="auto"/>
        <w:ind w:firstLine="360"/>
        <w:rPr>
          <w:rFonts w:eastAsia="Arial" w:cstheme="minorHAnsi"/>
          <w:sz w:val="20"/>
          <w:szCs w:val="20"/>
          <w:lang w:eastAsia="en-US"/>
        </w:rPr>
      </w:pPr>
      <w:r w:rsidRPr="000655FE">
        <w:rPr>
          <w:rFonts w:eastAsia="Tahoma" w:cstheme="minorHAnsi"/>
          <w:sz w:val="20"/>
          <w:szCs w:val="20"/>
          <w:lang w:eastAsia="en-US"/>
        </w:rPr>
        <w:t xml:space="preserve">   ☐ Not sure/not applicable</w:t>
      </w:r>
    </w:p>
    <w:p w14:paraId="733D3FDD" w14:textId="77777777" w:rsidR="0054112C" w:rsidRPr="000655FE" w:rsidRDefault="0054112C" w:rsidP="0054112C">
      <w:pPr>
        <w:spacing w:after="0" w:line="240" w:lineRule="auto"/>
        <w:ind w:firstLine="360"/>
        <w:rPr>
          <w:rFonts w:eastAsia="Arial" w:cstheme="minorHAnsi"/>
          <w:sz w:val="20"/>
          <w:szCs w:val="20"/>
          <w:lang w:eastAsia="en-US"/>
        </w:rPr>
      </w:pPr>
    </w:p>
    <w:p w14:paraId="0FC7FB32" w14:textId="77777777" w:rsidR="0054112C" w:rsidRPr="000655FE" w:rsidRDefault="0054112C" w:rsidP="0054112C">
      <w:pPr>
        <w:spacing w:after="0" w:line="240" w:lineRule="auto"/>
        <w:ind w:firstLine="360"/>
        <w:rPr>
          <w:rFonts w:eastAsia="Arial" w:cstheme="minorHAnsi"/>
          <w:sz w:val="20"/>
          <w:szCs w:val="20"/>
          <w:lang w:eastAsia="en-US"/>
        </w:rPr>
      </w:pPr>
    </w:p>
    <w:p w14:paraId="05FC7506" w14:textId="77777777" w:rsidR="0054112C" w:rsidRPr="000655FE" w:rsidRDefault="0054112C" w:rsidP="0054112C">
      <w:pPr>
        <w:tabs>
          <w:tab w:val="left" w:pos="630"/>
        </w:tabs>
        <w:spacing w:after="0" w:line="240" w:lineRule="auto"/>
        <w:rPr>
          <w:rFonts w:eastAsia="Arial" w:cstheme="minorHAnsi"/>
          <w:b/>
          <w:bCs/>
          <w:sz w:val="20"/>
          <w:szCs w:val="20"/>
          <w:u w:val="single"/>
          <w:lang w:eastAsia="en-US"/>
        </w:rPr>
      </w:pPr>
      <w:r w:rsidRPr="000655FE">
        <w:rPr>
          <w:rFonts w:eastAsia="Arial" w:cstheme="minorHAnsi"/>
          <w:b/>
          <w:bCs/>
          <w:sz w:val="20"/>
          <w:szCs w:val="20"/>
          <w:u w:val="single"/>
          <w:lang w:eastAsia="en-US"/>
        </w:rPr>
        <w:t>Questions 17-19:  For users only</w:t>
      </w:r>
    </w:p>
    <w:p w14:paraId="41222213" w14:textId="77777777" w:rsidR="0054112C" w:rsidRPr="000655FE" w:rsidRDefault="0054112C" w:rsidP="0054112C">
      <w:pPr>
        <w:tabs>
          <w:tab w:val="left" w:pos="630"/>
        </w:tabs>
        <w:spacing w:after="0" w:line="240" w:lineRule="auto"/>
        <w:rPr>
          <w:rFonts w:eastAsia="Arial" w:cstheme="minorHAnsi"/>
          <w:b/>
          <w:bCs/>
          <w:sz w:val="20"/>
          <w:szCs w:val="20"/>
          <w:lang w:eastAsia="en-US"/>
        </w:rPr>
      </w:pPr>
    </w:p>
    <w:p w14:paraId="558203E6" w14:textId="77777777" w:rsidR="0054112C" w:rsidRPr="000655FE" w:rsidRDefault="0054112C" w:rsidP="00D25872">
      <w:pPr>
        <w:pStyle w:val="ListParagraph"/>
        <w:numPr>
          <w:ilvl w:val="0"/>
          <w:numId w:val="2"/>
        </w:numPr>
        <w:spacing w:line="259" w:lineRule="auto"/>
        <w:rPr>
          <w:rFonts w:eastAsia="Arial" w:cstheme="minorHAnsi"/>
          <w:b/>
          <w:bCs/>
          <w:sz w:val="20"/>
          <w:szCs w:val="20"/>
          <w:lang w:eastAsia="en-US"/>
        </w:rPr>
      </w:pPr>
      <w:r w:rsidRPr="000655FE">
        <w:rPr>
          <w:rFonts w:eastAsia="Arial" w:cstheme="minorHAnsi"/>
          <w:b/>
          <w:bCs/>
          <w:sz w:val="20"/>
          <w:szCs w:val="20"/>
          <w:lang w:eastAsia="en-US"/>
        </w:rPr>
        <w:t>At what level of detail does your institution utilize COFOG data? Please mark all that are applicable:</w:t>
      </w:r>
      <w:r w:rsidRPr="000655FE">
        <w:rPr>
          <w:rFonts w:eastAsia="Arial" w:cstheme="minorHAnsi"/>
          <w:b/>
          <w:bCs/>
          <w:sz w:val="20"/>
          <w:szCs w:val="20"/>
          <w:lang w:eastAsia="en-US"/>
        </w:rPr>
        <w:br/>
      </w:r>
      <w:r w:rsidRPr="000655FE">
        <w:rPr>
          <w:rFonts w:eastAsia="Tahoma" w:cstheme="minorHAnsi"/>
          <w:sz w:val="20"/>
          <w:szCs w:val="20"/>
          <w:lang w:eastAsia="en-US"/>
        </w:rPr>
        <w:t>☐  Division (2 digits)</w:t>
      </w:r>
      <w:r w:rsidRPr="000655FE">
        <w:rPr>
          <w:rFonts w:eastAsia="Tahoma" w:cstheme="minorHAnsi"/>
          <w:sz w:val="20"/>
          <w:szCs w:val="20"/>
          <w:lang w:eastAsia="en-US"/>
        </w:rPr>
        <w:br/>
        <w:t>☐  Group (3 digits)</w:t>
      </w:r>
      <w:r w:rsidRPr="000655FE">
        <w:rPr>
          <w:rFonts w:eastAsia="Tahoma" w:cstheme="minorHAnsi"/>
          <w:sz w:val="20"/>
          <w:szCs w:val="20"/>
          <w:lang w:eastAsia="en-US"/>
        </w:rPr>
        <w:br/>
        <w:t>☐  Class (4 digits)</w:t>
      </w:r>
      <w:r w:rsidRPr="000655FE">
        <w:rPr>
          <w:rFonts w:eastAsia="Tahoma" w:cstheme="minorHAnsi"/>
          <w:sz w:val="20"/>
          <w:szCs w:val="20"/>
          <w:lang w:eastAsia="en-US"/>
        </w:rPr>
        <w:br/>
        <w:t>☐  Additional level(s) of detail (5+ digits) for national adaptation</w:t>
      </w:r>
    </w:p>
    <w:p w14:paraId="77DC75F4" w14:textId="77777777" w:rsidR="0054112C" w:rsidRPr="000655FE" w:rsidRDefault="0054112C" w:rsidP="0054112C">
      <w:pPr>
        <w:pStyle w:val="ListParagraph"/>
        <w:ind w:left="360"/>
        <w:rPr>
          <w:rFonts w:eastAsia="Arial" w:cstheme="minorHAnsi"/>
          <w:b/>
          <w:bCs/>
          <w:sz w:val="20"/>
          <w:szCs w:val="20"/>
          <w:lang w:eastAsia="en-US"/>
        </w:rPr>
      </w:pPr>
    </w:p>
    <w:p w14:paraId="5FA604F4" w14:textId="77777777" w:rsidR="0054112C" w:rsidRPr="000655FE" w:rsidRDefault="0054112C" w:rsidP="00D25872">
      <w:pPr>
        <w:pStyle w:val="ListParagraph"/>
        <w:numPr>
          <w:ilvl w:val="0"/>
          <w:numId w:val="2"/>
        </w:numPr>
        <w:spacing w:after="0" w:line="240" w:lineRule="auto"/>
        <w:rPr>
          <w:rFonts w:eastAsia="Arial" w:cstheme="minorHAnsi"/>
          <w:b/>
          <w:bCs/>
          <w:sz w:val="20"/>
          <w:szCs w:val="20"/>
          <w:lang w:eastAsia="en-US"/>
        </w:rPr>
      </w:pPr>
      <w:r w:rsidRPr="000655FE">
        <w:rPr>
          <w:rFonts w:eastAsia="Arial" w:cstheme="minorHAnsi"/>
          <w:b/>
          <w:bCs/>
          <w:sz w:val="20"/>
          <w:szCs w:val="20"/>
          <w:lang w:eastAsia="en-US"/>
        </w:rPr>
        <w:t>For which institutional sectors does your institution utilize COFOG data?</w:t>
      </w:r>
      <w:r w:rsidRPr="000655FE">
        <w:rPr>
          <w:rFonts w:eastAsia="Arial" w:cstheme="minorHAnsi"/>
          <w:b/>
          <w:bCs/>
          <w:sz w:val="20"/>
          <w:szCs w:val="20"/>
          <w:lang w:eastAsia="en-US"/>
        </w:rPr>
        <w:br/>
      </w:r>
      <w:sdt>
        <w:sdtPr>
          <w:rPr>
            <w:rFonts w:eastAsia="Tahoma" w:cstheme="minorHAnsi"/>
            <w:sz w:val="20"/>
            <w:szCs w:val="20"/>
            <w:lang w:eastAsia="en-US"/>
          </w:rPr>
          <w:id w:val="-528883731"/>
          <w14:checkbox>
            <w14:checked w14:val="0"/>
            <w14:checkedState w14:val="2612" w14:font="MS Gothic"/>
            <w14:uncheckedState w14:val="2610" w14:font="MS Gothic"/>
          </w14:checkbox>
        </w:sdtPr>
        <w:sdtEndPr/>
        <w:sdtContent>
          <w:r w:rsidRPr="000655FE">
            <w:rPr>
              <w:rFonts w:ascii="MS Gothic" w:eastAsia="MS Gothic" w:hAnsi="MS Gothic" w:cstheme="minorHAnsi" w:hint="eastAsia"/>
              <w:sz w:val="20"/>
              <w:szCs w:val="20"/>
              <w:lang w:eastAsia="en-US"/>
            </w:rPr>
            <w:t>☐</w:t>
          </w:r>
        </w:sdtContent>
      </w:sdt>
      <w:r w:rsidRPr="000655FE">
        <w:rPr>
          <w:rFonts w:eastAsia="Tahoma" w:cstheme="minorHAnsi"/>
          <w:sz w:val="20"/>
          <w:szCs w:val="20"/>
          <w:lang w:eastAsia="en-US"/>
        </w:rPr>
        <w:t xml:space="preserve">  General government (S.13)</w:t>
      </w:r>
      <w:r w:rsidRPr="000655FE">
        <w:rPr>
          <w:rFonts w:eastAsia="Tahoma" w:cstheme="minorHAnsi"/>
          <w:sz w:val="20"/>
          <w:szCs w:val="20"/>
          <w:lang w:eastAsia="en-US"/>
        </w:rPr>
        <w:br/>
      </w:r>
      <w:sdt>
        <w:sdtPr>
          <w:rPr>
            <w:rFonts w:eastAsia="Tahoma" w:cstheme="minorHAnsi"/>
            <w:sz w:val="20"/>
            <w:szCs w:val="20"/>
            <w:lang w:eastAsia="en-US"/>
          </w:rPr>
          <w:id w:val="477659502"/>
          <w14:checkbox>
            <w14:checked w14:val="0"/>
            <w14:checkedState w14:val="2612" w14:font="MS Gothic"/>
            <w14:uncheckedState w14:val="2610" w14:font="MS Gothic"/>
          </w14:checkbox>
        </w:sdtPr>
        <w:sdtEndPr/>
        <w:sdtContent>
          <w:r w:rsidRPr="000655FE">
            <w:rPr>
              <w:rFonts w:ascii="MS Gothic" w:eastAsia="MS Gothic" w:hAnsi="MS Gothic" w:cstheme="minorHAnsi" w:hint="eastAsia"/>
              <w:sz w:val="20"/>
              <w:szCs w:val="20"/>
              <w:lang w:eastAsia="en-US"/>
            </w:rPr>
            <w:t>☐</w:t>
          </w:r>
        </w:sdtContent>
      </w:sdt>
      <w:r w:rsidRPr="000655FE">
        <w:rPr>
          <w:rFonts w:eastAsia="Tahoma" w:cstheme="minorHAnsi"/>
          <w:sz w:val="20"/>
          <w:szCs w:val="20"/>
          <w:lang w:eastAsia="en-US"/>
        </w:rPr>
        <w:t xml:space="preserve"> Central government (S.1311)</w:t>
      </w:r>
      <w:r w:rsidRPr="000655FE">
        <w:rPr>
          <w:rFonts w:eastAsia="Tahoma" w:cstheme="minorHAnsi"/>
          <w:sz w:val="20"/>
          <w:szCs w:val="20"/>
          <w:lang w:eastAsia="en-US"/>
        </w:rPr>
        <w:br/>
      </w:r>
      <w:sdt>
        <w:sdtPr>
          <w:rPr>
            <w:rFonts w:eastAsia="Tahoma" w:cstheme="minorHAnsi"/>
            <w:sz w:val="20"/>
            <w:szCs w:val="20"/>
            <w:lang w:eastAsia="en-US"/>
          </w:rPr>
          <w:id w:val="120356877"/>
          <w14:checkbox>
            <w14:checked w14:val="0"/>
            <w14:checkedState w14:val="2612" w14:font="MS Gothic"/>
            <w14:uncheckedState w14:val="2610" w14:font="MS Gothic"/>
          </w14:checkbox>
        </w:sdtPr>
        <w:sdtEndPr/>
        <w:sdtContent>
          <w:r w:rsidRPr="000655FE">
            <w:rPr>
              <w:rFonts w:ascii="MS Gothic" w:eastAsia="MS Gothic" w:hAnsi="MS Gothic" w:cstheme="minorHAnsi" w:hint="eastAsia"/>
              <w:sz w:val="20"/>
              <w:szCs w:val="20"/>
              <w:lang w:eastAsia="en-US"/>
            </w:rPr>
            <w:t>☐</w:t>
          </w:r>
        </w:sdtContent>
      </w:sdt>
      <w:r w:rsidRPr="000655FE">
        <w:rPr>
          <w:rFonts w:eastAsia="Tahoma" w:cstheme="minorHAnsi"/>
          <w:sz w:val="20"/>
          <w:szCs w:val="20"/>
          <w:lang w:eastAsia="en-US"/>
        </w:rPr>
        <w:t xml:space="preserve">  State government (S.1312)</w:t>
      </w:r>
      <w:r w:rsidRPr="000655FE">
        <w:rPr>
          <w:rFonts w:eastAsia="Tahoma" w:cstheme="minorHAnsi"/>
          <w:sz w:val="20"/>
          <w:szCs w:val="20"/>
          <w:lang w:eastAsia="en-US"/>
        </w:rPr>
        <w:br/>
      </w:r>
      <w:sdt>
        <w:sdtPr>
          <w:rPr>
            <w:rFonts w:eastAsia="Tahoma" w:cstheme="minorHAnsi"/>
            <w:sz w:val="20"/>
            <w:szCs w:val="20"/>
            <w:lang w:eastAsia="en-US"/>
          </w:rPr>
          <w:id w:val="-758136005"/>
          <w14:checkbox>
            <w14:checked w14:val="0"/>
            <w14:checkedState w14:val="2612" w14:font="MS Gothic"/>
            <w14:uncheckedState w14:val="2610" w14:font="MS Gothic"/>
          </w14:checkbox>
        </w:sdtPr>
        <w:sdtEndPr/>
        <w:sdtContent>
          <w:r w:rsidRPr="000655FE">
            <w:rPr>
              <w:rFonts w:ascii="MS Gothic" w:eastAsia="MS Gothic" w:hAnsi="MS Gothic" w:cstheme="minorHAnsi" w:hint="eastAsia"/>
              <w:sz w:val="20"/>
              <w:szCs w:val="20"/>
              <w:lang w:eastAsia="en-US"/>
            </w:rPr>
            <w:t>☐</w:t>
          </w:r>
        </w:sdtContent>
      </w:sdt>
      <w:r w:rsidRPr="000655FE">
        <w:rPr>
          <w:rFonts w:eastAsia="Tahoma" w:cstheme="minorHAnsi"/>
          <w:sz w:val="20"/>
          <w:szCs w:val="20"/>
          <w:lang w:eastAsia="en-US"/>
        </w:rPr>
        <w:t xml:space="preserve">  Local government (S.1313)</w:t>
      </w:r>
      <w:r w:rsidRPr="000655FE">
        <w:rPr>
          <w:rFonts w:eastAsia="Tahoma" w:cstheme="minorHAnsi"/>
          <w:sz w:val="20"/>
          <w:szCs w:val="20"/>
          <w:lang w:eastAsia="en-US"/>
        </w:rPr>
        <w:br/>
      </w:r>
      <w:sdt>
        <w:sdtPr>
          <w:rPr>
            <w:rFonts w:eastAsia="Tahoma" w:cstheme="minorHAnsi"/>
            <w:sz w:val="20"/>
            <w:szCs w:val="20"/>
            <w:lang w:eastAsia="en-US"/>
          </w:rPr>
          <w:id w:val="1471321266"/>
          <w14:checkbox>
            <w14:checked w14:val="0"/>
            <w14:checkedState w14:val="2612" w14:font="MS Gothic"/>
            <w14:uncheckedState w14:val="2610" w14:font="MS Gothic"/>
          </w14:checkbox>
        </w:sdtPr>
        <w:sdtEndPr/>
        <w:sdtContent>
          <w:r w:rsidRPr="000655FE">
            <w:rPr>
              <w:rFonts w:ascii="MS Gothic" w:eastAsia="MS Gothic" w:hAnsi="MS Gothic" w:cstheme="minorHAnsi" w:hint="eastAsia"/>
              <w:sz w:val="20"/>
              <w:szCs w:val="20"/>
              <w:lang w:eastAsia="en-US"/>
            </w:rPr>
            <w:t>☐</w:t>
          </w:r>
        </w:sdtContent>
      </w:sdt>
      <w:r w:rsidRPr="000655FE">
        <w:rPr>
          <w:rFonts w:eastAsia="Tahoma" w:cstheme="minorHAnsi"/>
          <w:sz w:val="20"/>
          <w:szCs w:val="20"/>
          <w:lang w:eastAsia="en-US"/>
        </w:rPr>
        <w:t xml:space="preserve">  Social security funds (S.1314) </w:t>
      </w:r>
      <w:r w:rsidRPr="000655FE">
        <w:rPr>
          <w:rFonts w:eastAsia="Tahoma" w:cstheme="minorHAnsi"/>
          <w:sz w:val="20"/>
          <w:szCs w:val="20"/>
          <w:lang w:eastAsia="en-US"/>
        </w:rPr>
        <w:br/>
      </w:r>
      <w:sdt>
        <w:sdtPr>
          <w:rPr>
            <w:rFonts w:eastAsia="Tahoma" w:cstheme="minorHAnsi"/>
            <w:sz w:val="20"/>
            <w:szCs w:val="20"/>
            <w:lang w:eastAsia="en-US"/>
          </w:rPr>
          <w:id w:val="-2075344859"/>
          <w14:checkbox>
            <w14:checked w14:val="0"/>
            <w14:checkedState w14:val="2612" w14:font="MS Gothic"/>
            <w14:uncheckedState w14:val="2610" w14:font="MS Gothic"/>
          </w14:checkbox>
        </w:sdtPr>
        <w:sdtEndPr/>
        <w:sdtContent>
          <w:r w:rsidRPr="000655FE">
            <w:rPr>
              <w:rFonts w:ascii="MS Gothic" w:eastAsia="MS Gothic" w:hAnsi="MS Gothic" w:cstheme="minorHAnsi" w:hint="eastAsia"/>
              <w:sz w:val="20"/>
              <w:szCs w:val="20"/>
              <w:lang w:eastAsia="en-US"/>
            </w:rPr>
            <w:t>☐</w:t>
          </w:r>
        </w:sdtContent>
      </w:sdt>
      <w:r w:rsidRPr="000655FE">
        <w:rPr>
          <w:rFonts w:eastAsia="Tahoma" w:cstheme="minorHAnsi"/>
          <w:sz w:val="20"/>
          <w:szCs w:val="20"/>
          <w:lang w:eastAsia="en-US"/>
        </w:rPr>
        <w:t xml:space="preserve">  Government enterprises/public corporations</w:t>
      </w:r>
    </w:p>
    <w:p w14:paraId="7B40C224" w14:textId="77777777" w:rsidR="0054112C" w:rsidRPr="000655FE" w:rsidRDefault="0054112C" w:rsidP="0054112C">
      <w:pPr>
        <w:spacing w:after="0" w:line="240" w:lineRule="auto"/>
        <w:rPr>
          <w:rFonts w:eastAsia="Tahoma" w:cstheme="minorHAnsi"/>
          <w:b/>
          <w:bCs/>
          <w:sz w:val="20"/>
          <w:szCs w:val="20"/>
          <w:lang w:eastAsia="en-US"/>
        </w:rPr>
      </w:pPr>
    </w:p>
    <w:p w14:paraId="7E64DBFB" w14:textId="77777777" w:rsidR="0054112C" w:rsidRPr="000655FE" w:rsidRDefault="0054112C" w:rsidP="00D25872">
      <w:pPr>
        <w:pStyle w:val="ListParagraph"/>
        <w:numPr>
          <w:ilvl w:val="0"/>
          <w:numId w:val="2"/>
        </w:numPr>
        <w:spacing w:after="0" w:line="240" w:lineRule="auto"/>
        <w:rPr>
          <w:rFonts w:eastAsia="Arial" w:cstheme="minorHAnsi"/>
          <w:sz w:val="20"/>
          <w:szCs w:val="20"/>
          <w:lang w:eastAsia="en-US"/>
        </w:rPr>
      </w:pPr>
      <w:r w:rsidRPr="000655FE">
        <w:rPr>
          <w:rFonts w:eastAsia="Arial" w:cstheme="minorHAnsi"/>
          <w:b/>
          <w:bCs/>
          <w:sz w:val="20"/>
          <w:szCs w:val="20"/>
          <w:lang w:eastAsia="en-US"/>
        </w:rPr>
        <w:t xml:space="preserve">Do you need </w:t>
      </w:r>
      <w:proofErr w:type="gramStart"/>
      <w:r w:rsidRPr="000655FE">
        <w:rPr>
          <w:rFonts w:eastAsia="Arial" w:cstheme="minorHAnsi"/>
          <w:b/>
          <w:bCs/>
          <w:sz w:val="20"/>
          <w:szCs w:val="20"/>
          <w:lang w:eastAsia="en-US"/>
        </w:rPr>
        <w:t>COFOG</w:t>
      </w:r>
      <w:proofErr w:type="gramEnd"/>
      <w:r w:rsidRPr="000655FE">
        <w:rPr>
          <w:rFonts w:eastAsia="Arial" w:cstheme="minorHAnsi"/>
          <w:b/>
          <w:bCs/>
          <w:sz w:val="20"/>
          <w:szCs w:val="20"/>
          <w:lang w:eastAsia="en-US"/>
        </w:rPr>
        <w:t xml:space="preserve"> time series for your analysis?</w:t>
      </w:r>
    </w:p>
    <w:p w14:paraId="7E582497" w14:textId="42156EC5" w:rsidR="0054112C" w:rsidRPr="000655FE" w:rsidRDefault="0054112C" w:rsidP="000655FE">
      <w:pPr>
        <w:spacing w:after="0" w:line="240" w:lineRule="auto"/>
        <w:ind w:firstLine="360"/>
        <w:rPr>
          <w:rFonts w:eastAsia="Arial" w:cstheme="minorHAnsi"/>
          <w:sz w:val="20"/>
          <w:szCs w:val="20"/>
          <w:lang w:eastAsia="en-US"/>
        </w:rPr>
      </w:pPr>
      <w:r w:rsidRPr="000655FE">
        <w:rPr>
          <w:rFonts w:eastAsia="Tahoma" w:cstheme="minorHAnsi"/>
          <w:sz w:val="20"/>
          <w:szCs w:val="20"/>
          <w:lang w:eastAsia="en-US"/>
        </w:rPr>
        <w:t xml:space="preserve">☐ </w:t>
      </w:r>
      <w:r w:rsidRPr="000655FE">
        <w:rPr>
          <w:rFonts w:eastAsia="Arial" w:cstheme="minorHAnsi"/>
          <w:sz w:val="20"/>
          <w:szCs w:val="20"/>
          <w:lang w:eastAsia="en-US"/>
        </w:rPr>
        <w:t>Yes.  If yes, please note the length of the time series you use: __________________________</w:t>
      </w:r>
    </w:p>
    <w:p w14:paraId="1680B12A" w14:textId="5E080F7A" w:rsidR="0054112C" w:rsidRPr="000655FE" w:rsidRDefault="0054112C" w:rsidP="000655FE">
      <w:pPr>
        <w:spacing w:after="0" w:line="240" w:lineRule="auto"/>
        <w:ind w:firstLine="360"/>
        <w:rPr>
          <w:rFonts w:eastAsia="Arial" w:cstheme="minorHAnsi"/>
          <w:sz w:val="20"/>
          <w:szCs w:val="20"/>
          <w:lang w:eastAsia="en-US"/>
        </w:rPr>
      </w:pPr>
      <w:r w:rsidRPr="000655FE">
        <w:rPr>
          <w:rFonts w:eastAsia="Tahoma" w:cstheme="minorHAnsi"/>
          <w:sz w:val="20"/>
          <w:szCs w:val="20"/>
          <w:lang w:eastAsia="en-US"/>
        </w:rPr>
        <w:t xml:space="preserve">☐ </w:t>
      </w:r>
      <w:r w:rsidRPr="000655FE">
        <w:rPr>
          <w:rFonts w:eastAsia="Arial" w:cstheme="minorHAnsi"/>
          <w:sz w:val="20"/>
          <w:szCs w:val="20"/>
          <w:lang w:eastAsia="en-US"/>
        </w:rPr>
        <w:t>No</w:t>
      </w:r>
    </w:p>
    <w:p w14:paraId="621958EB" w14:textId="77777777" w:rsidR="0054112C" w:rsidRPr="000655FE" w:rsidRDefault="0054112C" w:rsidP="0054112C">
      <w:pPr>
        <w:spacing w:after="0" w:line="240" w:lineRule="auto"/>
        <w:rPr>
          <w:rFonts w:eastAsia="Tahoma" w:cstheme="minorHAnsi"/>
          <w:b/>
          <w:bCs/>
          <w:sz w:val="20"/>
          <w:szCs w:val="20"/>
          <w:lang w:eastAsia="en-US"/>
        </w:rPr>
      </w:pPr>
    </w:p>
    <w:p w14:paraId="01752636" w14:textId="77777777" w:rsidR="0054112C" w:rsidRPr="000655FE" w:rsidRDefault="0054112C" w:rsidP="0054112C">
      <w:pPr>
        <w:spacing w:after="0" w:line="240" w:lineRule="auto"/>
        <w:rPr>
          <w:rFonts w:eastAsia="Tahoma" w:cstheme="minorHAnsi"/>
          <w:b/>
          <w:bCs/>
          <w:sz w:val="20"/>
          <w:szCs w:val="20"/>
          <w:lang w:eastAsia="en-US"/>
        </w:rPr>
      </w:pPr>
    </w:p>
    <w:p w14:paraId="06479C3E" w14:textId="77777777" w:rsidR="0054112C" w:rsidRPr="000655FE" w:rsidRDefault="0054112C" w:rsidP="0054112C">
      <w:pPr>
        <w:rPr>
          <w:rFonts w:eastAsia="Tahoma" w:cstheme="minorHAnsi"/>
          <w:b/>
          <w:bCs/>
          <w:sz w:val="20"/>
          <w:szCs w:val="20"/>
          <w:u w:val="single"/>
          <w:lang w:eastAsia="en-US"/>
        </w:rPr>
      </w:pPr>
      <w:r w:rsidRPr="000655FE">
        <w:rPr>
          <w:rFonts w:eastAsia="Tahoma" w:cstheme="minorHAnsi"/>
          <w:b/>
          <w:bCs/>
          <w:sz w:val="20"/>
          <w:szCs w:val="20"/>
          <w:u w:val="single"/>
          <w:lang w:eastAsia="en-US"/>
        </w:rPr>
        <w:t>Remaining questions for all respondents</w:t>
      </w:r>
    </w:p>
    <w:p w14:paraId="0441B9F7" w14:textId="77777777" w:rsidR="0054112C" w:rsidRPr="000655FE" w:rsidRDefault="0054112C" w:rsidP="00D25872">
      <w:pPr>
        <w:pStyle w:val="ListParagraph"/>
        <w:numPr>
          <w:ilvl w:val="0"/>
          <w:numId w:val="2"/>
        </w:numPr>
        <w:spacing w:after="0" w:line="240" w:lineRule="auto"/>
        <w:rPr>
          <w:rFonts w:eastAsia="Arial" w:cstheme="minorHAnsi"/>
          <w:b/>
          <w:bCs/>
          <w:sz w:val="20"/>
          <w:szCs w:val="20"/>
          <w:lang w:eastAsia="en-US"/>
        </w:rPr>
      </w:pPr>
      <w:r w:rsidRPr="000655FE">
        <w:rPr>
          <w:rFonts w:eastAsia="Arial" w:cstheme="minorHAnsi"/>
          <w:b/>
          <w:bCs/>
          <w:sz w:val="20"/>
          <w:szCs w:val="20"/>
          <w:lang w:eastAsia="en-US"/>
        </w:rPr>
        <w:t xml:space="preserve">Which types of expenditure are classified according to COFOG in your institution?  </w:t>
      </w:r>
      <w:r w:rsidRPr="000655FE">
        <w:rPr>
          <w:rFonts w:eastAsia="Arial" w:cstheme="minorHAnsi"/>
          <w:b/>
          <w:bCs/>
          <w:sz w:val="20"/>
          <w:szCs w:val="20"/>
          <w:lang w:eastAsia="en-US"/>
        </w:rPr>
        <w:br/>
        <w:t>Please mark all that are applicable:</w:t>
      </w:r>
    </w:p>
    <w:p w14:paraId="6887E39F" w14:textId="6FBA2590" w:rsidR="0054112C" w:rsidRPr="000655FE" w:rsidRDefault="000655FE" w:rsidP="00B953A6">
      <w:pPr>
        <w:spacing w:after="0" w:line="240" w:lineRule="auto"/>
        <w:ind w:left="360"/>
        <w:rPr>
          <w:rFonts w:eastAsia="Tahoma" w:cstheme="minorHAnsi"/>
          <w:sz w:val="20"/>
          <w:szCs w:val="20"/>
          <w:lang w:eastAsia="en-US"/>
        </w:rPr>
      </w:pPr>
      <w:r>
        <w:rPr>
          <w:rFonts w:eastAsia="Tahoma" w:cstheme="minorHAnsi"/>
          <w:sz w:val="20"/>
          <w:szCs w:val="20"/>
          <w:lang w:eastAsia="en-US"/>
        </w:rPr>
        <w:t xml:space="preserve">  </w:t>
      </w:r>
      <w:sdt>
        <w:sdtPr>
          <w:rPr>
            <w:rFonts w:eastAsia="Tahoma" w:cstheme="minorHAnsi"/>
            <w:sz w:val="20"/>
            <w:szCs w:val="20"/>
            <w:lang w:eastAsia="en-US"/>
          </w:rPr>
          <w:id w:val="60099346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lang w:eastAsia="en-US"/>
            </w:rPr>
            <w:t>☐</w:t>
          </w:r>
        </w:sdtContent>
      </w:sdt>
      <w:r w:rsidR="00806AD8" w:rsidRPr="000655FE">
        <w:rPr>
          <w:rFonts w:eastAsia="Tahoma" w:cstheme="minorHAnsi"/>
          <w:sz w:val="20"/>
          <w:szCs w:val="20"/>
          <w:lang w:eastAsia="en-US"/>
        </w:rPr>
        <w:t xml:space="preserve"> </w:t>
      </w:r>
      <w:r w:rsidR="0054112C" w:rsidRPr="000655FE">
        <w:rPr>
          <w:rFonts w:eastAsia="Tahoma" w:cstheme="minorHAnsi"/>
          <w:sz w:val="20"/>
          <w:szCs w:val="20"/>
          <w:lang w:eastAsia="en-US"/>
        </w:rPr>
        <w:t>Total outlays according to GFSM</w:t>
      </w:r>
    </w:p>
    <w:p w14:paraId="40342FBE" w14:textId="77777777" w:rsidR="0054112C" w:rsidRPr="000655FE" w:rsidRDefault="0054112C" w:rsidP="0054112C">
      <w:pPr>
        <w:spacing w:after="0" w:line="240" w:lineRule="auto"/>
        <w:ind w:firstLine="360"/>
        <w:rPr>
          <w:rFonts w:eastAsia="Tahoma" w:cstheme="minorHAnsi"/>
          <w:sz w:val="20"/>
          <w:szCs w:val="20"/>
          <w:lang w:eastAsia="en-US"/>
        </w:rPr>
      </w:pPr>
      <w:r w:rsidRPr="000655FE">
        <w:rPr>
          <w:rFonts w:eastAsia="Tahoma" w:cstheme="minorHAnsi"/>
          <w:sz w:val="20"/>
          <w:szCs w:val="20"/>
          <w:lang w:eastAsia="en-US"/>
        </w:rPr>
        <w:t xml:space="preserve">  </w:t>
      </w:r>
      <w:sdt>
        <w:sdtPr>
          <w:rPr>
            <w:rFonts w:eastAsia="Tahoma" w:cstheme="minorHAnsi"/>
            <w:sz w:val="20"/>
            <w:szCs w:val="20"/>
            <w:lang w:eastAsia="en-US"/>
          </w:rPr>
          <w:id w:val="1568147908"/>
          <w14:checkbox>
            <w14:checked w14:val="0"/>
            <w14:checkedState w14:val="2612" w14:font="MS Gothic"/>
            <w14:uncheckedState w14:val="2610" w14:font="MS Gothic"/>
          </w14:checkbox>
        </w:sdtPr>
        <w:sdtEndPr/>
        <w:sdtContent>
          <w:r w:rsidRPr="000655FE">
            <w:rPr>
              <w:rFonts w:ascii="MS Gothic" w:eastAsia="MS Gothic" w:hAnsi="MS Gothic" w:cstheme="minorHAnsi" w:hint="eastAsia"/>
              <w:sz w:val="20"/>
              <w:szCs w:val="20"/>
              <w:lang w:eastAsia="en-US"/>
            </w:rPr>
            <w:t>☐</w:t>
          </w:r>
        </w:sdtContent>
      </w:sdt>
      <w:r w:rsidRPr="000655FE">
        <w:rPr>
          <w:rFonts w:eastAsia="Tahoma" w:cstheme="minorHAnsi"/>
          <w:sz w:val="20"/>
          <w:szCs w:val="20"/>
          <w:lang w:eastAsia="en-US"/>
        </w:rPr>
        <w:tab/>
        <w:t>Total expenditure according to ESA 2010</w:t>
      </w:r>
    </w:p>
    <w:p w14:paraId="2D186065" w14:textId="77777777" w:rsidR="0054112C" w:rsidRPr="000655FE" w:rsidRDefault="00710D62" w:rsidP="0054112C">
      <w:pPr>
        <w:spacing w:after="0" w:line="240" w:lineRule="auto"/>
        <w:ind w:left="446"/>
        <w:rPr>
          <w:rFonts w:eastAsia="Tahoma" w:cstheme="minorHAnsi"/>
          <w:sz w:val="20"/>
          <w:szCs w:val="20"/>
          <w:lang w:eastAsia="en-US"/>
        </w:rPr>
      </w:pPr>
      <w:sdt>
        <w:sdtPr>
          <w:rPr>
            <w:rFonts w:eastAsia="Tahoma" w:cstheme="minorHAnsi"/>
            <w:sz w:val="20"/>
            <w:szCs w:val="20"/>
            <w:lang w:eastAsia="en-US"/>
          </w:rPr>
          <w:id w:val="1956440233"/>
          <w14:checkbox>
            <w14:checked w14:val="0"/>
            <w14:checkedState w14:val="2612" w14:font="MS Gothic"/>
            <w14:uncheckedState w14:val="2610" w14:font="MS Gothic"/>
          </w14:checkbox>
        </w:sdtPr>
        <w:sdtEndPr/>
        <w:sdtContent>
          <w:r w:rsidR="0054112C" w:rsidRPr="000655FE">
            <w:rPr>
              <w:rFonts w:ascii="MS Gothic" w:eastAsia="MS Gothic" w:hAnsi="MS Gothic" w:cstheme="minorHAnsi" w:hint="eastAsia"/>
              <w:sz w:val="20"/>
              <w:szCs w:val="20"/>
              <w:lang w:eastAsia="en-US"/>
            </w:rPr>
            <w:t>☐</w:t>
          </w:r>
        </w:sdtContent>
      </w:sdt>
      <w:r w:rsidR="0054112C" w:rsidRPr="000655FE">
        <w:rPr>
          <w:rFonts w:eastAsia="Tahoma" w:cstheme="minorHAnsi"/>
          <w:sz w:val="20"/>
          <w:szCs w:val="20"/>
          <w:lang w:eastAsia="en-US"/>
        </w:rPr>
        <w:tab/>
        <w:t>Final consumption expenditure (e.g. compensation of employees, intermediate consumption, consumption of fixed capital, market output, output for own final use, taxes on production paid/subsidies on production received)</w:t>
      </w:r>
    </w:p>
    <w:p w14:paraId="1B36CA66" w14:textId="77777777" w:rsidR="0054112C" w:rsidRPr="000655FE" w:rsidRDefault="00710D62" w:rsidP="0054112C">
      <w:pPr>
        <w:spacing w:after="0" w:line="240" w:lineRule="auto"/>
        <w:ind w:left="446"/>
        <w:rPr>
          <w:rFonts w:eastAsia="Tahoma" w:cstheme="minorHAnsi"/>
          <w:sz w:val="20"/>
          <w:szCs w:val="20"/>
          <w:lang w:eastAsia="en-US"/>
        </w:rPr>
      </w:pPr>
      <w:sdt>
        <w:sdtPr>
          <w:rPr>
            <w:rFonts w:eastAsia="Tahoma" w:cstheme="minorHAnsi"/>
            <w:sz w:val="20"/>
            <w:szCs w:val="20"/>
            <w:lang w:eastAsia="en-US"/>
          </w:rPr>
          <w:id w:val="1342590589"/>
          <w14:checkbox>
            <w14:checked w14:val="0"/>
            <w14:checkedState w14:val="2612" w14:font="MS Gothic"/>
            <w14:uncheckedState w14:val="2610" w14:font="MS Gothic"/>
          </w14:checkbox>
        </w:sdtPr>
        <w:sdtEndPr/>
        <w:sdtContent>
          <w:r w:rsidR="0054112C" w:rsidRPr="000655FE">
            <w:rPr>
              <w:rFonts w:ascii="MS Gothic" w:eastAsia="MS Gothic" w:hAnsi="MS Gothic" w:cstheme="minorHAnsi" w:hint="eastAsia"/>
              <w:sz w:val="20"/>
              <w:szCs w:val="20"/>
              <w:lang w:eastAsia="en-US"/>
            </w:rPr>
            <w:t>☐</w:t>
          </w:r>
        </w:sdtContent>
      </w:sdt>
      <w:r w:rsidR="0054112C" w:rsidRPr="000655FE">
        <w:rPr>
          <w:rFonts w:eastAsia="Tahoma" w:cstheme="minorHAnsi"/>
          <w:sz w:val="20"/>
          <w:szCs w:val="20"/>
          <w:lang w:eastAsia="en-US"/>
        </w:rPr>
        <w:tab/>
        <w:t>Other types of current expenditure (e.g. current grants and subsidies)</w:t>
      </w:r>
    </w:p>
    <w:p w14:paraId="1FFF7E61" w14:textId="77777777" w:rsidR="0054112C" w:rsidRPr="000655FE" w:rsidRDefault="00710D62" w:rsidP="0054112C">
      <w:pPr>
        <w:spacing w:after="0" w:line="240" w:lineRule="auto"/>
        <w:ind w:left="446"/>
        <w:rPr>
          <w:rFonts w:eastAsia="Tahoma" w:cstheme="minorHAnsi"/>
          <w:sz w:val="20"/>
          <w:szCs w:val="20"/>
          <w:lang w:eastAsia="en-US"/>
        </w:rPr>
      </w:pPr>
      <w:sdt>
        <w:sdtPr>
          <w:rPr>
            <w:rFonts w:eastAsia="Tahoma" w:cstheme="minorHAnsi"/>
            <w:sz w:val="20"/>
            <w:szCs w:val="20"/>
            <w:lang w:eastAsia="en-US"/>
          </w:rPr>
          <w:id w:val="1401936227"/>
          <w14:checkbox>
            <w14:checked w14:val="0"/>
            <w14:checkedState w14:val="2612" w14:font="MS Gothic"/>
            <w14:uncheckedState w14:val="2610" w14:font="MS Gothic"/>
          </w14:checkbox>
        </w:sdtPr>
        <w:sdtEndPr/>
        <w:sdtContent>
          <w:r w:rsidR="0054112C" w:rsidRPr="000655FE">
            <w:rPr>
              <w:rFonts w:ascii="MS Gothic" w:eastAsia="MS Gothic" w:hAnsi="MS Gothic" w:cstheme="minorHAnsi" w:hint="eastAsia"/>
              <w:sz w:val="20"/>
              <w:szCs w:val="20"/>
              <w:lang w:eastAsia="en-US"/>
            </w:rPr>
            <w:t>☐</w:t>
          </w:r>
        </w:sdtContent>
      </w:sdt>
      <w:r w:rsidR="0054112C" w:rsidRPr="000655FE">
        <w:rPr>
          <w:rFonts w:eastAsia="Tahoma" w:cstheme="minorHAnsi"/>
          <w:sz w:val="20"/>
          <w:szCs w:val="20"/>
          <w:lang w:eastAsia="en-US"/>
        </w:rPr>
        <w:tab/>
        <w:t>Capital expenditure (e.g. capital grants and capital formation)</w:t>
      </w:r>
    </w:p>
    <w:p w14:paraId="27A0021E" w14:textId="77777777" w:rsidR="0054112C" w:rsidRPr="000655FE" w:rsidRDefault="00710D62" w:rsidP="0054112C">
      <w:pPr>
        <w:spacing w:after="0" w:line="240" w:lineRule="auto"/>
        <w:ind w:left="446"/>
        <w:rPr>
          <w:rFonts w:eastAsia="Tahoma" w:cstheme="minorHAnsi"/>
          <w:sz w:val="20"/>
          <w:szCs w:val="20"/>
          <w:lang w:eastAsia="en-US"/>
        </w:rPr>
      </w:pPr>
      <w:sdt>
        <w:sdtPr>
          <w:rPr>
            <w:rFonts w:eastAsia="Tahoma" w:cstheme="minorHAnsi"/>
            <w:sz w:val="20"/>
            <w:szCs w:val="20"/>
            <w:lang w:eastAsia="en-US"/>
          </w:rPr>
          <w:id w:val="1742986003"/>
          <w14:checkbox>
            <w14:checked w14:val="0"/>
            <w14:checkedState w14:val="2612" w14:font="MS Gothic"/>
            <w14:uncheckedState w14:val="2610" w14:font="MS Gothic"/>
          </w14:checkbox>
        </w:sdtPr>
        <w:sdtEndPr/>
        <w:sdtContent>
          <w:r w:rsidR="0054112C" w:rsidRPr="000655FE">
            <w:rPr>
              <w:rFonts w:ascii="MS Gothic" w:eastAsia="MS Gothic" w:hAnsi="MS Gothic" w:cstheme="minorHAnsi" w:hint="eastAsia"/>
              <w:sz w:val="20"/>
              <w:szCs w:val="20"/>
              <w:lang w:eastAsia="en-US"/>
            </w:rPr>
            <w:t>☐</w:t>
          </w:r>
        </w:sdtContent>
      </w:sdt>
      <w:r w:rsidR="0054112C" w:rsidRPr="000655FE">
        <w:rPr>
          <w:rFonts w:eastAsia="Tahoma" w:cstheme="minorHAnsi"/>
          <w:sz w:val="20"/>
          <w:szCs w:val="20"/>
          <w:lang w:eastAsia="en-US"/>
        </w:rPr>
        <w:tab/>
        <w:t>Transactions in financial assets and liabilities</w:t>
      </w:r>
    </w:p>
    <w:p w14:paraId="3BCD7A6F" w14:textId="53465232" w:rsidR="0054112C" w:rsidRPr="000655FE" w:rsidRDefault="00710D62" w:rsidP="00806AD8">
      <w:pPr>
        <w:spacing w:after="0" w:line="240" w:lineRule="auto"/>
        <w:ind w:left="446"/>
        <w:rPr>
          <w:rFonts w:eastAsia="Tahoma" w:cstheme="minorHAnsi"/>
          <w:sz w:val="20"/>
          <w:szCs w:val="20"/>
          <w:lang w:eastAsia="en-US"/>
        </w:rPr>
      </w:pPr>
      <w:sdt>
        <w:sdtPr>
          <w:rPr>
            <w:rFonts w:eastAsia="Tahoma" w:cstheme="minorHAnsi"/>
            <w:sz w:val="20"/>
            <w:szCs w:val="20"/>
            <w:lang w:eastAsia="en-US"/>
          </w:rPr>
          <w:id w:val="1125129804"/>
          <w14:checkbox>
            <w14:checked w14:val="0"/>
            <w14:checkedState w14:val="2612" w14:font="MS Gothic"/>
            <w14:uncheckedState w14:val="2610" w14:font="MS Gothic"/>
          </w14:checkbox>
        </w:sdtPr>
        <w:sdtEndPr/>
        <w:sdtContent>
          <w:r w:rsidR="0054112C" w:rsidRPr="000655FE">
            <w:rPr>
              <w:rFonts w:ascii="MS Gothic" w:eastAsia="MS Gothic" w:hAnsi="MS Gothic" w:cstheme="minorHAnsi" w:hint="eastAsia"/>
              <w:sz w:val="20"/>
              <w:szCs w:val="20"/>
              <w:lang w:eastAsia="en-US"/>
            </w:rPr>
            <w:t>☐</w:t>
          </w:r>
        </w:sdtContent>
      </w:sdt>
      <w:r w:rsidR="0054112C" w:rsidRPr="000655FE">
        <w:rPr>
          <w:rFonts w:eastAsia="Tahoma" w:cstheme="minorHAnsi"/>
          <w:sz w:val="20"/>
          <w:szCs w:val="20"/>
          <w:lang w:eastAsia="en-US"/>
        </w:rPr>
        <w:tab/>
        <w:t>Others (Please specify): ____________________________________________________</w:t>
      </w:r>
    </w:p>
    <w:p w14:paraId="54DEBF8D" w14:textId="77777777" w:rsidR="0054112C" w:rsidRPr="000655FE" w:rsidRDefault="0054112C" w:rsidP="00D25872">
      <w:pPr>
        <w:pStyle w:val="ListParagraph"/>
        <w:numPr>
          <w:ilvl w:val="0"/>
          <w:numId w:val="2"/>
        </w:numPr>
        <w:spacing w:after="0" w:line="240" w:lineRule="auto"/>
        <w:rPr>
          <w:rFonts w:eastAsia="Arial" w:cstheme="minorHAnsi"/>
          <w:sz w:val="20"/>
          <w:szCs w:val="20"/>
          <w:lang w:eastAsia="en-US"/>
        </w:rPr>
      </w:pPr>
      <w:r w:rsidRPr="000655FE">
        <w:rPr>
          <w:rFonts w:eastAsia="Arial" w:cstheme="minorHAnsi"/>
          <w:b/>
          <w:bCs/>
          <w:sz w:val="20"/>
          <w:szCs w:val="20"/>
          <w:lang w:eastAsia="en-US"/>
        </w:rPr>
        <w:t xml:space="preserve">Does your institution use COFOG in national accounts to identify individual and collective consumption expenditure for goods and services provided by </w:t>
      </w:r>
      <w:proofErr w:type="gramStart"/>
      <w:r w:rsidRPr="000655FE">
        <w:rPr>
          <w:rFonts w:eastAsia="Arial" w:cstheme="minorHAnsi"/>
          <w:b/>
          <w:bCs/>
          <w:sz w:val="20"/>
          <w:szCs w:val="20"/>
          <w:lang w:eastAsia="en-US"/>
        </w:rPr>
        <w:t>government</w:t>
      </w:r>
      <w:proofErr w:type="gramEnd"/>
      <w:r w:rsidRPr="000655FE">
        <w:rPr>
          <w:rFonts w:eastAsia="Arial" w:cstheme="minorHAnsi"/>
          <w:b/>
          <w:bCs/>
          <w:sz w:val="20"/>
          <w:szCs w:val="20"/>
          <w:lang w:eastAsia="en-US"/>
        </w:rPr>
        <w:t>?</w:t>
      </w:r>
    </w:p>
    <w:p w14:paraId="00676C27" w14:textId="77777777" w:rsidR="0054112C" w:rsidRPr="000655FE" w:rsidRDefault="00710D62" w:rsidP="0054112C">
      <w:pPr>
        <w:pStyle w:val="ListParagraph"/>
        <w:spacing w:after="0" w:line="240" w:lineRule="auto"/>
        <w:ind w:left="446"/>
        <w:rPr>
          <w:rFonts w:eastAsia="Arial" w:cstheme="minorHAnsi"/>
          <w:sz w:val="20"/>
          <w:szCs w:val="20"/>
          <w:lang w:eastAsia="en-US"/>
        </w:rPr>
      </w:pPr>
      <w:sdt>
        <w:sdtPr>
          <w:rPr>
            <w:rFonts w:ascii="MS Gothic" w:eastAsia="MS Gothic" w:hAnsi="MS Gothic" w:cstheme="minorHAnsi"/>
            <w:sz w:val="20"/>
            <w:szCs w:val="20"/>
            <w:lang w:eastAsia="en-US"/>
          </w:rPr>
          <w:id w:val="1106852924"/>
          <w14:checkbox>
            <w14:checked w14:val="0"/>
            <w14:checkedState w14:val="2612" w14:font="MS Gothic"/>
            <w14:uncheckedState w14:val="2610" w14:font="MS Gothic"/>
          </w14:checkbox>
        </w:sdtPr>
        <w:sdtEndPr/>
        <w:sdtContent>
          <w:r w:rsidR="0054112C" w:rsidRPr="000655FE">
            <w:rPr>
              <w:rFonts w:ascii="MS Gothic" w:eastAsia="MS Gothic" w:hAnsi="MS Gothic" w:cstheme="minorHAnsi" w:hint="eastAsia"/>
              <w:sz w:val="20"/>
              <w:szCs w:val="20"/>
              <w:lang w:eastAsia="en-US"/>
            </w:rPr>
            <w:t>☐</w:t>
          </w:r>
        </w:sdtContent>
      </w:sdt>
      <w:r w:rsidR="0054112C" w:rsidRPr="000655FE">
        <w:rPr>
          <w:rFonts w:eastAsia="Tahoma" w:cstheme="minorHAnsi"/>
          <w:sz w:val="20"/>
          <w:szCs w:val="20"/>
          <w:lang w:eastAsia="en-US"/>
        </w:rPr>
        <w:t xml:space="preserve"> </w:t>
      </w:r>
      <w:r w:rsidR="0054112C" w:rsidRPr="000655FE">
        <w:rPr>
          <w:rFonts w:eastAsia="Arial" w:cstheme="minorHAnsi"/>
          <w:sz w:val="20"/>
          <w:szCs w:val="20"/>
          <w:lang w:eastAsia="en-US"/>
        </w:rPr>
        <w:t>Yes</w:t>
      </w:r>
      <w:r w:rsidR="0054112C" w:rsidRPr="000655FE">
        <w:rPr>
          <w:rFonts w:eastAsia="Arial" w:cstheme="minorHAnsi"/>
          <w:sz w:val="20"/>
          <w:szCs w:val="20"/>
          <w:lang w:eastAsia="en-US"/>
        </w:rPr>
        <w:tab/>
      </w:r>
    </w:p>
    <w:p w14:paraId="1AACC52C" w14:textId="77777777" w:rsidR="0054112C" w:rsidRPr="000655FE" w:rsidRDefault="00710D62" w:rsidP="0054112C">
      <w:pPr>
        <w:spacing w:after="0" w:line="240" w:lineRule="auto"/>
        <w:ind w:firstLine="446"/>
        <w:rPr>
          <w:rFonts w:eastAsia="Arial" w:cstheme="minorHAnsi"/>
          <w:sz w:val="20"/>
          <w:szCs w:val="20"/>
          <w:lang w:eastAsia="en-US"/>
        </w:rPr>
      </w:pPr>
      <w:sdt>
        <w:sdtPr>
          <w:rPr>
            <w:rFonts w:eastAsia="Tahoma" w:cstheme="minorHAnsi"/>
            <w:sz w:val="20"/>
            <w:szCs w:val="20"/>
            <w:lang w:eastAsia="en-US"/>
          </w:rPr>
          <w:id w:val="287089222"/>
          <w14:checkbox>
            <w14:checked w14:val="0"/>
            <w14:checkedState w14:val="2612" w14:font="MS Gothic"/>
            <w14:uncheckedState w14:val="2610" w14:font="MS Gothic"/>
          </w14:checkbox>
        </w:sdtPr>
        <w:sdtEndPr/>
        <w:sdtContent>
          <w:r w:rsidR="0054112C" w:rsidRPr="000655FE">
            <w:rPr>
              <w:rFonts w:ascii="MS Gothic" w:eastAsia="MS Gothic" w:hAnsi="MS Gothic" w:cstheme="minorHAnsi" w:hint="eastAsia"/>
              <w:sz w:val="20"/>
              <w:szCs w:val="20"/>
              <w:lang w:eastAsia="en-US"/>
            </w:rPr>
            <w:t>☐</w:t>
          </w:r>
        </w:sdtContent>
      </w:sdt>
      <w:r w:rsidR="0054112C" w:rsidRPr="000655FE">
        <w:rPr>
          <w:rFonts w:eastAsia="Tahoma" w:cstheme="minorHAnsi"/>
          <w:sz w:val="20"/>
          <w:szCs w:val="20"/>
          <w:lang w:eastAsia="en-US"/>
        </w:rPr>
        <w:t xml:space="preserve"> </w:t>
      </w:r>
      <w:r w:rsidR="0054112C" w:rsidRPr="000655FE">
        <w:rPr>
          <w:rFonts w:eastAsia="Arial" w:cstheme="minorHAnsi"/>
          <w:sz w:val="20"/>
          <w:szCs w:val="20"/>
          <w:lang w:eastAsia="en-US"/>
        </w:rPr>
        <w:t>No</w:t>
      </w:r>
    </w:p>
    <w:p w14:paraId="7114FAE1" w14:textId="77777777" w:rsidR="0054112C" w:rsidRPr="000655FE" w:rsidRDefault="00710D62" w:rsidP="0054112C">
      <w:pPr>
        <w:spacing w:after="0" w:line="240" w:lineRule="auto"/>
        <w:ind w:firstLine="446"/>
        <w:rPr>
          <w:rFonts w:eastAsia="Arial" w:cstheme="minorHAnsi"/>
          <w:sz w:val="20"/>
          <w:szCs w:val="20"/>
          <w:lang w:eastAsia="en-US"/>
        </w:rPr>
      </w:pPr>
      <w:sdt>
        <w:sdtPr>
          <w:rPr>
            <w:rFonts w:eastAsia="Tahoma" w:cstheme="minorHAnsi"/>
            <w:sz w:val="20"/>
            <w:szCs w:val="20"/>
            <w:lang w:eastAsia="en-US"/>
          </w:rPr>
          <w:id w:val="-199551862"/>
          <w14:checkbox>
            <w14:checked w14:val="0"/>
            <w14:checkedState w14:val="2612" w14:font="MS Gothic"/>
            <w14:uncheckedState w14:val="2610" w14:font="MS Gothic"/>
          </w14:checkbox>
        </w:sdtPr>
        <w:sdtEndPr/>
        <w:sdtContent>
          <w:r w:rsidR="0054112C" w:rsidRPr="000655FE">
            <w:rPr>
              <w:rFonts w:ascii="MS Gothic" w:eastAsia="MS Gothic" w:hAnsi="MS Gothic" w:cstheme="minorHAnsi" w:hint="eastAsia"/>
              <w:sz w:val="20"/>
              <w:szCs w:val="20"/>
              <w:lang w:eastAsia="en-US"/>
            </w:rPr>
            <w:t>☐</w:t>
          </w:r>
        </w:sdtContent>
      </w:sdt>
      <w:r w:rsidR="0054112C" w:rsidRPr="000655FE">
        <w:rPr>
          <w:rFonts w:eastAsia="Tahoma" w:cstheme="minorHAnsi"/>
          <w:sz w:val="20"/>
          <w:szCs w:val="20"/>
          <w:lang w:eastAsia="en-US"/>
        </w:rPr>
        <w:t xml:space="preserve"> </w:t>
      </w:r>
      <w:r w:rsidR="0054112C" w:rsidRPr="000655FE">
        <w:rPr>
          <w:rFonts w:eastAsia="Arial" w:cstheme="minorHAnsi"/>
          <w:sz w:val="20"/>
          <w:szCs w:val="20"/>
          <w:lang w:eastAsia="en-US"/>
        </w:rPr>
        <w:t>Not sure/not applicable</w:t>
      </w:r>
    </w:p>
    <w:p w14:paraId="4CE98666" w14:textId="77777777" w:rsidR="0054112C" w:rsidRPr="000655FE" w:rsidRDefault="0054112C" w:rsidP="0054112C">
      <w:pPr>
        <w:spacing w:after="0" w:line="240" w:lineRule="auto"/>
        <w:rPr>
          <w:rFonts w:eastAsia="Arial" w:cstheme="minorHAnsi"/>
          <w:sz w:val="20"/>
          <w:szCs w:val="20"/>
          <w:lang w:eastAsia="en-US"/>
        </w:rPr>
      </w:pPr>
    </w:p>
    <w:p w14:paraId="35D5E26E" w14:textId="77777777" w:rsidR="0054112C" w:rsidRPr="000655FE" w:rsidRDefault="0054112C" w:rsidP="00D25872">
      <w:pPr>
        <w:pStyle w:val="ListParagraph"/>
        <w:numPr>
          <w:ilvl w:val="0"/>
          <w:numId w:val="2"/>
        </w:numPr>
        <w:spacing w:after="0" w:line="240" w:lineRule="auto"/>
        <w:ind w:left="446"/>
        <w:rPr>
          <w:rFonts w:eastAsia="Arial" w:cstheme="minorHAnsi"/>
          <w:b/>
          <w:bCs/>
          <w:sz w:val="20"/>
          <w:szCs w:val="20"/>
          <w:lang w:eastAsia="en-US"/>
        </w:rPr>
      </w:pPr>
      <w:r w:rsidRPr="000655FE">
        <w:rPr>
          <w:rFonts w:eastAsia="Arial" w:cstheme="minorHAnsi"/>
          <w:b/>
          <w:bCs/>
          <w:sz w:val="20"/>
          <w:szCs w:val="20"/>
          <w:lang w:eastAsia="en-US"/>
        </w:rPr>
        <w:t xml:space="preserve">If yes to Question 21, how does your institution use COFOG to identify </w:t>
      </w:r>
      <w:r w:rsidRPr="000655FE">
        <w:rPr>
          <w:rFonts w:eastAsia="Times New Roman"/>
          <w:b/>
          <w:bCs/>
          <w:sz w:val="20"/>
          <w:szCs w:val="20"/>
        </w:rPr>
        <w:t xml:space="preserve">individual and collective consumption expenditure for goods and services provided by </w:t>
      </w:r>
      <w:proofErr w:type="gramStart"/>
      <w:r w:rsidRPr="000655FE">
        <w:rPr>
          <w:rFonts w:eastAsia="Times New Roman"/>
          <w:b/>
          <w:bCs/>
          <w:sz w:val="20"/>
          <w:szCs w:val="20"/>
        </w:rPr>
        <w:t>government</w:t>
      </w:r>
      <w:proofErr w:type="gramEnd"/>
      <w:r w:rsidRPr="000655FE">
        <w:rPr>
          <w:rFonts w:eastAsia="Arial" w:cstheme="minorHAnsi"/>
          <w:b/>
          <w:bCs/>
          <w:sz w:val="20"/>
          <w:szCs w:val="20"/>
          <w:lang w:eastAsia="en-US"/>
        </w:rPr>
        <w:t>?</w:t>
      </w:r>
    </w:p>
    <w:p w14:paraId="695C5499" w14:textId="77777777" w:rsidR="0054112C" w:rsidRPr="000655FE" w:rsidRDefault="00710D62" w:rsidP="0054112C">
      <w:pPr>
        <w:spacing w:after="0" w:line="240" w:lineRule="auto"/>
        <w:ind w:left="446"/>
        <w:rPr>
          <w:rFonts w:eastAsia="Arial" w:cstheme="minorHAnsi"/>
          <w:sz w:val="20"/>
          <w:szCs w:val="20"/>
          <w:lang w:eastAsia="en-US"/>
        </w:rPr>
      </w:pPr>
      <w:sdt>
        <w:sdtPr>
          <w:rPr>
            <w:rFonts w:ascii="MS Gothic" w:eastAsia="MS Gothic" w:hAnsi="MS Gothic" w:cstheme="minorHAnsi"/>
            <w:sz w:val="20"/>
            <w:szCs w:val="20"/>
            <w:lang w:eastAsia="en-US"/>
          </w:rPr>
          <w:id w:val="-1656208455"/>
          <w14:checkbox>
            <w14:checked w14:val="0"/>
            <w14:checkedState w14:val="2612" w14:font="MS Gothic"/>
            <w14:uncheckedState w14:val="2610" w14:font="MS Gothic"/>
          </w14:checkbox>
        </w:sdtPr>
        <w:sdtEndPr/>
        <w:sdtContent>
          <w:r w:rsidR="0054112C" w:rsidRPr="000655FE">
            <w:rPr>
              <w:rFonts w:ascii="MS Gothic" w:eastAsia="MS Gothic" w:hAnsi="MS Gothic" w:cstheme="minorHAnsi" w:hint="eastAsia"/>
              <w:sz w:val="20"/>
              <w:szCs w:val="20"/>
              <w:lang w:eastAsia="en-US"/>
            </w:rPr>
            <w:t>☐</w:t>
          </w:r>
        </w:sdtContent>
      </w:sdt>
      <w:r w:rsidR="0054112C" w:rsidRPr="000655FE">
        <w:rPr>
          <w:rFonts w:eastAsia="Tahoma" w:cstheme="minorHAnsi"/>
          <w:sz w:val="20"/>
          <w:szCs w:val="20"/>
          <w:lang w:eastAsia="en-US"/>
        </w:rPr>
        <w:t xml:space="preserve"> </w:t>
      </w:r>
      <w:r w:rsidR="0054112C" w:rsidRPr="000655FE">
        <w:rPr>
          <w:sz w:val="20"/>
          <w:szCs w:val="20"/>
        </w:rPr>
        <w:t>Precise mapping of the COFOG classification to collective and individual goods and services as defined in the SNA</w:t>
      </w:r>
    </w:p>
    <w:p w14:paraId="586E5E27" w14:textId="0FA55DDA" w:rsidR="000655FE" w:rsidRPr="000655FE" w:rsidRDefault="00710D62" w:rsidP="000655FE">
      <w:pPr>
        <w:spacing w:after="0" w:line="240" w:lineRule="auto"/>
        <w:ind w:left="446"/>
        <w:rPr>
          <w:rFonts w:eastAsia="Arial" w:cstheme="minorHAnsi"/>
          <w:sz w:val="20"/>
          <w:szCs w:val="20"/>
          <w:lang w:eastAsia="en-US"/>
        </w:rPr>
      </w:pPr>
      <w:sdt>
        <w:sdtPr>
          <w:rPr>
            <w:rFonts w:ascii="MS Gothic" w:eastAsia="MS Gothic" w:hAnsi="MS Gothic" w:cstheme="minorHAnsi"/>
            <w:sz w:val="20"/>
            <w:szCs w:val="20"/>
            <w:lang w:eastAsia="en-US"/>
          </w:rPr>
          <w:id w:val="1404871250"/>
          <w14:checkbox>
            <w14:checked w14:val="0"/>
            <w14:checkedState w14:val="2612" w14:font="MS Gothic"/>
            <w14:uncheckedState w14:val="2610" w14:font="MS Gothic"/>
          </w14:checkbox>
        </w:sdtPr>
        <w:sdtEndPr/>
        <w:sdtContent>
          <w:r w:rsidR="0054112C" w:rsidRPr="000655FE">
            <w:rPr>
              <w:rFonts w:ascii="MS Gothic" w:eastAsia="MS Gothic" w:hAnsi="MS Gothic" w:cstheme="minorHAnsi" w:hint="eastAsia"/>
              <w:sz w:val="20"/>
              <w:szCs w:val="20"/>
              <w:lang w:eastAsia="en-US"/>
            </w:rPr>
            <w:t>☐</w:t>
          </w:r>
        </w:sdtContent>
      </w:sdt>
      <w:r w:rsidR="0054112C" w:rsidRPr="000655FE">
        <w:rPr>
          <w:rFonts w:eastAsia="Tahoma" w:cstheme="minorHAnsi"/>
          <w:sz w:val="20"/>
          <w:szCs w:val="20"/>
          <w:lang w:eastAsia="en-US"/>
        </w:rPr>
        <w:t xml:space="preserve"> </w:t>
      </w:r>
      <w:r w:rsidR="0054112C" w:rsidRPr="000655FE">
        <w:rPr>
          <w:rFonts w:eastAsia="Arial" w:cstheme="minorHAnsi"/>
          <w:sz w:val="20"/>
          <w:szCs w:val="20"/>
          <w:lang w:eastAsia="en-US"/>
        </w:rPr>
        <w:t>Local adaptation (Please provide details): _____________________________________</w:t>
      </w:r>
    </w:p>
    <w:p w14:paraId="3114D900" w14:textId="77777777" w:rsidR="0054112C" w:rsidRPr="000655FE" w:rsidRDefault="0054112C" w:rsidP="0054112C">
      <w:pPr>
        <w:spacing w:after="0" w:line="240" w:lineRule="auto"/>
        <w:rPr>
          <w:rFonts w:eastAsia="Arial" w:cstheme="minorHAnsi"/>
          <w:b/>
          <w:bCs/>
          <w:sz w:val="20"/>
          <w:szCs w:val="20"/>
          <w:lang w:eastAsia="en-US"/>
        </w:rPr>
      </w:pPr>
    </w:p>
    <w:p w14:paraId="07D5AD1F" w14:textId="77777777" w:rsidR="0054112C" w:rsidRPr="000655FE" w:rsidRDefault="0054112C" w:rsidP="00D25872">
      <w:pPr>
        <w:pStyle w:val="ListParagraph"/>
        <w:numPr>
          <w:ilvl w:val="0"/>
          <w:numId w:val="2"/>
        </w:numPr>
        <w:spacing w:after="0" w:line="240" w:lineRule="auto"/>
        <w:ind w:left="446"/>
        <w:rPr>
          <w:rFonts w:eastAsia="Arial" w:cstheme="minorHAnsi"/>
          <w:sz w:val="20"/>
          <w:szCs w:val="20"/>
          <w:lang w:eastAsia="en-US"/>
        </w:rPr>
      </w:pPr>
      <w:r w:rsidRPr="000655FE">
        <w:rPr>
          <w:rFonts w:eastAsia="Arial" w:cstheme="minorHAnsi"/>
          <w:b/>
          <w:bCs/>
          <w:sz w:val="20"/>
          <w:szCs w:val="20"/>
          <w:lang w:eastAsia="en-US"/>
        </w:rPr>
        <w:t xml:space="preserve">Do you consider that your current data sources and compilation practices are of </w:t>
      </w:r>
      <w:proofErr w:type="gramStart"/>
      <w:r w:rsidRPr="000655FE">
        <w:rPr>
          <w:rFonts w:eastAsia="Arial" w:cstheme="minorHAnsi"/>
          <w:b/>
          <w:bCs/>
          <w:sz w:val="20"/>
          <w:szCs w:val="20"/>
          <w:lang w:eastAsia="en-US"/>
        </w:rPr>
        <w:t>a sufficient</w:t>
      </w:r>
      <w:proofErr w:type="gramEnd"/>
      <w:r w:rsidRPr="000655FE">
        <w:rPr>
          <w:rFonts w:eastAsia="Arial" w:cstheme="minorHAnsi"/>
          <w:b/>
          <w:bCs/>
          <w:sz w:val="20"/>
          <w:szCs w:val="20"/>
          <w:lang w:eastAsia="en-US"/>
        </w:rPr>
        <w:t xml:space="preserve"> quality to compile data in line with the current edition of COFOG?  </w:t>
      </w:r>
    </w:p>
    <w:p w14:paraId="2B5F22C1" w14:textId="0A0329EF" w:rsidR="0054112C" w:rsidRPr="000655FE" w:rsidRDefault="00710D62" w:rsidP="00B953A6">
      <w:pPr>
        <w:spacing w:after="0" w:line="240" w:lineRule="auto"/>
        <w:ind w:left="446"/>
        <w:rPr>
          <w:rFonts w:eastAsia="Arial" w:cstheme="minorHAnsi"/>
          <w:sz w:val="20"/>
          <w:szCs w:val="20"/>
          <w:lang w:eastAsia="en-US"/>
        </w:rPr>
      </w:pPr>
      <w:sdt>
        <w:sdtPr>
          <w:rPr>
            <w:rFonts w:ascii="MS Gothic" w:eastAsia="MS Gothic" w:hAnsi="MS Gothic" w:cstheme="minorHAnsi"/>
            <w:sz w:val="20"/>
            <w:szCs w:val="20"/>
            <w:lang w:eastAsia="en-US"/>
          </w:rPr>
          <w:id w:val="-1481384995"/>
          <w14:checkbox>
            <w14:checked w14:val="0"/>
            <w14:checkedState w14:val="2612" w14:font="MS Gothic"/>
            <w14:uncheckedState w14:val="2610" w14:font="MS Gothic"/>
          </w14:checkbox>
        </w:sdtPr>
        <w:sdtEndPr/>
        <w:sdtContent>
          <w:r w:rsidR="0054112C" w:rsidRPr="000655FE">
            <w:rPr>
              <w:rFonts w:ascii="MS Gothic" w:eastAsia="MS Gothic" w:hAnsi="MS Gothic" w:cstheme="minorHAnsi" w:hint="eastAsia"/>
              <w:sz w:val="20"/>
              <w:szCs w:val="20"/>
              <w:lang w:eastAsia="en-US"/>
            </w:rPr>
            <w:t>☐</w:t>
          </w:r>
        </w:sdtContent>
      </w:sdt>
      <w:r w:rsidR="0054112C" w:rsidRPr="000655FE">
        <w:rPr>
          <w:rFonts w:eastAsia="Tahoma" w:cstheme="minorHAnsi"/>
          <w:sz w:val="20"/>
          <w:szCs w:val="20"/>
          <w:lang w:eastAsia="en-US"/>
        </w:rPr>
        <w:t xml:space="preserve"> </w:t>
      </w:r>
      <w:r w:rsidR="0054112C" w:rsidRPr="000655FE">
        <w:rPr>
          <w:rFonts w:eastAsia="Arial" w:cstheme="minorHAnsi"/>
          <w:sz w:val="20"/>
          <w:szCs w:val="20"/>
          <w:lang w:eastAsia="en-US"/>
        </w:rPr>
        <w:t xml:space="preserve">Yes. Please provide additional </w:t>
      </w:r>
      <w:proofErr w:type="gramStart"/>
      <w:r w:rsidR="0054112C" w:rsidRPr="000655FE">
        <w:rPr>
          <w:rFonts w:eastAsia="Arial" w:cstheme="minorHAnsi"/>
          <w:sz w:val="20"/>
          <w:szCs w:val="20"/>
          <w:lang w:eastAsia="en-US"/>
        </w:rPr>
        <w:t>detail</w:t>
      </w:r>
      <w:proofErr w:type="gramEnd"/>
      <w:r w:rsidR="0054112C" w:rsidRPr="000655FE">
        <w:rPr>
          <w:rFonts w:eastAsia="Arial" w:cstheme="minorHAnsi"/>
          <w:sz w:val="20"/>
          <w:szCs w:val="20"/>
          <w:lang w:eastAsia="en-US"/>
        </w:rPr>
        <w:t>, if desired: _________________________________</w:t>
      </w:r>
    </w:p>
    <w:p w14:paraId="7BC50B32" w14:textId="77777777" w:rsidR="0054112C" w:rsidRPr="000655FE" w:rsidRDefault="0054112C" w:rsidP="0054112C">
      <w:pPr>
        <w:spacing w:after="0" w:line="240" w:lineRule="auto"/>
        <w:ind w:left="86"/>
        <w:rPr>
          <w:rFonts w:eastAsia="Arial" w:cstheme="minorHAnsi"/>
          <w:sz w:val="20"/>
          <w:szCs w:val="20"/>
          <w:lang w:eastAsia="en-US"/>
        </w:rPr>
      </w:pPr>
      <w:r w:rsidRPr="000655FE">
        <w:rPr>
          <w:rFonts w:eastAsia="Arial" w:cstheme="minorHAnsi"/>
          <w:sz w:val="20"/>
          <w:szCs w:val="20"/>
          <w:lang w:eastAsia="en-US"/>
        </w:rPr>
        <w:tab/>
        <w:t>______________________________________________________________________________</w:t>
      </w:r>
      <w:r w:rsidRPr="000655FE">
        <w:rPr>
          <w:rFonts w:eastAsia="Arial" w:cstheme="minorHAnsi"/>
          <w:sz w:val="20"/>
          <w:szCs w:val="20"/>
          <w:lang w:eastAsia="en-US"/>
        </w:rPr>
        <w:tab/>
      </w:r>
    </w:p>
    <w:p w14:paraId="514B6923" w14:textId="77777777" w:rsidR="0054112C" w:rsidRPr="000655FE" w:rsidRDefault="00710D62" w:rsidP="0054112C">
      <w:pPr>
        <w:spacing w:after="0" w:line="240" w:lineRule="auto"/>
        <w:ind w:firstLine="446"/>
        <w:rPr>
          <w:rFonts w:eastAsia="Arial" w:cstheme="minorHAnsi"/>
          <w:sz w:val="20"/>
          <w:szCs w:val="20"/>
          <w:lang w:eastAsia="en-US"/>
        </w:rPr>
      </w:pPr>
      <w:sdt>
        <w:sdtPr>
          <w:rPr>
            <w:rFonts w:eastAsia="Tahoma" w:cstheme="minorHAnsi"/>
            <w:sz w:val="20"/>
            <w:szCs w:val="20"/>
            <w:lang w:eastAsia="en-US"/>
          </w:rPr>
          <w:id w:val="689565167"/>
          <w14:checkbox>
            <w14:checked w14:val="0"/>
            <w14:checkedState w14:val="2612" w14:font="MS Gothic"/>
            <w14:uncheckedState w14:val="2610" w14:font="MS Gothic"/>
          </w14:checkbox>
        </w:sdtPr>
        <w:sdtEndPr/>
        <w:sdtContent>
          <w:r w:rsidR="0054112C" w:rsidRPr="000655FE">
            <w:rPr>
              <w:rFonts w:ascii="MS Gothic" w:eastAsia="MS Gothic" w:hAnsi="MS Gothic" w:cstheme="minorHAnsi" w:hint="eastAsia"/>
              <w:sz w:val="20"/>
              <w:szCs w:val="20"/>
              <w:lang w:eastAsia="en-US"/>
            </w:rPr>
            <w:t>☐</w:t>
          </w:r>
        </w:sdtContent>
      </w:sdt>
      <w:r w:rsidR="0054112C" w:rsidRPr="000655FE">
        <w:rPr>
          <w:rFonts w:eastAsia="Tahoma" w:cstheme="minorHAnsi"/>
          <w:sz w:val="20"/>
          <w:szCs w:val="20"/>
          <w:lang w:eastAsia="en-US"/>
        </w:rPr>
        <w:t xml:space="preserve"> </w:t>
      </w:r>
      <w:r w:rsidR="0054112C" w:rsidRPr="000655FE">
        <w:rPr>
          <w:rFonts w:eastAsia="Arial" w:cstheme="minorHAnsi"/>
          <w:sz w:val="20"/>
          <w:szCs w:val="20"/>
          <w:lang w:eastAsia="en-US"/>
        </w:rPr>
        <w:t xml:space="preserve">No. If </w:t>
      </w:r>
      <w:proofErr w:type="gramStart"/>
      <w:r w:rsidR="0054112C" w:rsidRPr="000655FE">
        <w:rPr>
          <w:rFonts w:eastAsia="Arial" w:cstheme="minorHAnsi"/>
          <w:sz w:val="20"/>
          <w:szCs w:val="20"/>
          <w:lang w:eastAsia="en-US"/>
        </w:rPr>
        <w:t>no</w:t>
      </w:r>
      <w:proofErr w:type="gramEnd"/>
      <w:r w:rsidR="0054112C" w:rsidRPr="000655FE">
        <w:rPr>
          <w:rFonts w:eastAsia="Arial" w:cstheme="minorHAnsi"/>
          <w:sz w:val="20"/>
          <w:szCs w:val="20"/>
          <w:lang w:eastAsia="en-US"/>
        </w:rPr>
        <w:t>, what are the main issues: _____________________________________________</w:t>
      </w:r>
    </w:p>
    <w:p w14:paraId="0ECFA518" w14:textId="7CBD9A0D" w:rsidR="0054112C" w:rsidRPr="000655FE" w:rsidRDefault="0054112C" w:rsidP="00806AD8">
      <w:pPr>
        <w:spacing w:after="0" w:line="240" w:lineRule="auto"/>
        <w:ind w:firstLine="446"/>
        <w:rPr>
          <w:rFonts w:eastAsia="Arial" w:cstheme="minorHAnsi"/>
          <w:sz w:val="20"/>
          <w:szCs w:val="20"/>
          <w:lang w:eastAsia="en-US"/>
        </w:rPr>
      </w:pPr>
      <w:r w:rsidRPr="000655FE">
        <w:rPr>
          <w:rFonts w:eastAsia="Arial" w:cstheme="minorHAnsi"/>
          <w:sz w:val="20"/>
          <w:szCs w:val="20"/>
          <w:lang w:eastAsia="en-US"/>
        </w:rPr>
        <w:t xml:space="preserve">      ______________________________________________________________________________</w:t>
      </w:r>
    </w:p>
    <w:p w14:paraId="4EFD3387" w14:textId="77777777" w:rsidR="0054112C" w:rsidRPr="000655FE" w:rsidRDefault="0054112C" w:rsidP="0054112C">
      <w:pPr>
        <w:spacing w:after="0" w:line="240" w:lineRule="auto"/>
        <w:rPr>
          <w:rFonts w:eastAsia="Arial" w:cstheme="minorHAnsi"/>
          <w:sz w:val="20"/>
          <w:szCs w:val="20"/>
          <w:lang w:eastAsia="en-US"/>
        </w:rPr>
      </w:pPr>
    </w:p>
    <w:p w14:paraId="62AEA984" w14:textId="77777777" w:rsidR="0054112C" w:rsidRPr="000655FE" w:rsidRDefault="0054112C" w:rsidP="00D25872">
      <w:pPr>
        <w:pStyle w:val="ListParagraph"/>
        <w:numPr>
          <w:ilvl w:val="0"/>
          <w:numId w:val="2"/>
        </w:numPr>
        <w:spacing w:after="0" w:line="240" w:lineRule="auto"/>
        <w:ind w:left="446"/>
        <w:rPr>
          <w:rFonts w:eastAsia="Arial" w:cstheme="minorHAnsi"/>
          <w:b/>
          <w:bCs/>
          <w:sz w:val="20"/>
          <w:szCs w:val="20"/>
          <w:lang w:eastAsia="en-US"/>
        </w:rPr>
      </w:pPr>
      <w:r w:rsidRPr="000655FE">
        <w:rPr>
          <w:rFonts w:eastAsia="Arial" w:cstheme="minorHAnsi"/>
          <w:b/>
          <w:bCs/>
          <w:sz w:val="20"/>
          <w:szCs w:val="20"/>
          <w:lang w:eastAsia="en-US"/>
        </w:rPr>
        <w:t>Does your institution implement some form of programme budgeting</w:t>
      </w:r>
      <w:r w:rsidRPr="000655FE">
        <w:rPr>
          <w:rStyle w:val="FootnoteReference"/>
          <w:rFonts w:eastAsia="Arial" w:cstheme="minorHAnsi"/>
          <w:sz w:val="20"/>
          <w:szCs w:val="20"/>
          <w:lang w:eastAsia="en-US"/>
        </w:rPr>
        <w:footnoteReference w:id="2"/>
      </w:r>
      <w:r w:rsidRPr="000655FE">
        <w:rPr>
          <w:rFonts w:eastAsia="Arial" w:cstheme="minorHAnsi"/>
          <w:b/>
          <w:bCs/>
          <w:sz w:val="20"/>
          <w:szCs w:val="20"/>
          <w:lang w:eastAsia="en-US"/>
        </w:rPr>
        <w:t xml:space="preserve">?  </w:t>
      </w:r>
    </w:p>
    <w:p w14:paraId="61AA273C" w14:textId="366C5D3D" w:rsidR="0054112C" w:rsidRPr="000655FE" w:rsidRDefault="0054112C" w:rsidP="00B953A6">
      <w:pPr>
        <w:spacing w:after="0" w:line="240" w:lineRule="auto"/>
        <w:ind w:left="446"/>
        <w:rPr>
          <w:rFonts w:eastAsia="Arial" w:cstheme="minorHAnsi"/>
          <w:sz w:val="20"/>
          <w:szCs w:val="20"/>
          <w:lang w:eastAsia="en-US"/>
        </w:rPr>
      </w:pPr>
      <w:r w:rsidRPr="000655FE">
        <w:rPr>
          <w:rFonts w:ascii="MS Gothic" w:eastAsia="MS Gothic" w:hAnsi="MS Gothic" w:cstheme="minorHAnsi" w:hint="eastAsia"/>
          <w:sz w:val="20"/>
          <w:szCs w:val="20"/>
          <w:lang w:eastAsia="en-US"/>
        </w:rPr>
        <w:t>☐</w:t>
      </w:r>
      <w:r w:rsidRPr="000655FE">
        <w:rPr>
          <w:rFonts w:eastAsia="Tahoma" w:cstheme="minorHAnsi"/>
          <w:sz w:val="20"/>
          <w:szCs w:val="20"/>
          <w:lang w:eastAsia="en-US"/>
        </w:rPr>
        <w:t xml:space="preserve"> </w:t>
      </w:r>
      <w:r w:rsidRPr="000655FE">
        <w:rPr>
          <w:rFonts w:eastAsia="Arial" w:cstheme="minorHAnsi"/>
          <w:sz w:val="20"/>
          <w:szCs w:val="20"/>
          <w:lang w:eastAsia="en-US"/>
        </w:rPr>
        <w:t>Yes.  If yes, do you have a national programme classification structure? ___________</w:t>
      </w:r>
    </w:p>
    <w:p w14:paraId="57B0136B" w14:textId="77777777" w:rsidR="0054112C" w:rsidRPr="000655FE" w:rsidRDefault="0054112C" w:rsidP="0054112C">
      <w:pPr>
        <w:spacing w:after="0" w:line="240" w:lineRule="auto"/>
        <w:ind w:firstLine="360"/>
        <w:rPr>
          <w:rFonts w:eastAsia="Arial" w:cstheme="minorHAnsi"/>
          <w:sz w:val="20"/>
          <w:szCs w:val="20"/>
          <w:lang w:eastAsia="en-US"/>
        </w:rPr>
      </w:pPr>
      <w:r w:rsidRPr="000655FE">
        <w:rPr>
          <w:rFonts w:ascii="MS Gothic" w:eastAsia="MS Gothic" w:hAnsi="MS Gothic" w:cstheme="minorHAnsi"/>
          <w:sz w:val="20"/>
          <w:szCs w:val="20"/>
          <w:lang w:eastAsia="en-US"/>
        </w:rPr>
        <w:t xml:space="preserve"> </w:t>
      </w:r>
      <w:bookmarkStart w:id="22" w:name="_Hlk181697126"/>
      <w:r w:rsidRPr="000655FE">
        <w:rPr>
          <w:rFonts w:ascii="MS Gothic" w:eastAsia="MS Gothic" w:hAnsi="MS Gothic" w:cstheme="minorHAnsi" w:hint="eastAsia"/>
          <w:sz w:val="20"/>
          <w:szCs w:val="20"/>
          <w:lang w:eastAsia="en-US"/>
        </w:rPr>
        <w:t>☐</w:t>
      </w:r>
      <w:r w:rsidRPr="000655FE">
        <w:rPr>
          <w:rFonts w:eastAsia="Tahoma" w:cstheme="minorHAnsi"/>
          <w:sz w:val="20"/>
          <w:szCs w:val="20"/>
          <w:lang w:eastAsia="en-US"/>
        </w:rPr>
        <w:t xml:space="preserve"> </w:t>
      </w:r>
      <w:r w:rsidRPr="000655FE">
        <w:rPr>
          <w:rFonts w:eastAsia="Arial" w:cstheme="minorHAnsi"/>
          <w:sz w:val="20"/>
          <w:szCs w:val="20"/>
          <w:lang w:eastAsia="en-US"/>
        </w:rPr>
        <w:t>No</w:t>
      </w:r>
      <w:bookmarkEnd w:id="22"/>
    </w:p>
    <w:p w14:paraId="18E5DBEC" w14:textId="08A9567D" w:rsidR="0054112C" w:rsidRPr="000655FE" w:rsidRDefault="0054112C" w:rsidP="0054112C">
      <w:pPr>
        <w:pStyle w:val="NormalWeb"/>
        <w:spacing w:before="0" w:beforeAutospacing="0" w:after="0" w:afterAutospacing="0"/>
        <w:rPr>
          <w:rFonts w:asciiTheme="minorHAnsi" w:hAnsiTheme="minorHAnsi" w:cstheme="minorHAnsi"/>
          <w:color w:val="000000"/>
          <w:sz w:val="20"/>
          <w:szCs w:val="20"/>
        </w:rPr>
      </w:pPr>
      <w:r w:rsidRPr="000655FE">
        <w:rPr>
          <w:rFonts w:asciiTheme="minorHAnsi" w:hAnsiTheme="minorHAnsi" w:cstheme="minorHAnsi"/>
          <w:b/>
          <w:bCs/>
          <w:color w:val="000000"/>
          <w:sz w:val="20"/>
          <w:szCs w:val="20"/>
        </w:rPr>
        <w:t xml:space="preserve">        </w:t>
      </w:r>
      <w:r w:rsidR="000655FE">
        <w:rPr>
          <w:rFonts w:asciiTheme="minorHAnsi" w:hAnsiTheme="minorHAnsi" w:cstheme="minorHAnsi"/>
          <w:b/>
          <w:bCs/>
          <w:color w:val="000000"/>
          <w:sz w:val="20"/>
          <w:szCs w:val="20"/>
        </w:rPr>
        <w:t xml:space="preserve">   </w:t>
      </w:r>
      <w:r w:rsidRPr="000655FE">
        <w:rPr>
          <w:rFonts w:ascii="MS Gothic" w:eastAsia="MS Gothic" w:hAnsi="MS Gothic" w:cstheme="minorHAnsi" w:hint="eastAsia"/>
          <w:sz w:val="20"/>
          <w:szCs w:val="20"/>
        </w:rPr>
        <w:t>☐</w:t>
      </w:r>
      <w:r w:rsidRPr="000655FE">
        <w:rPr>
          <w:rFonts w:asciiTheme="minorHAnsi" w:hAnsiTheme="minorHAnsi" w:cstheme="minorHAnsi"/>
          <w:color w:val="000000"/>
          <w:sz w:val="20"/>
          <w:szCs w:val="20"/>
        </w:rPr>
        <w:t xml:space="preserve"> Not sure/not applicable</w:t>
      </w:r>
    </w:p>
    <w:p w14:paraId="45329D5D" w14:textId="77777777" w:rsidR="0054112C" w:rsidRPr="000655FE" w:rsidRDefault="0054112C" w:rsidP="0054112C">
      <w:pPr>
        <w:rPr>
          <w:rFonts w:cstheme="minorHAnsi"/>
          <w:b/>
          <w:bCs/>
          <w:color w:val="000000"/>
          <w:sz w:val="20"/>
          <w:szCs w:val="20"/>
        </w:rPr>
      </w:pPr>
    </w:p>
    <w:p w14:paraId="41CBCE34" w14:textId="77777777" w:rsidR="0054112C" w:rsidRPr="000655FE" w:rsidRDefault="0054112C" w:rsidP="0054112C">
      <w:pPr>
        <w:rPr>
          <w:rFonts w:eastAsia="Times New Roman" w:cstheme="minorHAnsi"/>
          <w:b/>
          <w:bCs/>
          <w:color w:val="000000"/>
          <w:sz w:val="20"/>
          <w:szCs w:val="20"/>
          <w:lang w:eastAsia="en-US"/>
        </w:rPr>
      </w:pPr>
      <w:r w:rsidRPr="000655FE">
        <w:rPr>
          <w:rFonts w:cstheme="minorHAnsi"/>
          <w:b/>
          <w:bCs/>
          <w:color w:val="000000"/>
          <w:sz w:val="20"/>
          <w:szCs w:val="20"/>
        </w:rPr>
        <w:t>Part III. List of Issues</w:t>
      </w:r>
    </w:p>
    <w:p w14:paraId="42B27D6D" w14:textId="77777777" w:rsidR="0054112C" w:rsidRPr="000655FE" w:rsidRDefault="0054112C" w:rsidP="0054112C">
      <w:pPr>
        <w:spacing w:after="0" w:line="240" w:lineRule="auto"/>
        <w:jc w:val="both"/>
        <w:rPr>
          <w:rFonts w:eastAsia="Times New Roman" w:cstheme="minorHAnsi"/>
          <w:color w:val="000000"/>
          <w:sz w:val="20"/>
          <w:szCs w:val="20"/>
        </w:rPr>
      </w:pPr>
      <w:r w:rsidRPr="000655FE">
        <w:rPr>
          <w:rFonts w:eastAsia="Times New Roman" w:cstheme="minorHAnsi"/>
          <w:color w:val="000000"/>
          <w:sz w:val="20"/>
          <w:szCs w:val="20"/>
        </w:rPr>
        <w:t xml:space="preserve">The Task Team on the Revision of COFOG (TT-COFOG) has compiled an initial list of issues to consider for the update of the COFOG classification. </w:t>
      </w:r>
    </w:p>
    <w:p w14:paraId="5482A4F3" w14:textId="77777777" w:rsidR="0054112C" w:rsidRPr="000655FE" w:rsidRDefault="0054112C" w:rsidP="0054112C">
      <w:pPr>
        <w:spacing w:after="0" w:line="240" w:lineRule="auto"/>
        <w:jc w:val="both"/>
        <w:rPr>
          <w:rFonts w:eastAsia="Times New Roman" w:cstheme="minorHAnsi"/>
          <w:color w:val="000000"/>
          <w:sz w:val="20"/>
          <w:szCs w:val="20"/>
        </w:rPr>
      </w:pPr>
    </w:p>
    <w:p w14:paraId="32FEDCC3" w14:textId="77777777" w:rsidR="0054112C" w:rsidRPr="000655FE" w:rsidRDefault="0054112C" w:rsidP="0054112C">
      <w:pPr>
        <w:spacing w:after="0" w:line="240" w:lineRule="auto"/>
        <w:jc w:val="both"/>
        <w:rPr>
          <w:rFonts w:eastAsia="Times New Roman" w:cstheme="minorHAnsi"/>
          <w:color w:val="000000"/>
          <w:sz w:val="20"/>
          <w:szCs w:val="20"/>
        </w:rPr>
      </w:pPr>
      <w:r w:rsidRPr="000655FE">
        <w:rPr>
          <w:rFonts w:eastAsia="Times New Roman" w:cstheme="minorHAnsi"/>
          <w:color w:val="000000"/>
          <w:sz w:val="20"/>
          <w:szCs w:val="20"/>
        </w:rPr>
        <w:t xml:space="preserve">Proposed issues are organized into two major issue categories. Group A is for thematic/subject matter issues pertaining to the current uses or compilation of the COFOG. Group B is for issues related to the underlying scope, principles, concepts and structure of the classification, and </w:t>
      </w:r>
      <w:proofErr w:type="gramStart"/>
      <w:r w:rsidRPr="000655FE">
        <w:rPr>
          <w:rFonts w:eastAsia="Times New Roman" w:cstheme="minorHAnsi"/>
          <w:color w:val="000000"/>
          <w:sz w:val="20"/>
          <w:szCs w:val="20"/>
        </w:rPr>
        <w:t>to strengthen</w:t>
      </w:r>
      <w:proofErr w:type="gramEnd"/>
      <w:r w:rsidRPr="000655FE">
        <w:rPr>
          <w:rFonts w:eastAsia="Times New Roman" w:cstheme="minorHAnsi"/>
          <w:color w:val="000000"/>
          <w:sz w:val="20"/>
          <w:szCs w:val="20"/>
        </w:rPr>
        <w:t xml:space="preserve"> the alignment with international reporting for relevant statistics and indicators:</w:t>
      </w:r>
    </w:p>
    <w:p w14:paraId="7668008D" w14:textId="77777777" w:rsidR="0054112C" w:rsidRPr="000655FE" w:rsidRDefault="0054112C" w:rsidP="0054112C">
      <w:pPr>
        <w:spacing w:after="0" w:line="240" w:lineRule="auto"/>
        <w:jc w:val="both"/>
        <w:rPr>
          <w:rFonts w:eastAsia="Times New Roman" w:cstheme="minorHAnsi"/>
          <w:color w:val="000000"/>
          <w:sz w:val="20"/>
          <w:szCs w:val="20"/>
        </w:rPr>
      </w:pPr>
    </w:p>
    <w:p w14:paraId="0EEA07A7" w14:textId="77777777" w:rsidR="0054112C" w:rsidRPr="000655FE" w:rsidRDefault="0054112C" w:rsidP="00D25872">
      <w:pPr>
        <w:pStyle w:val="ListParagraph"/>
        <w:numPr>
          <w:ilvl w:val="0"/>
          <w:numId w:val="4"/>
        </w:numPr>
        <w:spacing w:after="0" w:line="240" w:lineRule="auto"/>
        <w:rPr>
          <w:rFonts w:eastAsia="Times New Roman" w:cstheme="minorHAnsi"/>
          <w:b/>
          <w:bCs/>
          <w:color w:val="000000"/>
          <w:sz w:val="20"/>
          <w:szCs w:val="20"/>
        </w:rPr>
      </w:pPr>
      <w:bookmarkStart w:id="23" w:name="_Hlk178839583"/>
      <w:r w:rsidRPr="000655FE">
        <w:rPr>
          <w:rFonts w:eastAsia="Times New Roman" w:cstheme="minorHAnsi"/>
          <w:b/>
          <w:bCs/>
          <w:color w:val="000000"/>
          <w:sz w:val="20"/>
          <w:szCs w:val="20"/>
        </w:rPr>
        <w:t>Current COFOG Divisions, Cross-cutting issues, and Other Thematic Issues</w:t>
      </w:r>
      <w:r w:rsidRPr="000655FE">
        <w:rPr>
          <w:rStyle w:val="FootnoteReference"/>
          <w:rFonts w:eastAsia="Times New Roman" w:cstheme="minorHAnsi"/>
          <w:color w:val="000000"/>
          <w:sz w:val="20"/>
          <w:szCs w:val="20"/>
        </w:rPr>
        <w:footnoteReference w:id="3"/>
      </w:r>
    </w:p>
    <w:bookmarkEnd w:id="23"/>
    <w:p w14:paraId="433450D5"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A01.</w:t>
      </w:r>
      <w:r w:rsidRPr="000655FE">
        <w:rPr>
          <w:rFonts w:eastAsia="Times New Roman" w:cstheme="minorHAnsi"/>
          <w:color w:val="000000"/>
          <w:sz w:val="20"/>
          <w:szCs w:val="20"/>
        </w:rPr>
        <w:tab/>
        <w:t>General public services</w:t>
      </w:r>
    </w:p>
    <w:p w14:paraId="490DD9F0"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A02.</w:t>
      </w:r>
      <w:r w:rsidRPr="000655FE">
        <w:rPr>
          <w:rFonts w:eastAsia="Times New Roman" w:cstheme="minorHAnsi"/>
          <w:color w:val="000000"/>
          <w:sz w:val="20"/>
          <w:szCs w:val="20"/>
        </w:rPr>
        <w:tab/>
        <w:t>Defence</w:t>
      </w:r>
    </w:p>
    <w:p w14:paraId="336EAEDF"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A03.</w:t>
      </w:r>
      <w:r w:rsidRPr="000655FE">
        <w:rPr>
          <w:rFonts w:eastAsia="Times New Roman" w:cstheme="minorHAnsi"/>
          <w:color w:val="000000"/>
          <w:sz w:val="20"/>
          <w:szCs w:val="20"/>
        </w:rPr>
        <w:tab/>
        <w:t>Public order and safety</w:t>
      </w:r>
    </w:p>
    <w:p w14:paraId="38375CF5"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A04.</w:t>
      </w:r>
      <w:r w:rsidRPr="000655FE">
        <w:rPr>
          <w:rFonts w:eastAsia="Times New Roman" w:cstheme="minorHAnsi"/>
          <w:color w:val="000000"/>
          <w:sz w:val="20"/>
          <w:szCs w:val="20"/>
        </w:rPr>
        <w:tab/>
        <w:t>Economic affairs</w:t>
      </w:r>
    </w:p>
    <w:p w14:paraId="3EF5E278"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A05.</w:t>
      </w:r>
      <w:r w:rsidRPr="000655FE">
        <w:rPr>
          <w:rFonts w:eastAsia="Times New Roman" w:cstheme="minorHAnsi"/>
          <w:color w:val="000000"/>
          <w:sz w:val="20"/>
          <w:szCs w:val="20"/>
        </w:rPr>
        <w:tab/>
        <w:t xml:space="preserve">Environmental protection (includes alignment with </w:t>
      </w:r>
      <w:r w:rsidRPr="000655FE">
        <w:rPr>
          <w:sz w:val="20"/>
          <w:szCs w:val="20"/>
        </w:rPr>
        <w:t>Classification of Environmental         Purposes (CEP)</w:t>
      </w:r>
      <w:r w:rsidRPr="000655FE">
        <w:rPr>
          <w:rFonts w:eastAsia="Times New Roman" w:cstheme="minorHAnsi"/>
          <w:color w:val="000000"/>
          <w:sz w:val="20"/>
          <w:szCs w:val="20"/>
        </w:rPr>
        <w:t>, System of Environmental Economic Accounting (SEEA) and other environmental classifications/frameworks)</w:t>
      </w:r>
    </w:p>
    <w:p w14:paraId="79FDE9A9"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A06.</w:t>
      </w:r>
      <w:r w:rsidRPr="000655FE">
        <w:rPr>
          <w:rFonts w:eastAsia="Times New Roman" w:cstheme="minorHAnsi"/>
          <w:color w:val="000000"/>
          <w:sz w:val="20"/>
          <w:szCs w:val="20"/>
        </w:rPr>
        <w:tab/>
        <w:t>Housing and community amenities</w:t>
      </w:r>
    </w:p>
    <w:p w14:paraId="1CF9F0F5" w14:textId="77777777" w:rsidR="0054112C" w:rsidRPr="000655FE" w:rsidRDefault="0054112C" w:rsidP="00D25872">
      <w:pPr>
        <w:pStyle w:val="ListParagraph"/>
        <w:numPr>
          <w:ilvl w:val="1"/>
          <w:numId w:val="5"/>
        </w:numPr>
        <w:spacing w:after="0" w:line="240" w:lineRule="auto"/>
        <w:rPr>
          <w:rFonts w:eastAsia="Times New Roman" w:cstheme="minorHAnsi"/>
          <w:sz w:val="20"/>
          <w:szCs w:val="20"/>
        </w:rPr>
      </w:pPr>
      <w:r w:rsidRPr="000655FE">
        <w:rPr>
          <w:rFonts w:eastAsia="Times New Roman" w:cstheme="minorHAnsi"/>
          <w:color w:val="000000"/>
          <w:sz w:val="20"/>
          <w:szCs w:val="20"/>
        </w:rPr>
        <w:t>A07.</w:t>
      </w:r>
      <w:r w:rsidRPr="000655FE">
        <w:rPr>
          <w:rFonts w:eastAsia="Times New Roman" w:cstheme="minorHAnsi"/>
          <w:color w:val="000000"/>
          <w:sz w:val="20"/>
          <w:szCs w:val="20"/>
        </w:rPr>
        <w:tab/>
      </w:r>
      <w:r w:rsidRPr="000655FE">
        <w:rPr>
          <w:rFonts w:eastAsia="Times New Roman" w:cstheme="minorHAnsi"/>
          <w:sz w:val="20"/>
          <w:szCs w:val="20"/>
        </w:rPr>
        <w:t>Health (includes alignment with System of Health Accounts (SHA))</w:t>
      </w:r>
    </w:p>
    <w:p w14:paraId="3B9DA485" w14:textId="77777777" w:rsidR="0054112C" w:rsidRPr="000655FE" w:rsidRDefault="0054112C" w:rsidP="00D25872">
      <w:pPr>
        <w:pStyle w:val="ListParagraph"/>
        <w:numPr>
          <w:ilvl w:val="1"/>
          <w:numId w:val="5"/>
        </w:numPr>
        <w:spacing w:after="0" w:line="240" w:lineRule="auto"/>
        <w:rPr>
          <w:rFonts w:eastAsia="Times New Roman" w:cstheme="minorHAnsi"/>
          <w:sz w:val="20"/>
          <w:szCs w:val="20"/>
        </w:rPr>
      </w:pPr>
      <w:r w:rsidRPr="000655FE">
        <w:rPr>
          <w:rFonts w:eastAsia="Times New Roman" w:cstheme="minorHAnsi"/>
          <w:sz w:val="20"/>
          <w:szCs w:val="20"/>
        </w:rPr>
        <w:t>A09.</w:t>
      </w:r>
      <w:r w:rsidRPr="000655FE">
        <w:rPr>
          <w:rFonts w:eastAsia="Times New Roman" w:cstheme="minorHAnsi"/>
          <w:sz w:val="20"/>
          <w:szCs w:val="20"/>
        </w:rPr>
        <w:tab/>
        <w:t>Education (includes alignment with International Standard Classification of Education (ISCED))</w:t>
      </w:r>
    </w:p>
    <w:p w14:paraId="29BD6107"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A10.</w:t>
      </w:r>
      <w:r w:rsidRPr="000655FE">
        <w:rPr>
          <w:rFonts w:eastAsia="Times New Roman" w:cstheme="minorHAnsi"/>
          <w:color w:val="000000"/>
          <w:sz w:val="20"/>
          <w:szCs w:val="20"/>
        </w:rPr>
        <w:tab/>
        <w:t>Social protection</w:t>
      </w:r>
    </w:p>
    <w:p w14:paraId="614013CC"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A11.</w:t>
      </w:r>
      <w:r w:rsidRPr="000655FE">
        <w:rPr>
          <w:rFonts w:eastAsia="Times New Roman" w:cstheme="minorHAnsi"/>
          <w:color w:val="000000"/>
          <w:sz w:val="20"/>
          <w:szCs w:val="20"/>
        </w:rPr>
        <w:tab/>
        <w:t>Cross-cutting issues</w:t>
      </w:r>
    </w:p>
    <w:p w14:paraId="7244532C" w14:textId="77777777" w:rsidR="0054112C" w:rsidRPr="000655FE" w:rsidRDefault="0054112C" w:rsidP="00D25872">
      <w:pPr>
        <w:pStyle w:val="ListParagraph"/>
        <w:numPr>
          <w:ilvl w:val="1"/>
          <w:numId w:val="5"/>
        </w:numPr>
        <w:spacing w:after="0" w:line="240" w:lineRule="auto"/>
        <w:rPr>
          <w:rFonts w:cstheme="minorHAnsi"/>
          <w:color w:val="000000"/>
          <w:sz w:val="20"/>
          <w:szCs w:val="20"/>
        </w:rPr>
      </w:pPr>
      <w:r w:rsidRPr="000655FE">
        <w:rPr>
          <w:rFonts w:eastAsia="Times New Roman" w:cstheme="minorHAnsi"/>
          <w:color w:val="000000"/>
          <w:sz w:val="20"/>
          <w:szCs w:val="20"/>
        </w:rPr>
        <w:t xml:space="preserve">A12. </w:t>
      </w:r>
      <w:r w:rsidRPr="000655FE">
        <w:rPr>
          <w:rFonts w:eastAsia="Times New Roman" w:cstheme="minorHAnsi"/>
          <w:color w:val="000000"/>
          <w:sz w:val="20"/>
          <w:szCs w:val="20"/>
        </w:rPr>
        <w:tab/>
        <w:t xml:space="preserve">R&amp;D </w:t>
      </w:r>
    </w:p>
    <w:p w14:paraId="4237A590"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 xml:space="preserve">A13. </w:t>
      </w:r>
      <w:r w:rsidRPr="000655FE">
        <w:rPr>
          <w:rFonts w:eastAsia="Times New Roman" w:cstheme="minorHAnsi"/>
          <w:color w:val="000000"/>
          <w:sz w:val="20"/>
          <w:szCs w:val="20"/>
        </w:rPr>
        <w:tab/>
        <w:t>Digitalization</w:t>
      </w:r>
    </w:p>
    <w:p w14:paraId="6BD75269"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 xml:space="preserve">A14. </w:t>
      </w:r>
      <w:r w:rsidRPr="000655FE">
        <w:rPr>
          <w:rFonts w:eastAsia="Times New Roman" w:cstheme="minorHAnsi"/>
          <w:color w:val="000000"/>
          <w:sz w:val="20"/>
          <w:szCs w:val="20"/>
        </w:rPr>
        <w:tab/>
        <w:t>Gender</w:t>
      </w:r>
    </w:p>
    <w:p w14:paraId="3E8182D3"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 xml:space="preserve">A15. </w:t>
      </w:r>
      <w:r w:rsidRPr="000655FE">
        <w:rPr>
          <w:rFonts w:eastAsia="Times New Roman" w:cstheme="minorHAnsi"/>
          <w:color w:val="000000"/>
          <w:sz w:val="20"/>
          <w:szCs w:val="20"/>
        </w:rPr>
        <w:tab/>
        <w:t>Indigenous peoples</w:t>
      </w:r>
    </w:p>
    <w:p w14:paraId="0984BC16" w14:textId="77777777" w:rsidR="0054112C" w:rsidRPr="000655FE" w:rsidRDefault="0054112C" w:rsidP="0054112C">
      <w:pPr>
        <w:pStyle w:val="ListParagraph"/>
        <w:spacing w:after="0" w:line="240" w:lineRule="auto"/>
        <w:ind w:left="768"/>
        <w:rPr>
          <w:rFonts w:eastAsia="Times New Roman" w:cstheme="minorHAnsi"/>
          <w:color w:val="000000"/>
          <w:sz w:val="20"/>
          <w:szCs w:val="20"/>
        </w:rPr>
      </w:pPr>
    </w:p>
    <w:p w14:paraId="44304CE4" w14:textId="77777777" w:rsidR="0054112C" w:rsidRPr="000655FE" w:rsidRDefault="0054112C" w:rsidP="00D25872">
      <w:pPr>
        <w:pStyle w:val="ListParagraph"/>
        <w:numPr>
          <w:ilvl w:val="0"/>
          <w:numId w:val="5"/>
        </w:numPr>
        <w:spacing w:after="0" w:line="240" w:lineRule="auto"/>
        <w:rPr>
          <w:rFonts w:eastAsia="Times New Roman" w:cstheme="minorHAnsi"/>
          <w:b/>
          <w:bCs/>
          <w:color w:val="000000"/>
          <w:sz w:val="20"/>
          <w:szCs w:val="20"/>
        </w:rPr>
      </w:pPr>
      <w:bookmarkStart w:id="24" w:name="_Hlk178839637"/>
      <w:r w:rsidRPr="000655FE">
        <w:rPr>
          <w:rFonts w:eastAsia="Times New Roman" w:cstheme="minorHAnsi"/>
          <w:b/>
          <w:bCs/>
          <w:color w:val="000000"/>
          <w:sz w:val="20"/>
          <w:szCs w:val="20"/>
        </w:rPr>
        <w:t>Structural, Alignment and Other Issues</w:t>
      </w:r>
      <w:bookmarkEnd w:id="24"/>
    </w:p>
    <w:p w14:paraId="0C02A9D0"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lang w:val="fr-FR"/>
        </w:rPr>
      </w:pPr>
      <w:r w:rsidRPr="000655FE">
        <w:rPr>
          <w:rFonts w:eastAsia="Times New Roman" w:cstheme="minorHAnsi"/>
          <w:color w:val="000000"/>
          <w:sz w:val="20"/>
          <w:szCs w:val="20"/>
          <w:lang w:val="fr-FR"/>
        </w:rPr>
        <w:t>B1.</w:t>
      </w:r>
      <w:r w:rsidRPr="000655FE">
        <w:rPr>
          <w:rFonts w:eastAsia="Times New Roman" w:cstheme="minorHAnsi"/>
          <w:color w:val="000000"/>
          <w:sz w:val="20"/>
          <w:szCs w:val="20"/>
          <w:lang w:val="fr-FR"/>
        </w:rPr>
        <w:tab/>
        <w:t>COFOG structure/classification principles</w:t>
      </w:r>
    </w:p>
    <w:p w14:paraId="5D394204"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B2.</w:t>
      </w:r>
      <w:r w:rsidRPr="000655FE">
        <w:rPr>
          <w:rFonts w:eastAsia="Times New Roman" w:cstheme="minorHAnsi"/>
          <w:color w:val="000000"/>
          <w:sz w:val="20"/>
          <w:szCs w:val="20"/>
        </w:rPr>
        <w:tab/>
        <w:t>Primary/secondary purpose</w:t>
      </w:r>
    </w:p>
    <w:p w14:paraId="78A668CB"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B3.</w:t>
      </w:r>
      <w:r w:rsidRPr="000655FE">
        <w:rPr>
          <w:rFonts w:eastAsia="Times New Roman" w:cstheme="minorHAnsi"/>
          <w:color w:val="000000"/>
          <w:sz w:val="20"/>
          <w:szCs w:val="20"/>
        </w:rPr>
        <w:tab/>
        <w:t>Additional uses of COFOG</w:t>
      </w:r>
    </w:p>
    <w:p w14:paraId="230F2FAE"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lastRenderedPageBreak/>
        <w:t>B4.</w:t>
      </w:r>
      <w:r w:rsidRPr="000655FE">
        <w:rPr>
          <w:rFonts w:eastAsia="Times New Roman" w:cstheme="minorHAnsi"/>
          <w:color w:val="000000"/>
          <w:sz w:val="20"/>
          <w:szCs w:val="20"/>
        </w:rPr>
        <w:tab/>
        <w:t>Compilation issues</w:t>
      </w:r>
    </w:p>
    <w:p w14:paraId="18A4EA79"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B5.</w:t>
      </w:r>
      <w:r w:rsidRPr="000655FE">
        <w:rPr>
          <w:rFonts w:eastAsia="Times New Roman" w:cstheme="minorHAnsi"/>
          <w:color w:val="000000"/>
          <w:sz w:val="20"/>
          <w:szCs w:val="20"/>
        </w:rPr>
        <w:tab/>
        <w:t>Individual/collective expenditure</w:t>
      </w:r>
    </w:p>
    <w:p w14:paraId="09C3E9A5"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B6.</w:t>
      </w:r>
      <w:r w:rsidRPr="000655FE">
        <w:rPr>
          <w:rFonts w:eastAsia="Times New Roman" w:cstheme="minorHAnsi"/>
          <w:color w:val="000000"/>
          <w:sz w:val="20"/>
          <w:szCs w:val="20"/>
        </w:rPr>
        <w:tab/>
        <w:t xml:space="preserve">Internal consistency with the other classifications of expenditure according to   </w:t>
      </w:r>
      <w:r w:rsidRPr="000655FE">
        <w:rPr>
          <w:rFonts w:eastAsia="Times New Roman" w:cstheme="minorHAnsi"/>
          <w:color w:val="000000"/>
          <w:sz w:val="20"/>
          <w:szCs w:val="20"/>
        </w:rPr>
        <w:tab/>
        <w:t>purpose, namely COICOP, COPP and COPNI</w:t>
      </w:r>
    </w:p>
    <w:p w14:paraId="3BE70F92" w14:textId="77777777" w:rsidR="0054112C" w:rsidRPr="000655FE" w:rsidRDefault="0054112C" w:rsidP="00D25872">
      <w:pPr>
        <w:pStyle w:val="ListParagraph"/>
        <w:numPr>
          <w:ilvl w:val="1"/>
          <w:numId w:val="5"/>
        </w:numPr>
        <w:spacing w:after="0" w:line="240" w:lineRule="auto"/>
        <w:rPr>
          <w:rFonts w:eastAsia="Times New Roman" w:cstheme="minorHAnsi"/>
          <w:color w:val="000000"/>
          <w:sz w:val="20"/>
          <w:szCs w:val="20"/>
        </w:rPr>
      </w:pPr>
      <w:r w:rsidRPr="000655FE">
        <w:rPr>
          <w:rFonts w:eastAsia="Times New Roman" w:cstheme="minorHAnsi"/>
          <w:color w:val="000000"/>
          <w:sz w:val="20"/>
          <w:szCs w:val="20"/>
        </w:rPr>
        <w:t>B7.</w:t>
      </w:r>
      <w:r w:rsidRPr="000655FE">
        <w:rPr>
          <w:rFonts w:eastAsia="Times New Roman" w:cstheme="minorHAnsi"/>
          <w:color w:val="000000"/>
          <w:sz w:val="20"/>
          <w:szCs w:val="20"/>
        </w:rPr>
        <w:tab/>
        <w:t>Alignment with other classifications/frameworks</w:t>
      </w:r>
    </w:p>
    <w:p w14:paraId="2A4D2975" w14:textId="77777777" w:rsidR="0054112C" w:rsidRPr="000655FE" w:rsidRDefault="0054112C" w:rsidP="0054112C">
      <w:pPr>
        <w:spacing w:after="0" w:line="240" w:lineRule="auto"/>
        <w:rPr>
          <w:rFonts w:eastAsia="Times New Roman" w:cstheme="minorHAnsi"/>
          <w:color w:val="000000"/>
          <w:sz w:val="20"/>
          <w:szCs w:val="20"/>
        </w:rPr>
      </w:pPr>
    </w:p>
    <w:p w14:paraId="6D3C4A0A" w14:textId="77777777" w:rsidR="0054112C" w:rsidRPr="000655FE" w:rsidRDefault="0054112C" w:rsidP="0054112C">
      <w:pPr>
        <w:spacing w:after="0" w:line="240" w:lineRule="auto"/>
        <w:jc w:val="both"/>
        <w:rPr>
          <w:rFonts w:eastAsia="Times New Roman" w:cstheme="minorHAnsi"/>
          <w:color w:val="000000"/>
          <w:sz w:val="20"/>
          <w:szCs w:val="20"/>
        </w:rPr>
      </w:pPr>
      <w:r w:rsidRPr="000655FE">
        <w:rPr>
          <w:rFonts w:eastAsia="Times New Roman" w:cstheme="minorHAnsi"/>
          <w:color w:val="000000"/>
          <w:sz w:val="20"/>
          <w:szCs w:val="20"/>
        </w:rPr>
        <w:t xml:space="preserve">Some issues, including the alignment with SNA and GFSM, are assumed to be fundamental and will be discussed during the course of the revision.  </w:t>
      </w:r>
    </w:p>
    <w:p w14:paraId="3CF147FC" w14:textId="77777777" w:rsidR="0054112C" w:rsidRPr="000655FE" w:rsidRDefault="0054112C" w:rsidP="0054112C">
      <w:pPr>
        <w:spacing w:after="0" w:line="240" w:lineRule="auto"/>
        <w:jc w:val="both"/>
        <w:rPr>
          <w:rFonts w:eastAsia="Times New Roman" w:cstheme="minorHAnsi"/>
          <w:color w:val="000000"/>
          <w:sz w:val="20"/>
          <w:szCs w:val="20"/>
        </w:rPr>
      </w:pPr>
    </w:p>
    <w:p w14:paraId="0F636D2F" w14:textId="77777777" w:rsidR="0054112C" w:rsidRPr="000655FE" w:rsidRDefault="0054112C" w:rsidP="0054112C">
      <w:pPr>
        <w:spacing w:after="0" w:line="240" w:lineRule="auto"/>
        <w:jc w:val="both"/>
        <w:rPr>
          <w:rFonts w:eastAsia="Times New Roman" w:cstheme="minorHAnsi"/>
          <w:color w:val="000000"/>
          <w:sz w:val="20"/>
          <w:szCs w:val="20"/>
        </w:rPr>
      </w:pPr>
      <w:r w:rsidRPr="000655FE">
        <w:rPr>
          <w:rFonts w:eastAsia="Times New Roman" w:cstheme="minorHAnsi"/>
          <w:color w:val="000000"/>
          <w:sz w:val="20"/>
          <w:szCs w:val="20"/>
        </w:rPr>
        <w:t xml:space="preserve">As noted above, issues pertaining to the alignment of classifications relating to environmental protection, health and education are considered as a part of thematic issue of the respective subject area under Group A.  </w:t>
      </w:r>
    </w:p>
    <w:p w14:paraId="7460675B" w14:textId="77777777" w:rsidR="0054112C" w:rsidRPr="000655FE" w:rsidRDefault="0054112C" w:rsidP="0054112C">
      <w:pPr>
        <w:pStyle w:val="NormalWeb"/>
        <w:spacing w:before="0" w:beforeAutospacing="0" w:after="0" w:afterAutospacing="0"/>
        <w:rPr>
          <w:sz w:val="20"/>
          <w:szCs w:val="20"/>
        </w:rPr>
      </w:pPr>
    </w:p>
    <w:p w14:paraId="316A129C" w14:textId="77777777" w:rsidR="0054112C" w:rsidRPr="000655FE" w:rsidRDefault="0054112C" w:rsidP="00D25872">
      <w:pPr>
        <w:pStyle w:val="ListParagraph"/>
        <w:numPr>
          <w:ilvl w:val="0"/>
          <w:numId w:val="2"/>
        </w:numPr>
        <w:spacing w:after="0" w:line="240" w:lineRule="auto"/>
        <w:rPr>
          <w:rFonts w:eastAsia="Arial" w:cstheme="minorHAnsi"/>
          <w:b/>
          <w:bCs/>
          <w:sz w:val="20"/>
          <w:szCs w:val="20"/>
          <w:lang w:eastAsia="en-US"/>
        </w:rPr>
      </w:pPr>
      <w:r w:rsidRPr="000655FE">
        <w:rPr>
          <w:rFonts w:eastAsia="Times New Roman" w:cstheme="minorHAnsi"/>
          <w:b/>
          <w:bCs/>
          <w:color w:val="000000"/>
          <w:sz w:val="20"/>
          <w:szCs w:val="20"/>
        </w:rPr>
        <w:t xml:space="preserve">The table below contains the initial list of issue categories that the TT-COFOG identified for the revision of COFOG. For each issue category, please indicate:  </w:t>
      </w:r>
    </w:p>
    <w:p w14:paraId="4D58AA96" w14:textId="77777777" w:rsidR="0054112C" w:rsidRPr="000655FE" w:rsidRDefault="0054112C" w:rsidP="0054112C">
      <w:pPr>
        <w:spacing w:after="0" w:line="240" w:lineRule="auto"/>
        <w:rPr>
          <w:rFonts w:eastAsia="Arial" w:cstheme="minorHAnsi"/>
          <w:b/>
          <w:bCs/>
          <w:sz w:val="20"/>
          <w:szCs w:val="20"/>
          <w:lang w:eastAsia="en-US"/>
        </w:rPr>
      </w:pPr>
    </w:p>
    <w:p w14:paraId="5D951402" w14:textId="77777777" w:rsidR="0054112C" w:rsidRPr="000655FE" w:rsidRDefault="0054112C" w:rsidP="00D25872">
      <w:pPr>
        <w:pStyle w:val="ListParagraph"/>
        <w:numPr>
          <w:ilvl w:val="0"/>
          <w:numId w:val="24"/>
        </w:numPr>
        <w:spacing w:after="0" w:line="240" w:lineRule="auto"/>
        <w:rPr>
          <w:rFonts w:eastAsia="Arial" w:cstheme="minorHAnsi"/>
          <w:b/>
          <w:bCs/>
          <w:sz w:val="20"/>
          <w:szCs w:val="20"/>
          <w:lang w:eastAsia="en-US"/>
        </w:rPr>
      </w:pPr>
      <w:r w:rsidRPr="000655FE">
        <w:rPr>
          <w:rFonts w:eastAsia="Times New Roman" w:cstheme="minorHAnsi"/>
          <w:b/>
          <w:bCs/>
          <w:color w:val="000000"/>
          <w:sz w:val="20"/>
          <w:szCs w:val="20"/>
        </w:rPr>
        <w:t>Whether the issue category and its related proposals should be considered during the revision of COFOG</w:t>
      </w:r>
    </w:p>
    <w:p w14:paraId="3B2D708F" w14:textId="77777777" w:rsidR="0054112C" w:rsidRPr="000655FE" w:rsidRDefault="0054112C" w:rsidP="00D25872">
      <w:pPr>
        <w:pStyle w:val="ListParagraph"/>
        <w:numPr>
          <w:ilvl w:val="0"/>
          <w:numId w:val="24"/>
        </w:numPr>
        <w:spacing w:after="0" w:line="240" w:lineRule="auto"/>
        <w:rPr>
          <w:rFonts w:eastAsia="Arial" w:cstheme="minorHAnsi"/>
          <w:b/>
          <w:bCs/>
          <w:sz w:val="20"/>
          <w:szCs w:val="20"/>
          <w:lang w:eastAsia="en-US"/>
        </w:rPr>
      </w:pPr>
      <w:r w:rsidRPr="000655FE">
        <w:rPr>
          <w:rFonts w:eastAsia="Times New Roman" w:cstheme="minorHAnsi"/>
          <w:b/>
          <w:bCs/>
          <w:color w:val="000000"/>
          <w:sz w:val="20"/>
          <w:szCs w:val="20"/>
        </w:rPr>
        <w:t>If so, whether you consider the issue category to be high, medium or low priority</w:t>
      </w:r>
    </w:p>
    <w:p w14:paraId="59440400" w14:textId="77777777" w:rsidR="0054112C" w:rsidRPr="000655FE" w:rsidRDefault="0054112C" w:rsidP="00D25872">
      <w:pPr>
        <w:pStyle w:val="ListParagraph"/>
        <w:numPr>
          <w:ilvl w:val="0"/>
          <w:numId w:val="24"/>
        </w:numPr>
        <w:spacing w:after="0" w:line="240" w:lineRule="auto"/>
        <w:rPr>
          <w:rFonts w:eastAsia="Arial" w:cstheme="minorHAnsi"/>
          <w:b/>
          <w:bCs/>
          <w:sz w:val="20"/>
          <w:szCs w:val="20"/>
          <w:lang w:eastAsia="en-US"/>
        </w:rPr>
      </w:pPr>
      <w:r w:rsidRPr="000655FE">
        <w:rPr>
          <w:rFonts w:eastAsia="Arial" w:cstheme="minorHAnsi"/>
          <w:b/>
          <w:bCs/>
          <w:sz w:val="20"/>
          <w:szCs w:val="20"/>
          <w:lang w:eastAsia="en-US"/>
        </w:rPr>
        <w:t>How easy it would be to implement a revision of COFOG stemming from this issue category</w:t>
      </w:r>
    </w:p>
    <w:p w14:paraId="215A5CFA" w14:textId="77777777" w:rsidR="0054112C" w:rsidRPr="000655FE" w:rsidRDefault="0054112C" w:rsidP="00D25872">
      <w:pPr>
        <w:pStyle w:val="ListParagraph"/>
        <w:numPr>
          <w:ilvl w:val="0"/>
          <w:numId w:val="24"/>
        </w:numPr>
        <w:spacing w:after="0" w:line="240" w:lineRule="auto"/>
        <w:rPr>
          <w:rFonts w:eastAsia="Arial" w:cstheme="minorHAnsi"/>
          <w:b/>
          <w:bCs/>
          <w:sz w:val="20"/>
          <w:szCs w:val="20"/>
          <w:lang w:eastAsia="en-US"/>
        </w:rPr>
      </w:pPr>
      <w:r w:rsidRPr="000655FE">
        <w:rPr>
          <w:rFonts w:eastAsia="Arial" w:cstheme="minorHAnsi"/>
          <w:b/>
          <w:bCs/>
          <w:sz w:val="20"/>
          <w:szCs w:val="20"/>
          <w:lang w:eastAsia="en-US"/>
        </w:rPr>
        <w:t>Any comments on the issue category</w:t>
      </w:r>
    </w:p>
    <w:p w14:paraId="22ADA8A8" w14:textId="77777777" w:rsidR="0054112C" w:rsidRPr="000655FE" w:rsidRDefault="0054112C" w:rsidP="0054112C">
      <w:pPr>
        <w:pStyle w:val="ListParagraph"/>
        <w:spacing w:after="0" w:line="240" w:lineRule="auto"/>
        <w:ind w:left="360"/>
        <w:rPr>
          <w:rFonts w:eastAsia="Times New Roman" w:cstheme="minorHAnsi"/>
          <w:color w:val="000000"/>
          <w:sz w:val="20"/>
          <w:szCs w:val="20"/>
        </w:rPr>
      </w:pPr>
    </w:p>
    <w:p w14:paraId="7B2BF398" w14:textId="77777777" w:rsidR="0054112C" w:rsidRPr="000655FE" w:rsidRDefault="0054112C" w:rsidP="0054112C">
      <w:pPr>
        <w:spacing w:after="0" w:line="240" w:lineRule="auto"/>
        <w:jc w:val="both"/>
        <w:rPr>
          <w:rFonts w:eastAsia="Times New Roman" w:cstheme="minorHAnsi"/>
          <w:color w:val="000000"/>
          <w:sz w:val="20"/>
          <w:szCs w:val="20"/>
        </w:rPr>
      </w:pPr>
      <w:r w:rsidRPr="000655FE">
        <w:rPr>
          <w:rFonts w:eastAsia="Times New Roman" w:cstheme="minorHAnsi"/>
          <w:color w:val="000000"/>
          <w:sz w:val="20"/>
          <w:szCs w:val="20"/>
        </w:rPr>
        <w:t xml:space="preserve">Detailed descriptions of the proposals relating to each issue category are available in Annex I of this document.  </w:t>
      </w:r>
    </w:p>
    <w:p w14:paraId="602D01C2" w14:textId="77777777" w:rsidR="0054112C" w:rsidRPr="009217D0" w:rsidRDefault="0054112C" w:rsidP="0054112C">
      <w:pPr>
        <w:spacing w:after="0" w:line="240" w:lineRule="auto"/>
        <w:rPr>
          <w:rFonts w:eastAsia="Times New Roman" w:cstheme="minorHAnsi"/>
          <w:b/>
          <w:bCs/>
          <w:color w:val="000000"/>
          <w:sz w:val="8"/>
          <w:szCs w:val="8"/>
        </w:rPr>
      </w:pPr>
    </w:p>
    <w:p w14:paraId="39A94CEA" w14:textId="77777777" w:rsidR="0054112C" w:rsidRPr="009217D0" w:rsidRDefault="0054112C" w:rsidP="0054112C">
      <w:pPr>
        <w:spacing w:after="0" w:line="240" w:lineRule="auto"/>
        <w:rPr>
          <w:rFonts w:eastAsia="Times New Roman" w:cstheme="minorHAnsi"/>
          <w:b/>
          <w:bCs/>
          <w:color w:val="000000"/>
          <w:sz w:val="8"/>
          <w:szCs w:val="8"/>
        </w:rPr>
      </w:pPr>
    </w:p>
    <w:p w14:paraId="2EF873E4" w14:textId="77777777" w:rsidR="0054112C" w:rsidRPr="009217D0" w:rsidRDefault="0054112C" w:rsidP="0054112C">
      <w:pPr>
        <w:spacing w:after="0" w:line="240" w:lineRule="auto"/>
        <w:rPr>
          <w:rFonts w:eastAsia="Times New Roman" w:cstheme="minorHAnsi"/>
          <w:b/>
          <w:bCs/>
          <w:color w:val="000000"/>
          <w:sz w:val="8"/>
          <w:szCs w:val="8"/>
        </w:rPr>
      </w:pPr>
    </w:p>
    <w:tbl>
      <w:tblPr>
        <w:tblStyle w:val="TableGrid"/>
        <w:tblW w:w="10440" w:type="dxa"/>
        <w:tblInd w:w="-275" w:type="dxa"/>
        <w:tblLook w:val="04A0" w:firstRow="1" w:lastRow="0" w:firstColumn="1" w:lastColumn="0" w:noHBand="0" w:noVBand="1"/>
      </w:tblPr>
      <w:tblGrid>
        <w:gridCol w:w="549"/>
        <w:gridCol w:w="2814"/>
        <w:gridCol w:w="1317"/>
        <w:gridCol w:w="1980"/>
        <w:gridCol w:w="2070"/>
        <w:gridCol w:w="1710"/>
      </w:tblGrid>
      <w:tr w:rsidR="0054112C" w14:paraId="417F2271" w14:textId="77777777" w:rsidTr="0050018A">
        <w:trPr>
          <w:tblHeader/>
        </w:trPr>
        <w:tc>
          <w:tcPr>
            <w:tcW w:w="549" w:type="dxa"/>
          </w:tcPr>
          <w:p w14:paraId="0C82C53A" w14:textId="77777777" w:rsidR="0054112C" w:rsidRPr="00DF135A" w:rsidRDefault="0054112C" w:rsidP="00A9220E">
            <w:pPr>
              <w:rPr>
                <w:rFonts w:eastAsia="Times New Roman" w:cstheme="minorHAnsi"/>
                <w:color w:val="000000"/>
                <w:sz w:val="20"/>
                <w:szCs w:val="20"/>
                <w:lang w:val="en-GB"/>
              </w:rPr>
            </w:pPr>
          </w:p>
        </w:tc>
        <w:tc>
          <w:tcPr>
            <w:tcW w:w="2814" w:type="dxa"/>
          </w:tcPr>
          <w:p w14:paraId="0FD4FBEB" w14:textId="77777777" w:rsidR="0054112C" w:rsidRPr="00DF135A" w:rsidRDefault="0054112C" w:rsidP="00A9220E">
            <w:pPr>
              <w:rPr>
                <w:rFonts w:eastAsia="Times New Roman" w:cstheme="minorHAnsi"/>
                <w:color w:val="000000"/>
                <w:sz w:val="20"/>
                <w:szCs w:val="20"/>
                <w:lang w:val="en-GB"/>
              </w:rPr>
            </w:pPr>
            <w:r>
              <w:rPr>
                <w:rFonts w:eastAsia="Times New Roman" w:cstheme="minorHAnsi"/>
                <w:color w:val="000000"/>
                <w:sz w:val="20"/>
                <w:szCs w:val="20"/>
                <w:lang w:val="en-GB"/>
              </w:rPr>
              <w:t>Issue category</w:t>
            </w:r>
          </w:p>
        </w:tc>
        <w:tc>
          <w:tcPr>
            <w:tcW w:w="1317" w:type="dxa"/>
          </w:tcPr>
          <w:p w14:paraId="78D12289" w14:textId="77777777" w:rsidR="0054112C" w:rsidRPr="00DF135A" w:rsidRDefault="0054112C" w:rsidP="00A9220E">
            <w:pPr>
              <w:rPr>
                <w:rFonts w:eastAsia="Times New Roman" w:cstheme="minorHAnsi"/>
                <w:color w:val="000000"/>
                <w:sz w:val="20"/>
                <w:szCs w:val="20"/>
                <w:lang w:val="en-GB"/>
              </w:rPr>
            </w:pPr>
            <w:r>
              <w:rPr>
                <w:rFonts w:eastAsia="Times New Roman" w:cstheme="minorHAnsi"/>
                <w:color w:val="000000"/>
                <w:sz w:val="20"/>
                <w:szCs w:val="20"/>
                <w:lang w:val="en-GB"/>
              </w:rPr>
              <w:t>i) Should the issue category be included in revision process? Yes (Y) or   No (N)</w:t>
            </w:r>
          </w:p>
        </w:tc>
        <w:tc>
          <w:tcPr>
            <w:tcW w:w="1980" w:type="dxa"/>
          </w:tcPr>
          <w:p w14:paraId="0A26DC81" w14:textId="77777777" w:rsidR="0054112C" w:rsidRPr="00DF135A" w:rsidRDefault="0054112C" w:rsidP="00A9220E">
            <w:pPr>
              <w:rPr>
                <w:rFonts w:eastAsia="Times New Roman" w:cstheme="minorHAnsi"/>
                <w:color w:val="000000"/>
                <w:sz w:val="20"/>
                <w:szCs w:val="20"/>
                <w:lang w:val="en-GB"/>
              </w:rPr>
            </w:pPr>
            <w:r>
              <w:rPr>
                <w:rFonts w:eastAsia="Times New Roman" w:cstheme="minorHAnsi"/>
                <w:color w:val="000000"/>
                <w:sz w:val="20"/>
                <w:szCs w:val="20"/>
                <w:lang w:val="en-GB"/>
              </w:rPr>
              <w:t>ii) If yes, please note whether you consider the issue category to be high (H), medium (M), or low (L) priority:</w:t>
            </w:r>
          </w:p>
        </w:tc>
        <w:tc>
          <w:tcPr>
            <w:tcW w:w="2070" w:type="dxa"/>
          </w:tcPr>
          <w:p w14:paraId="0FE608B9" w14:textId="77777777" w:rsidR="0054112C" w:rsidRDefault="0054112C" w:rsidP="00A9220E">
            <w:pPr>
              <w:rPr>
                <w:rFonts w:eastAsia="Times New Roman" w:cstheme="minorHAnsi"/>
                <w:color w:val="000000"/>
                <w:sz w:val="20"/>
                <w:szCs w:val="20"/>
                <w:lang w:val="en-GB"/>
              </w:rPr>
            </w:pPr>
            <w:r>
              <w:rPr>
                <w:rFonts w:eastAsia="Times New Roman" w:cstheme="minorHAnsi"/>
                <w:color w:val="000000"/>
                <w:sz w:val="20"/>
                <w:szCs w:val="20"/>
                <w:lang w:val="en-GB"/>
              </w:rPr>
              <w:t xml:space="preserve">iii) </w:t>
            </w:r>
            <w:r w:rsidRPr="008C0F76">
              <w:rPr>
                <w:rFonts w:eastAsia="Times New Roman" w:cstheme="minorHAnsi"/>
                <w:color w:val="000000"/>
                <w:sz w:val="20"/>
                <w:szCs w:val="20"/>
                <w:u w:val="single"/>
                <w:lang w:val="en-GB"/>
              </w:rPr>
              <w:t>For compilers only</w:t>
            </w:r>
            <w:r w:rsidRPr="00C47792">
              <w:rPr>
                <w:rFonts w:eastAsia="Times New Roman" w:cstheme="minorHAnsi"/>
                <w:color w:val="000000"/>
                <w:sz w:val="20"/>
                <w:szCs w:val="20"/>
                <w:lang w:val="en-GB"/>
              </w:rPr>
              <w:t xml:space="preserve">: </w:t>
            </w:r>
            <w:r>
              <w:rPr>
                <w:rFonts w:eastAsia="Times New Roman" w:cstheme="minorHAnsi"/>
                <w:color w:val="000000"/>
                <w:sz w:val="20"/>
                <w:szCs w:val="20"/>
                <w:lang w:val="en-GB"/>
              </w:rPr>
              <w:t>N</w:t>
            </w:r>
            <w:r w:rsidRPr="00C47792">
              <w:rPr>
                <w:rFonts w:eastAsia="Times New Roman" w:cstheme="minorHAnsi"/>
                <w:color w:val="000000"/>
                <w:sz w:val="20"/>
                <w:szCs w:val="20"/>
                <w:lang w:val="en-GB"/>
              </w:rPr>
              <w:t>ote whether you consider implementing a revision of COFOG stemming from this issue category to be easy (E), moderate (M) or difficult (D)</w:t>
            </w:r>
            <w:r>
              <w:rPr>
                <w:rFonts w:eastAsia="Times New Roman" w:cstheme="minorHAnsi"/>
                <w:color w:val="000000"/>
                <w:sz w:val="20"/>
                <w:szCs w:val="20"/>
                <w:lang w:val="en-GB"/>
              </w:rPr>
              <w:t>:</w:t>
            </w:r>
          </w:p>
        </w:tc>
        <w:tc>
          <w:tcPr>
            <w:tcW w:w="1710" w:type="dxa"/>
          </w:tcPr>
          <w:p w14:paraId="06E95C1B" w14:textId="77777777" w:rsidR="0054112C" w:rsidRPr="00DF135A" w:rsidRDefault="0054112C" w:rsidP="00A9220E">
            <w:pPr>
              <w:rPr>
                <w:rFonts w:eastAsia="Times New Roman" w:cstheme="minorHAnsi"/>
                <w:color w:val="000000"/>
                <w:sz w:val="20"/>
                <w:szCs w:val="20"/>
                <w:lang w:val="en-GB"/>
              </w:rPr>
            </w:pPr>
            <w:r>
              <w:rPr>
                <w:rFonts w:eastAsia="Times New Roman" w:cstheme="minorHAnsi"/>
                <w:color w:val="000000"/>
                <w:sz w:val="20"/>
                <w:szCs w:val="20"/>
                <w:lang w:val="en-GB"/>
              </w:rPr>
              <w:t>iv) Comments</w:t>
            </w:r>
          </w:p>
        </w:tc>
      </w:tr>
      <w:tr w:rsidR="0054112C" w14:paraId="34008C8B" w14:textId="77777777" w:rsidTr="0050018A">
        <w:tc>
          <w:tcPr>
            <w:tcW w:w="549" w:type="dxa"/>
            <w:vAlign w:val="center"/>
          </w:tcPr>
          <w:p w14:paraId="45593074" w14:textId="77777777" w:rsidR="0054112C" w:rsidRDefault="0054112C" w:rsidP="00A9220E">
            <w:pPr>
              <w:rPr>
                <w:rFonts w:eastAsia="Times New Roman" w:cstheme="minorHAnsi"/>
                <w:color w:val="000000"/>
                <w:lang w:val="en-GB"/>
              </w:rPr>
            </w:pPr>
            <w:r w:rsidRPr="004C1A39">
              <w:rPr>
                <w:rFonts w:eastAsia="Tahoma" w:cstheme="minorHAnsi"/>
                <w:sz w:val="20"/>
                <w:szCs w:val="20"/>
                <w:lang w:eastAsia="en-US"/>
              </w:rPr>
              <w:t>A01</w:t>
            </w:r>
          </w:p>
        </w:tc>
        <w:tc>
          <w:tcPr>
            <w:tcW w:w="2814" w:type="dxa"/>
            <w:vAlign w:val="center"/>
          </w:tcPr>
          <w:p w14:paraId="09A49F18" w14:textId="77777777" w:rsidR="0054112C" w:rsidRDefault="0054112C" w:rsidP="00A9220E">
            <w:pPr>
              <w:rPr>
                <w:rFonts w:eastAsia="Times New Roman" w:cstheme="minorHAnsi"/>
                <w:color w:val="000000"/>
                <w:lang w:val="en-GB"/>
              </w:rPr>
            </w:pPr>
            <w:r w:rsidRPr="004C1A39">
              <w:rPr>
                <w:rFonts w:eastAsia="Tahoma" w:cstheme="minorHAnsi"/>
                <w:sz w:val="20"/>
                <w:szCs w:val="20"/>
                <w:lang w:eastAsia="en-US"/>
              </w:rPr>
              <w:t>General public services</w:t>
            </w:r>
          </w:p>
        </w:tc>
        <w:tc>
          <w:tcPr>
            <w:tcW w:w="1317" w:type="dxa"/>
          </w:tcPr>
          <w:p w14:paraId="0B78241A" w14:textId="77777777" w:rsidR="0054112C" w:rsidRDefault="0054112C" w:rsidP="00A9220E">
            <w:pPr>
              <w:jc w:val="center"/>
              <w:rPr>
                <w:rFonts w:eastAsia="Times New Roman" w:cstheme="minorHAnsi"/>
                <w:color w:val="000000"/>
                <w:lang w:val="en-GB"/>
              </w:rPr>
            </w:pPr>
          </w:p>
        </w:tc>
        <w:tc>
          <w:tcPr>
            <w:tcW w:w="1980" w:type="dxa"/>
          </w:tcPr>
          <w:p w14:paraId="1B0DBEC2" w14:textId="77777777" w:rsidR="0054112C" w:rsidRDefault="0054112C" w:rsidP="00A9220E">
            <w:pPr>
              <w:jc w:val="center"/>
              <w:rPr>
                <w:rFonts w:eastAsia="Times New Roman" w:cstheme="minorHAnsi"/>
                <w:color w:val="000000"/>
                <w:lang w:val="en-GB"/>
              </w:rPr>
            </w:pPr>
          </w:p>
        </w:tc>
        <w:tc>
          <w:tcPr>
            <w:tcW w:w="2070" w:type="dxa"/>
          </w:tcPr>
          <w:p w14:paraId="795BCCA0" w14:textId="77777777" w:rsidR="0054112C" w:rsidRDefault="0054112C" w:rsidP="00A9220E">
            <w:pPr>
              <w:rPr>
                <w:rFonts w:eastAsia="Times New Roman" w:cstheme="minorHAnsi"/>
                <w:color w:val="000000"/>
                <w:lang w:val="en-GB"/>
              </w:rPr>
            </w:pPr>
          </w:p>
        </w:tc>
        <w:tc>
          <w:tcPr>
            <w:tcW w:w="1710" w:type="dxa"/>
          </w:tcPr>
          <w:p w14:paraId="51C60026" w14:textId="77777777" w:rsidR="0054112C" w:rsidRDefault="0054112C" w:rsidP="00A9220E">
            <w:pPr>
              <w:rPr>
                <w:rFonts w:eastAsia="Times New Roman" w:cstheme="minorHAnsi"/>
                <w:color w:val="000000"/>
                <w:lang w:val="en-GB"/>
              </w:rPr>
            </w:pPr>
          </w:p>
        </w:tc>
      </w:tr>
      <w:tr w:rsidR="0054112C" w14:paraId="0D4FA806" w14:textId="77777777" w:rsidTr="0050018A">
        <w:tc>
          <w:tcPr>
            <w:tcW w:w="549" w:type="dxa"/>
            <w:vAlign w:val="center"/>
          </w:tcPr>
          <w:p w14:paraId="141C8910" w14:textId="77777777" w:rsidR="0054112C" w:rsidRDefault="0054112C" w:rsidP="00A9220E">
            <w:pPr>
              <w:rPr>
                <w:rFonts w:eastAsia="Times New Roman" w:cstheme="minorHAnsi"/>
                <w:color w:val="000000"/>
                <w:lang w:val="en-GB"/>
              </w:rPr>
            </w:pPr>
            <w:r w:rsidRPr="004C1A39">
              <w:rPr>
                <w:rFonts w:eastAsia="Tahoma" w:cstheme="minorHAnsi"/>
                <w:sz w:val="20"/>
                <w:szCs w:val="20"/>
                <w:lang w:eastAsia="en-US"/>
              </w:rPr>
              <w:t>A02</w:t>
            </w:r>
          </w:p>
        </w:tc>
        <w:tc>
          <w:tcPr>
            <w:tcW w:w="2814" w:type="dxa"/>
            <w:vAlign w:val="center"/>
          </w:tcPr>
          <w:p w14:paraId="25C2F91D" w14:textId="77777777" w:rsidR="0054112C" w:rsidRDefault="0054112C" w:rsidP="00A9220E">
            <w:pPr>
              <w:rPr>
                <w:rFonts w:eastAsia="Times New Roman" w:cstheme="minorHAnsi"/>
                <w:color w:val="000000"/>
                <w:lang w:val="en-GB"/>
              </w:rPr>
            </w:pPr>
            <w:r w:rsidRPr="004C1A39">
              <w:rPr>
                <w:rFonts w:eastAsia="Times New Roman" w:cstheme="minorHAnsi"/>
                <w:sz w:val="20"/>
                <w:szCs w:val="20"/>
                <w:lang w:eastAsia="en-US"/>
              </w:rPr>
              <w:t>Defence</w:t>
            </w:r>
          </w:p>
        </w:tc>
        <w:tc>
          <w:tcPr>
            <w:tcW w:w="1317" w:type="dxa"/>
          </w:tcPr>
          <w:p w14:paraId="43DBA042" w14:textId="77777777" w:rsidR="0054112C" w:rsidRDefault="0054112C" w:rsidP="00A9220E">
            <w:pPr>
              <w:jc w:val="center"/>
              <w:rPr>
                <w:rFonts w:eastAsia="Times New Roman" w:cstheme="minorHAnsi"/>
                <w:color w:val="000000"/>
                <w:lang w:val="en-GB"/>
              </w:rPr>
            </w:pPr>
          </w:p>
        </w:tc>
        <w:tc>
          <w:tcPr>
            <w:tcW w:w="1980" w:type="dxa"/>
          </w:tcPr>
          <w:p w14:paraId="5B9FCBD5" w14:textId="77777777" w:rsidR="0054112C" w:rsidRDefault="0054112C" w:rsidP="00A9220E">
            <w:pPr>
              <w:jc w:val="center"/>
              <w:rPr>
                <w:rFonts w:eastAsia="Times New Roman" w:cstheme="minorHAnsi"/>
                <w:color w:val="000000"/>
                <w:lang w:val="en-GB"/>
              </w:rPr>
            </w:pPr>
          </w:p>
        </w:tc>
        <w:tc>
          <w:tcPr>
            <w:tcW w:w="2070" w:type="dxa"/>
          </w:tcPr>
          <w:p w14:paraId="1C5B8BA3" w14:textId="77777777" w:rsidR="0054112C" w:rsidRDefault="0054112C" w:rsidP="00A9220E">
            <w:pPr>
              <w:rPr>
                <w:rFonts w:eastAsia="Times New Roman" w:cstheme="minorHAnsi"/>
                <w:color w:val="000000"/>
                <w:lang w:val="en-GB"/>
              </w:rPr>
            </w:pPr>
          </w:p>
        </w:tc>
        <w:tc>
          <w:tcPr>
            <w:tcW w:w="1710" w:type="dxa"/>
          </w:tcPr>
          <w:p w14:paraId="7F08BD35" w14:textId="77777777" w:rsidR="0054112C" w:rsidRDefault="0054112C" w:rsidP="00A9220E">
            <w:pPr>
              <w:rPr>
                <w:rFonts w:eastAsia="Times New Roman" w:cstheme="minorHAnsi"/>
                <w:color w:val="000000"/>
                <w:lang w:val="en-GB"/>
              </w:rPr>
            </w:pPr>
          </w:p>
        </w:tc>
      </w:tr>
      <w:tr w:rsidR="0054112C" w14:paraId="0BB73717" w14:textId="77777777" w:rsidTr="0050018A">
        <w:tc>
          <w:tcPr>
            <w:tcW w:w="549" w:type="dxa"/>
            <w:vAlign w:val="center"/>
          </w:tcPr>
          <w:p w14:paraId="43ED94C5" w14:textId="77777777" w:rsidR="0054112C" w:rsidRDefault="0054112C" w:rsidP="00A9220E">
            <w:pPr>
              <w:rPr>
                <w:rFonts w:eastAsia="Times New Roman" w:cstheme="minorHAnsi"/>
                <w:color w:val="000000"/>
                <w:lang w:val="en-GB"/>
              </w:rPr>
            </w:pPr>
            <w:r w:rsidRPr="004C1A39">
              <w:rPr>
                <w:rFonts w:eastAsia="Tahoma" w:cstheme="minorHAnsi"/>
                <w:sz w:val="20"/>
                <w:szCs w:val="20"/>
                <w:lang w:eastAsia="en-US"/>
              </w:rPr>
              <w:t>A03</w:t>
            </w:r>
          </w:p>
        </w:tc>
        <w:tc>
          <w:tcPr>
            <w:tcW w:w="2814" w:type="dxa"/>
            <w:vAlign w:val="center"/>
          </w:tcPr>
          <w:p w14:paraId="0C7111F3" w14:textId="77777777" w:rsidR="0054112C" w:rsidRDefault="0054112C" w:rsidP="00A9220E">
            <w:pPr>
              <w:rPr>
                <w:rFonts w:eastAsia="Times New Roman" w:cstheme="minorHAnsi"/>
                <w:color w:val="000000"/>
                <w:lang w:val="en-GB"/>
              </w:rPr>
            </w:pPr>
            <w:r w:rsidRPr="004C1A39">
              <w:rPr>
                <w:rFonts w:eastAsia="Times New Roman" w:cstheme="minorHAnsi"/>
                <w:sz w:val="20"/>
                <w:szCs w:val="20"/>
                <w:lang w:eastAsia="en-US"/>
              </w:rPr>
              <w:t>Public order and safety</w:t>
            </w:r>
          </w:p>
        </w:tc>
        <w:tc>
          <w:tcPr>
            <w:tcW w:w="1317" w:type="dxa"/>
          </w:tcPr>
          <w:p w14:paraId="68CA5C95" w14:textId="77777777" w:rsidR="0054112C" w:rsidRDefault="0054112C" w:rsidP="00A9220E">
            <w:pPr>
              <w:jc w:val="center"/>
              <w:rPr>
                <w:rFonts w:eastAsia="Times New Roman" w:cstheme="minorHAnsi"/>
                <w:color w:val="000000"/>
                <w:lang w:val="en-GB"/>
              </w:rPr>
            </w:pPr>
          </w:p>
        </w:tc>
        <w:tc>
          <w:tcPr>
            <w:tcW w:w="1980" w:type="dxa"/>
          </w:tcPr>
          <w:p w14:paraId="364EC102" w14:textId="77777777" w:rsidR="0054112C" w:rsidRDefault="0054112C" w:rsidP="00A9220E">
            <w:pPr>
              <w:jc w:val="center"/>
              <w:rPr>
                <w:rFonts w:eastAsia="Times New Roman" w:cstheme="minorHAnsi"/>
                <w:color w:val="000000"/>
                <w:lang w:val="en-GB"/>
              </w:rPr>
            </w:pPr>
          </w:p>
        </w:tc>
        <w:tc>
          <w:tcPr>
            <w:tcW w:w="2070" w:type="dxa"/>
          </w:tcPr>
          <w:p w14:paraId="064F2D64" w14:textId="77777777" w:rsidR="0054112C" w:rsidRDefault="0054112C" w:rsidP="00A9220E">
            <w:pPr>
              <w:rPr>
                <w:rFonts w:eastAsia="Times New Roman" w:cstheme="minorHAnsi"/>
                <w:color w:val="000000"/>
                <w:lang w:val="en-GB"/>
              </w:rPr>
            </w:pPr>
          </w:p>
        </w:tc>
        <w:tc>
          <w:tcPr>
            <w:tcW w:w="1710" w:type="dxa"/>
          </w:tcPr>
          <w:p w14:paraId="268D09A1" w14:textId="77777777" w:rsidR="0054112C" w:rsidRDefault="0054112C" w:rsidP="00A9220E">
            <w:pPr>
              <w:rPr>
                <w:rFonts w:eastAsia="Times New Roman" w:cstheme="minorHAnsi"/>
                <w:color w:val="000000"/>
                <w:lang w:val="en-GB"/>
              </w:rPr>
            </w:pPr>
          </w:p>
        </w:tc>
      </w:tr>
      <w:tr w:rsidR="0054112C" w14:paraId="280D67A6" w14:textId="77777777" w:rsidTr="0050018A">
        <w:tc>
          <w:tcPr>
            <w:tcW w:w="549" w:type="dxa"/>
            <w:vAlign w:val="center"/>
          </w:tcPr>
          <w:p w14:paraId="0EC9196B" w14:textId="77777777" w:rsidR="0054112C" w:rsidRDefault="0054112C" w:rsidP="00A9220E">
            <w:pPr>
              <w:rPr>
                <w:rFonts w:eastAsia="Times New Roman" w:cstheme="minorHAnsi"/>
                <w:color w:val="000000"/>
                <w:lang w:val="en-GB"/>
              </w:rPr>
            </w:pPr>
            <w:r w:rsidRPr="004C1A39">
              <w:rPr>
                <w:rFonts w:eastAsia="Tahoma" w:cstheme="minorHAnsi"/>
                <w:sz w:val="20"/>
                <w:szCs w:val="20"/>
                <w:lang w:eastAsia="en-US"/>
              </w:rPr>
              <w:t>A04</w:t>
            </w:r>
          </w:p>
        </w:tc>
        <w:tc>
          <w:tcPr>
            <w:tcW w:w="2814" w:type="dxa"/>
            <w:vAlign w:val="center"/>
          </w:tcPr>
          <w:p w14:paraId="53E0C9DA" w14:textId="77777777" w:rsidR="0054112C" w:rsidRDefault="0054112C" w:rsidP="00A9220E">
            <w:pPr>
              <w:rPr>
                <w:rFonts w:eastAsia="Times New Roman" w:cstheme="minorHAnsi"/>
                <w:color w:val="000000"/>
                <w:lang w:val="en-GB"/>
              </w:rPr>
            </w:pPr>
            <w:r w:rsidRPr="004C1A39">
              <w:rPr>
                <w:rFonts w:eastAsia="Times New Roman" w:cstheme="minorHAnsi"/>
                <w:sz w:val="20"/>
                <w:szCs w:val="20"/>
                <w:lang w:eastAsia="en-US"/>
              </w:rPr>
              <w:t>Economic affairs</w:t>
            </w:r>
          </w:p>
        </w:tc>
        <w:tc>
          <w:tcPr>
            <w:tcW w:w="1317" w:type="dxa"/>
          </w:tcPr>
          <w:p w14:paraId="71ACA1EF" w14:textId="77777777" w:rsidR="0054112C" w:rsidRDefault="0054112C" w:rsidP="00A9220E">
            <w:pPr>
              <w:jc w:val="center"/>
              <w:rPr>
                <w:rFonts w:eastAsia="Times New Roman" w:cstheme="minorHAnsi"/>
                <w:color w:val="000000"/>
                <w:lang w:val="en-GB"/>
              </w:rPr>
            </w:pPr>
          </w:p>
        </w:tc>
        <w:tc>
          <w:tcPr>
            <w:tcW w:w="1980" w:type="dxa"/>
          </w:tcPr>
          <w:p w14:paraId="06CD43B1" w14:textId="77777777" w:rsidR="0054112C" w:rsidRDefault="0054112C" w:rsidP="00A9220E">
            <w:pPr>
              <w:jc w:val="center"/>
              <w:rPr>
                <w:rFonts w:eastAsia="Times New Roman" w:cstheme="minorHAnsi"/>
                <w:color w:val="000000"/>
                <w:lang w:val="en-GB"/>
              </w:rPr>
            </w:pPr>
          </w:p>
        </w:tc>
        <w:tc>
          <w:tcPr>
            <w:tcW w:w="2070" w:type="dxa"/>
          </w:tcPr>
          <w:p w14:paraId="0BAA8624" w14:textId="77777777" w:rsidR="0054112C" w:rsidRDefault="0054112C" w:rsidP="00A9220E">
            <w:pPr>
              <w:rPr>
                <w:rFonts w:eastAsia="Times New Roman" w:cstheme="minorHAnsi"/>
                <w:color w:val="000000"/>
                <w:lang w:val="en-GB"/>
              </w:rPr>
            </w:pPr>
          </w:p>
        </w:tc>
        <w:tc>
          <w:tcPr>
            <w:tcW w:w="1710" w:type="dxa"/>
          </w:tcPr>
          <w:p w14:paraId="27E8C655" w14:textId="77777777" w:rsidR="0054112C" w:rsidRDefault="0054112C" w:rsidP="00A9220E">
            <w:pPr>
              <w:rPr>
                <w:rFonts w:eastAsia="Times New Roman" w:cstheme="minorHAnsi"/>
                <w:color w:val="000000"/>
                <w:lang w:val="en-GB"/>
              </w:rPr>
            </w:pPr>
          </w:p>
        </w:tc>
      </w:tr>
      <w:tr w:rsidR="0054112C" w14:paraId="5F448213" w14:textId="77777777" w:rsidTr="0050018A">
        <w:tc>
          <w:tcPr>
            <w:tcW w:w="549" w:type="dxa"/>
            <w:vAlign w:val="center"/>
          </w:tcPr>
          <w:p w14:paraId="254E0AB2" w14:textId="77777777" w:rsidR="0054112C" w:rsidRDefault="0054112C" w:rsidP="00A9220E">
            <w:pPr>
              <w:rPr>
                <w:rFonts w:eastAsia="Times New Roman" w:cstheme="minorHAnsi"/>
                <w:color w:val="000000"/>
                <w:lang w:val="en-GB"/>
              </w:rPr>
            </w:pPr>
            <w:r w:rsidRPr="004C1A39">
              <w:rPr>
                <w:rFonts w:eastAsia="Tahoma" w:cstheme="minorHAnsi"/>
                <w:sz w:val="20"/>
                <w:szCs w:val="20"/>
                <w:lang w:eastAsia="en-US"/>
              </w:rPr>
              <w:t>A05</w:t>
            </w:r>
          </w:p>
        </w:tc>
        <w:tc>
          <w:tcPr>
            <w:tcW w:w="2814" w:type="dxa"/>
            <w:vAlign w:val="center"/>
          </w:tcPr>
          <w:p w14:paraId="3DFD1BC4" w14:textId="77777777" w:rsidR="0054112C" w:rsidRDefault="0054112C" w:rsidP="00A9220E">
            <w:pPr>
              <w:rPr>
                <w:rFonts w:eastAsia="Times New Roman" w:cstheme="minorHAnsi"/>
                <w:color w:val="000000"/>
                <w:lang w:val="en-GB"/>
              </w:rPr>
            </w:pPr>
            <w:r w:rsidRPr="004C1A39">
              <w:rPr>
                <w:rFonts w:eastAsia="Times New Roman" w:cstheme="minorHAnsi"/>
                <w:sz w:val="20"/>
                <w:szCs w:val="20"/>
                <w:lang w:eastAsia="en-US"/>
              </w:rPr>
              <w:t xml:space="preserve">Environmental protection (includes alignment with CEP, SEEA and other environmental classifications/frameworks) </w:t>
            </w:r>
          </w:p>
        </w:tc>
        <w:tc>
          <w:tcPr>
            <w:tcW w:w="1317" w:type="dxa"/>
          </w:tcPr>
          <w:p w14:paraId="321F0486" w14:textId="77777777" w:rsidR="0054112C" w:rsidRDefault="0054112C" w:rsidP="00A9220E">
            <w:pPr>
              <w:jc w:val="center"/>
              <w:rPr>
                <w:rFonts w:eastAsia="Times New Roman" w:cstheme="minorHAnsi"/>
                <w:color w:val="000000"/>
                <w:lang w:val="en-GB"/>
              </w:rPr>
            </w:pPr>
          </w:p>
        </w:tc>
        <w:tc>
          <w:tcPr>
            <w:tcW w:w="1980" w:type="dxa"/>
          </w:tcPr>
          <w:p w14:paraId="6AFD45BE" w14:textId="77777777" w:rsidR="0054112C" w:rsidRDefault="0054112C" w:rsidP="00A9220E">
            <w:pPr>
              <w:jc w:val="center"/>
              <w:rPr>
                <w:rFonts w:eastAsia="Times New Roman" w:cstheme="minorHAnsi"/>
                <w:color w:val="000000"/>
                <w:lang w:val="en-GB"/>
              </w:rPr>
            </w:pPr>
          </w:p>
        </w:tc>
        <w:tc>
          <w:tcPr>
            <w:tcW w:w="2070" w:type="dxa"/>
          </w:tcPr>
          <w:p w14:paraId="11698BA7" w14:textId="77777777" w:rsidR="0054112C" w:rsidRDefault="0054112C" w:rsidP="00A9220E">
            <w:pPr>
              <w:rPr>
                <w:rFonts w:eastAsia="Times New Roman" w:cstheme="minorHAnsi"/>
                <w:color w:val="000000"/>
                <w:lang w:val="en-GB"/>
              </w:rPr>
            </w:pPr>
          </w:p>
        </w:tc>
        <w:tc>
          <w:tcPr>
            <w:tcW w:w="1710" w:type="dxa"/>
          </w:tcPr>
          <w:p w14:paraId="191F4270" w14:textId="77777777" w:rsidR="0054112C" w:rsidRDefault="0054112C" w:rsidP="00A9220E">
            <w:pPr>
              <w:rPr>
                <w:rFonts w:eastAsia="Times New Roman" w:cstheme="minorHAnsi"/>
                <w:color w:val="000000"/>
                <w:lang w:val="en-GB"/>
              </w:rPr>
            </w:pPr>
          </w:p>
        </w:tc>
      </w:tr>
      <w:tr w:rsidR="0054112C" w14:paraId="38C13BA0" w14:textId="77777777" w:rsidTr="0050018A">
        <w:tc>
          <w:tcPr>
            <w:tcW w:w="549" w:type="dxa"/>
            <w:vAlign w:val="center"/>
          </w:tcPr>
          <w:p w14:paraId="623F065D" w14:textId="77777777" w:rsidR="0054112C" w:rsidRDefault="0054112C" w:rsidP="00A9220E">
            <w:pPr>
              <w:rPr>
                <w:rFonts w:eastAsia="Times New Roman" w:cstheme="minorHAnsi"/>
                <w:color w:val="000000"/>
                <w:lang w:val="en-GB"/>
              </w:rPr>
            </w:pPr>
            <w:r w:rsidRPr="004C1A39">
              <w:rPr>
                <w:rFonts w:eastAsia="Times New Roman" w:cstheme="minorHAnsi"/>
                <w:sz w:val="20"/>
                <w:szCs w:val="20"/>
                <w:lang w:eastAsia="en-US"/>
              </w:rPr>
              <w:t>A06</w:t>
            </w:r>
          </w:p>
        </w:tc>
        <w:tc>
          <w:tcPr>
            <w:tcW w:w="2814" w:type="dxa"/>
            <w:vAlign w:val="center"/>
          </w:tcPr>
          <w:p w14:paraId="26E41A78" w14:textId="77777777" w:rsidR="0054112C" w:rsidRDefault="0054112C" w:rsidP="00A9220E">
            <w:pPr>
              <w:rPr>
                <w:rFonts w:eastAsia="Times New Roman" w:cstheme="minorHAnsi"/>
                <w:color w:val="000000"/>
                <w:lang w:val="en-GB"/>
              </w:rPr>
            </w:pPr>
            <w:r w:rsidRPr="004C1A39">
              <w:rPr>
                <w:rFonts w:eastAsia="Times New Roman" w:cstheme="minorHAnsi"/>
                <w:sz w:val="20"/>
                <w:szCs w:val="20"/>
                <w:lang w:eastAsia="en-US"/>
              </w:rPr>
              <w:t>Housing and community amenities</w:t>
            </w:r>
          </w:p>
        </w:tc>
        <w:tc>
          <w:tcPr>
            <w:tcW w:w="1317" w:type="dxa"/>
          </w:tcPr>
          <w:p w14:paraId="17D82AAA" w14:textId="77777777" w:rsidR="0054112C" w:rsidRDefault="0054112C" w:rsidP="00A9220E">
            <w:pPr>
              <w:jc w:val="center"/>
              <w:rPr>
                <w:rFonts w:eastAsia="Times New Roman" w:cstheme="minorHAnsi"/>
                <w:color w:val="000000"/>
                <w:lang w:val="en-GB"/>
              </w:rPr>
            </w:pPr>
          </w:p>
        </w:tc>
        <w:tc>
          <w:tcPr>
            <w:tcW w:w="1980" w:type="dxa"/>
          </w:tcPr>
          <w:p w14:paraId="5AE970A8" w14:textId="77777777" w:rsidR="0054112C" w:rsidRDefault="0054112C" w:rsidP="00A9220E">
            <w:pPr>
              <w:jc w:val="center"/>
              <w:rPr>
                <w:rFonts w:eastAsia="Times New Roman" w:cstheme="minorHAnsi"/>
                <w:color w:val="000000"/>
                <w:lang w:val="en-GB"/>
              </w:rPr>
            </w:pPr>
          </w:p>
        </w:tc>
        <w:tc>
          <w:tcPr>
            <w:tcW w:w="2070" w:type="dxa"/>
          </w:tcPr>
          <w:p w14:paraId="4893C003" w14:textId="77777777" w:rsidR="0054112C" w:rsidRDefault="0054112C" w:rsidP="00A9220E">
            <w:pPr>
              <w:rPr>
                <w:rFonts w:eastAsia="Times New Roman" w:cstheme="minorHAnsi"/>
                <w:color w:val="000000"/>
                <w:lang w:val="en-GB"/>
              </w:rPr>
            </w:pPr>
          </w:p>
        </w:tc>
        <w:tc>
          <w:tcPr>
            <w:tcW w:w="1710" w:type="dxa"/>
          </w:tcPr>
          <w:p w14:paraId="673A0AE7" w14:textId="77777777" w:rsidR="0054112C" w:rsidRDefault="0054112C" w:rsidP="00A9220E">
            <w:pPr>
              <w:rPr>
                <w:rFonts w:eastAsia="Times New Roman" w:cstheme="minorHAnsi"/>
                <w:color w:val="000000"/>
                <w:lang w:val="en-GB"/>
              </w:rPr>
            </w:pPr>
          </w:p>
        </w:tc>
      </w:tr>
      <w:tr w:rsidR="0054112C" w14:paraId="01ADE375" w14:textId="77777777" w:rsidTr="0050018A">
        <w:tc>
          <w:tcPr>
            <w:tcW w:w="549" w:type="dxa"/>
            <w:vAlign w:val="center"/>
          </w:tcPr>
          <w:p w14:paraId="68193EB1" w14:textId="77777777" w:rsidR="0054112C" w:rsidRDefault="0054112C" w:rsidP="00A9220E">
            <w:pPr>
              <w:rPr>
                <w:rFonts w:eastAsia="Times New Roman" w:cstheme="minorHAnsi"/>
                <w:color w:val="000000"/>
                <w:lang w:val="en-GB"/>
              </w:rPr>
            </w:pPr>
            <w:r w:rsidRPr="004C1A39">
              <w:rPr>
                <w:rFonts w:eastAsia="Times New Roman" w:cstheme="minorHAnsi"/>
                <w:sz w:val="20"/>
                <w:szCs w:val="20"/>
                <w:lang w:eastAsia="en-US"/>
              </w:rPr>
              <w:t>A07</w:t>
            </w:r>
          </w:p>
        </w:tc>
        <w:tc>
          <w:tcPr>
            <w:tcW w:w="2814" w:type="dxa"/>
            <w:vAlign w:val="center"/>
          </w:tcPr>
          <w:p w14:paraId="2B86F6C7" w14:textId="77777777" w:rsidR="0054112C" w:rsidRDefault="0054112C" w:rsidP="00A9220E">
            <w:pPr>
              <w:rPr>
                <w:rFonts w:eastAsia="Times New Roman" w:cstheme="minorHAnsi"/>
                <w:color w:val="000000"/>
                <w:lang w:val="en-GB"/>
              </w:rPr>
            </w:pPr>
            <w:r w:rsidRPr="004C1A39">
              <w:rPr>
                <w:rFonts w:eastAsia="Times New Roman" w:cstheme="minorHAnsi"/>
                <w:sz w:val="20"/>
                <w:szCs w:val="20"/>
                <w:lang w:eastAsia="en-US"/>
              </w:rPr>
              <w:t>Health (includes alignment with SHA)</w:t>
            </w:r>
          </w:p>
        </w:tc>
        <w:tc>
          <w:tcPr>
            <w:tcW w:w="1317" w:type="dxa"/>
          </w:tcPr>
          <w:p w14:paraId="73B5E809" w14:textId="77777777" w:rsidR="0054112C" w:rsidRDefault="0054112C" w:rsidP="00A9220E">
            <w:pPr>
              <w:jc w:val="center"/>
              <w:rPr>
                <w:rFonts w:eastAsia="Times New Roman" w:cstheme="minorHAnsi"/>
                <w:color w:val="000000"/>
                <w:lang w:val="en-GB"/>
              </w:rPr>
            </w:pPr>
          </w:p>
        </w:tc>
        <w:tc>
          <w:tcPr>
            <w:tcW w:w="1980" w:type="dxa"/>
          </w:tcPr>
          <w:p w14:paraId="2493A6DE" w14:textId="77777777" w:rsidR="0054112C" w:rsidRDefault="0054112C" w:rsidP="00A9220E">
            <w:pPr>
              <w:jc w:val="center"/>
              <w:rPr>
                <w:rFonts w:eastAsia="Times New Roman" w:cstheme="minorHAnsi"/>
                <w:color w:val="000000"/>
                <w:lang w:val="en-GB"/>
              </w:rPr>
            </w:pPr>
          </w:p>
        </w:tc>
        <w:tc>
          <w:tcPr>
            <w:tcW w:w="2070" w:type="dxa"/>
          </w:tcPr>
          <w:p w14:paraId="4F756764" w14:textId="77777777" w:rsidR="0054112C" w:rsidRDefault="0054112C" w:rsidP="00A9220E">
            <w:pPr>
              <w:rPr>
                <w:rFonts w:eastAsia="Times New Roman" w:cstheme="minorHAnsi"/>
                <w:color w:val="000000"/>
                <w:lang w:val="en-GB"/>
              </w:rPr>
            </w:pPr>
          </w:p>
        </w:tc>
        <w:tc>
          <w:tcPr>
            <w:tcW w:w="1710" w:type="dxa"/>
          </w:tcPr>
          <w:p w14:paraId="660C51E0" w14:textId="77777777" w:rsidR="0054112C" w:rsidRDefault="0054112C" w:rsidP="00A9220E">
            <w:pPr>
              <w:rPr>
                <w:rFonts w:eastAsia="Times New Roman" w:cstheme="minorHAnsi"/>
                <w:color w:val="000000"/>
                <w:lang w:val="en-GB"/>
              </w:rPr>
            </w:pPr>
          </w:p>
        </w:tc>
      </w:tr>
      <w:tr w:rsidR="0054112C" w14:paraId="10877741" w14:textId="77777777" w:rsidTr="0050018A">
        <w:tc>
          <w:tcPr>
            <w:tcW w:w="549" w:type="dxa"/>
            <w:vAlign w:val="center"/>
          </w:tcPr>
          <w:p w14:paraId="06FBB442" w14:textId="77777777" w:rsidR="0054112C" w:rsidRDefault="0054112C" w:rsidP="00A9220E">
            <w:pPr>
              <w:rPr>
                <w:rFonts w:eastAsia="Times New Roman" w:cstheme="minorHAnsi"/>
                <w:color w:val="000000"/>
                <w:lang w:val="en-GB"/>
              </w:rPr>
            </w:pPr>
            <w:r w:rsidRPr="004C1A39">
              <w:rPr>
                <w:rFonts w:eastAsia="Times New Roman" w:cstheme="minorHAnsi"/>
                <w:sz w:val="20"/>
                <w:szCs w:val="20"/>
                <w:lang w:eastAsia="en-US"/>
              </w:rPr>
              <w:t>A09</w:t>
            </w:r>
          </w:p>
        </w:tc>
        <w:tc>
          <w:tcPr>
            <w:tcW w:w="2814" w:type="dxa"/>
            <w:vAlign w:val="center"/>
          </w:tcPr>
          <w:p w14:paraId="013EF6AA" w14:textId="77777777" w:rsidR="0054112C" w:rsidRDefault="0054112C" w:rsidP="00A9220E">
            <w:pPr>
              <w:rPr>
                <w:rFonts w:eastAsia="Times New Roman" w:cstheme="minorHAnsi"/>
                <w:color w:val="000000"/>
                <w:lang w:val="en-GB"/>
              </w:rPr>
            </w:pPr>
            <w:r w:rsidRPr="004C1A39">
              <w:rPr>
                <w:rFonts w:eastAsia="Times New Roman" w:cstheme="minorHAnsi"/>
                <w:sz w:val="20"/>
                <w:szCs w:val="20"/>
                <w:lang w:eastAsia="en-US"/>
              </w:rPr>
              <w:t>Education (includes alignment with ISCED)</w:t>
            </w:r>
          </w:p>
        </w:tc>
        <w:tc>
          <w:tcPr>
            <w:tcW w:w="1317" w:type="dxa"/>
          </w:tcPr>
          <w:p w14:paraId="67898215" w14:textId="77777777" w:rsidR="0054112C" w:rsidRDefault="0054112C" w:rsidP="00A9220E">
            <w:pPr>
              <w:jc w:val="center"/>
              <w:rPr>
                <w:rFonts w:eastAsia="Times New Roman" w:cstheme="minorHAnsi"/>
                <w:color w:val="000000"/>
                <w:lang w:val="en-GB"/>
              </w:rPr>
            </w:pPr>
          </w:p>
        </w:tc>
        <w:tc>
          <w:tcPr>
            <w:tcW w:w="1980" w:type="dxa"/>
          </w:tcPr>
          <w:p w14:paraId="21504244" w14:textId="77777777" w:rsidR="0054112C" w:rsidRDefault="0054112C" w:rsidP="00A9220E">
            <w:pPr>
              <w:jc w:val="center"/>
              <w:rPr>
                <w:rFonts w:eastAsia="Times New Roman" w:cstheme="minorHAnsi"/>
                <w:color w:val="000000"/>
                <w:lang w:val="en-GB"/>
              </w:rPr>
            </w:pPr>
          </w:p>
        </w:tc>
        <w:tc>
          <w:tcPr>
            <w:tcW w:w="2070" w:type="dxa"/>
          </w:tcPr>
          <w:p w14:paraId="1F0AF290" w14:textId="77777777" w:rsidR="0054112C" w:rsidRDefault="0054112C" w:rsidP="00A9220E">
            <w:pPr>
              <w:rPr>
                <w:rFonts w:eastAsia="Times New Roman" w:cstheme="minorHAnsi"/>
                <w:color w:val="000000"/>
                <w:lang w:val="en-GB"/>
              </w:rPr>
            </w:pPr>
          </w:p>
        </w:tc>
        <w:tc>
          <w:tcPr>
            <w:tcW w:w="1710" w:type="dxa"/>
          </w:tcPr>
          <w:p w14:paraId="02083936" w14:textId="77777777" w:rsidR="0054112C" w:rsidRDefault="0054112C" w:rsidP="00A9220E">
            <w:pPr>
              <w:rPr>
                <w:rFonts w:eastAsia="Times New Roman" w:cstheme="minorHAnsi"/>
                <w:color w:val="000000"/>
                <w:lang w:val="en-GB"/>
              </w:rPr>
            </w:pPr>
          </w:p>
        </w:tc>
      </w:tr>
      <w:tr w:rsidR="0054112C" w14:paraId="22FD9EBA" w14:textId="77777777" w:rsidTr="0050018A">
        <w:tc>
          <w:tcPr>
            <w:tcW w:w="549" w:type="dxa"/>
            <w:vAlign w:val="center"/>
          </w:tcPr>
          <w:p w14:paraId="37F6B9A7" w14:textId="77777777" w:rsidR="0054112C" w:rsidRDefault="0054112C" w:rsidP="00A9220E">
            <w:pPr>
              <w:rPr>
                <w:rFonts w:eastAsia="Times New Roman" w:cstheme="minorHAnsi"/>
                <w:color w:val="000000"/>
                <w:lang w:val="en-GB"/>
              </w:rPr>
            </w:pPr>
            <w:r w:rsidRPr="004C1A39">
              <w:rPr>
                <w:rFonts w:eastAsia="Times New Roman" w:cstheme="minorHAnsi"/>
                <w:sz w:val="20"/>
                <w:szCs w:val="20"/>
                <w:lang w:eastAsia="en-US"/>
              </w:rPr>
              <w:t>A10</w:t>
            </w:r>
          </w:p>
        </w:tc>
        <w:tc>
          <w:tcPr>
            <w:tcW w:w="2814" w:type="dxa"/>
            <w:vAlign w:val="center"/>
          </w:tcPr>
          <w:p w14:paraId="0F3D1FA0" w14:textId="77777777" w:rsidR="0054112C" w:rsidRDefault="0054112C" w:rsidP="00A9220E">
            <w:pPr>
              <w:rPr>
                <w:rFonts w:eastAsia="Times New Roman" w:cstheme="minorHAnsi"/>
                <w:color w:val="000000"/>
                <w:lang w:val="en-GB"/>
              </w:rPr>
            </w:pPr>
            <w:r w:rsidRPr="004C1A39">
              <w:rPr>
                <w:rFonts w:eastAsia="Times New Roman" w:cstheme="minorHAnsi"/>
                <w:sz w:val="20"/>
                <w:szCs w:val="20"/>
                <w:lang w:eastAsia="en-US"/>
              </w:rPr>
              <w:t xml:space="preserve">Social protection </w:t>
            </w:r>
          </w:p>
        </w:tc>
        <w:tc>
          <w:tcPr>
            <w:tcW w:w="1317" w:type="dxa"/>
          </w:tcPr>
          <w:p w14:paraId="36F2FC71" w14:textId="77777777" w:rsidR="0054112C" w:rsidRDefault="0054112C" w:rsidP="00A9220E">
            <w:pPr>
              <w:jc w:val="center"/>
              <w:rPr>
                <w:rFonts w:eastAsia="Times New Roman" w:cstheme="minorHAnsi"/>
                <w:color w:val="000000"/>
                <w:lang w:val="en-GB"/>
              </w:rPr>
            </w:pPr>
          </w:p>
        </w:tc>
        <w:tc>
          <w:tcPr>
            <w:tcW w:w="1980" w:type="dxa"/>
          </w:tcPr>
          <w:p w14:paraId="22CB4130" w14:textId="77777777" w:rsidR="0054112C" w:rsidRDefault="0054112C" w:rsidP="00A9220E">
            <w:pPr>
              <w:jc w:val="center"/>
              <w:rPr>
                <w:rFonts w:eastAsia="Times New Roman" w:cstheme="minorHAnsi"/>
                <w:color w:val="000000"/>
                <w:lang w:val="en-GB"/>
              </w:rPr>
            </w:pPr>
          </w:p>
        </w:tc>
        <w:tc>
          <w:tcPr>
            <w:tcW w:w="2070" w:type="dxa"/>
          </w:tcPr>
          <w:p w14:paraId="6A908283" w14:textId="77777777" w:rsidR="0054112C" w:rsidRDefault="0054112C" w:rsidP="00A9220E">
            <w:pPr>
              <w:rPr>
                <w:rFonts w:eastAsia="Times New Roman" w:cstheme="minorHAnsi"/>
                <w:color w:val="000000"/>
                <w:lang w:val="en-GB"/>
              </w:rPr>
            </w:pPr>
          </w:p>
        </w:tc>
        <w:tc>
          <w:tcPr>
            <w:tcW w:w="1710" w:type="dxa"/>
          </w:tcPr>
          <w:p w14:paraId="44EBBEA5" w14:textId="77777777" w:rsidR="0054112C" w:rsidRDefault="0054112C" w:rsidP="00A9220E">
            <w:pPr>
              <w:rPr>
                <w:rFonts w:eastAsia="Times New Roman" w:cstheme="minorHAnsi"/>
                <w:color w:val="000000"/>
                <w:lang w:val="en-GB"/>
              </w:rPr>
            </w:pPr>
          </w:p>
        </w:tc>
      </w:tr>
      <w:tr w:rsidR="0054112C" w14:paraId="47DDEF1B" w14:textId="77777777" w:rsidTr="0050018A">
        <w:tc>
          <w:tcPr>
            <w:tcW w:w="549" w:type="dxa"/>
            <w:vAlign w:val="center"/>
          </w:tcPr>
          <w:p w14:paraId="76BF16CA" w14:textId="77777777" w:rsidR="0054112C" w:rsidRPr="004C1A39"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A11</w:t>
            </w:r>
          </w:p>
        </w:tc>
        <w:tc>
          <w:tcPr>
            <w:tcW w:w="2814" w:type="dxa"/>
            <w:vAlign w:val="center"/>
          </w:tcPr>
          <w:p w14:paraId="1BDA3FB1" w14:textId="77777777" w:rsidR="0054112C" w:rsidRPr="004C1A39"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Cross-cutting issues</w:t>
            </w:r>
          </w:p>
        </w:tc>
        <w:tc>
          <w:tcPr>
            <w:tcW w:w="1317" w:type="dxa"/>
          </w:tcPr>
          <w:p w14:paraId="1ECA29F7" w14:textId="77777777" w:rsidR="0054112C" w:rsidRDefault="0054112C" w:rsidP="00A9220E">
            <w:pPr>
              <w:jc w:val="center"/>
              <w:rPr>
                <w:rFonts w:eastAsia="Times New Roman" w:cstheme="minorHAnsi"/>
                <w:color w:val="000000"/>
                <w:lang w:val="en-GB"/>
              </w:rPr>
            </w:pPr>
          </w:p>
        </w:tc>
        <w:tc>
          <w:tcPr>
            <w:tcW w:w="1980" w:type="dxa"/>
          </w:tcPr>
          <w:p w14:paraId="4CB8B934" w14:textId="77777777" w:rsidR="0054112C" w:rsidRDefault="0054112C" w:rsidP="00A9220E">
            <w:pPr>
              <w:jc w:val="center"/>
              <w:rPr>
                <w:rFonts w:eastAsia="Times New Roman" w:cstheme="minorHAnsi"/>
                <w:color w:val="000000"/>
                <w:lang w:val="en-GB"/>
              </w:rPr>
            </w:pPr>
          </w:p>
        </w:tc>
        <w:tc>
          <w:tcPr>
            <w:tcW w:w="2070" w:type="dxa"/>
          </w:tcPr>
          <w:p w14:paraId="65A5DCE0" w14:textId="77777777" w:rsidR="0054112C" w:rsidRDefault="0054112C" w:rsidP="00A9220E">
            <w:pPr>
              <w:rPr>
                <w:rFonts w:eastAsia="Times New Roman" w:cstheme="minorHAnsi"/>
                <w:color w:val="000000"/>
                <w:lang w:val="en-GB"/>
              </w:rPr>
            </w:pPr>
          </w:p>
        </w:tc>
        <w:tc>
          <w:tcPr>
            <w:tcW w:w="1710" w:type="dxa"/>
          </w:tcPr>
          <w:p w14:paraId="2717672D" w14:textId="77777777" w:rsidR="0054112C" w:rsidRDefault="0054112C" w:rsidP="00A9220E">
            <w:pPr>
              <w:rPr>
                <w:rFonts w:eastAsia="Times New Roman" w:cstheme="minorHAnsi"/>
                <w:color w:val="000000"/>
                <w:lang w:val="en-GB"/>
              </w:rPr>
            </w:pPr>
          </w:p>
        </w:tc>
      </w:tr>
      <w:tr w:rsidR="0054112C" w14:paraId="75B93906" w14:textId="77777777" w:rsidTr="0050018A">
        <w:tc>
          <w:tcPr>
            <w:tcW w:w="549" w:type="dxa"/>
            <w:vAlign w:val="center"/>
          </w:tcPr>
          <w:p w14:paraId="282ABCC5"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lastRenderedPageBreak/>
              <w:t>A12</w:t>
            </w:r>
          </w:p>
        </w:tc>
        <w:tc>
          <w:tcPr>
            <w:tcW w:w="2814" w:type="dxa"/>
            <w:vAlign w:val="center"/>
          </w:tcPr>
          <w:p w14:paraId="0A98A2DE"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 xml:space="preserve">R&amp;D </w:t>
            </w:r>
          </w:p>
        </w:tc>
        <w:tc>
          <w:tcPr>
            <w:tcW w:w="1317" w:type="dxa"/>
          </w:tcPr>
          <w:p w14:paraId="1CACD533" w14:textId="77777777" w:rsidR="0054112C" w:rsidRDefault="0054112C" w:rsidP="00A9220E">
            <w:pPr>
              <w:jc w:val="center"/>
              <w:rPr>
                <w:rFonts w:eastAsia="Times New Roman" w:cstheme="minorHAnsi"/>
                <w:color w:val="000000"/>
                <w:lang w:val="en-GB"/>
              </w:rPr>
            </w:pPr>
          </w:p>
        </w:tc>
        <w:tc>
          <w:tcPr>
            <w:tcW w:w="1980" w:type="dxa"/>
          </w:tcPr>
          <w:p w14:paraId="2D7BC1FF" w14:textId="77777777" w:rsidR="0054112C" w:rsidRDefault="0054112C" w:rsidP="00A9220E">
            <w:pPr>
              <w:jc w:val="center"/>
              <w:rPr>
                <w:rFonts w:eastAsia="Times New Roman" w:cstheme="minorHAnsi"/>
                <w:color w:val="000000"/>
                <w:lang w:val="en-GB"/>
              </w:rPr>
            </w:pPr>
          </w:p>
        </w:tc>
        <w:tc>
          <w:tcPr>
            <w:tcW w:w="2070" w:type="dxa"/>
          </w:tcPr>
          <w:p w14:paraId="7FCE1D83" w14:textId="77777777" w:rsidR="0054112C" w:rsidRDefault="0054112C" w:rsidP="00A9220E">
            <w:pPr>
              <w:rPr>
                <w:rFonts w:eastAsia="Times New Roman" w:cstheme="minorHAnsi"/>
                <w:color w:val="000000"/>
                <w:lang w:val="en-GB"/>
              </w:rPr>
            </w:pPr>
          </w:p>
        </w:tc>
        <w:tc>
          <w:tcPr>
            <w:tcW w:w="1710" w:type="dxa"/>
          </w:tcPr>
          <w:p w14:paraId="214F2E8A" w14:textId="77777777" w:rsidR="0054112C" w:rsidRDefault="0054112C" w:rsidP="00A9220E">
            <w:pPr>
              <w:rPr>
                <w:rFonts w:eastAsia="Times New Roman" w:cstheme="minorHAnsi"/>
                <w:color w:val="000000"/>
                <w:lang w:val="en-GB"/>
              </w:rPr>
            </w:pPr>
          </w:p>
        </w:tc>
      </w:tr>
      <w:tr w:rsidR="0054112C" w14:paraId="2FB784E8" w14:textId="77777777" w:rsidTr="0050018A">
        <w:tc>
          <w:tcPr>
            <w:tcW w:w="549" w:type="dxa"/>
            <w:vAlign w:val="center"/>
          </w:tcPr>
          <w:p w14:paraId="5DCD93AA"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A13</w:t>
            </w:r>
          </w:p>
        </w:tc>
        <w:tc>
          <w:tcPr>
            <w:tcW w:w="2814" w:type="dxa"/>
            <w:vAlign w:val="center"/>
          </w:tcPr>
          <w:p w14:paraId="32A6BD98"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Digitalization</w:t>
            </w:r>
          </w:p>
        </w:tc>
        <w:tc>
          <w:tcPr>
            <w:tcW w:w="1317" w:type="dxa"/>
          </w:tcPr>
          <w:p w14:paraId="41C44C15" w14:textId="77777777" w:rsidR="0054112C" w:rsidRDefault="0054112C" w:rsidP="00A9220E">
            <w:pPr>
              <w:jc w:val="center"/>
              <w:rPr>
                <w:rFonts w:eastAsia="Times New Roman" w:cstheme="minorHAnsi"/>
                <w:color w:val="000000"/>
                <w:lang w:val="en-GB"/>
              </w:rPr>
            </w:pPr>
          </w:p>
        </w:tc>
        <w:tc>
          <w:tcPr>
            <w:tcW w:w="1980" w:type="dxa"/>
          </w:tcPr>
          <w:p w14:paraId="22A78FA2" w14:textId="77777777" w:rsidR="0054112C" w:rsidRDefault="0054112C" w:rsidP="00A9220E">
            <w:pPr>
              <w:jc w:val="center"/>
              <w:rPr>
                <w:rFonts w:eastAsia="Times New Roman" w:cstheme="minorHAnsi"/>
                <w:color w:val="000000"/>
                <w:lang w:val="en-GB"/>
              </w:rPr>
            </w:pPr>
          </w:p>
        </w:tc>
        <w:tc>
          <w:tcPr>
            <w:tcW w:w="2070" w:type="dxa"/>
          </w:tcPr>
          <w:p w14:paraId="113DF0B4" w14:textId="77777777" w:rsidR="0054112C" w:rsidRDefault="0054112C" w:rsidP="00A9220E">
            <w:pPr>
              <w:rPr>
                <w:rFonts w:eastAsia="Times New Roman" w:cstheme="minorHAnsi"/>
                <w:color w:val="000000"/>
                <w:lang w:val="en-GB"/>
              </w:rPr>
            </w:pPr>
          </w:p>
        </w:tc>
        <w:tc>
          <w:tcPr>
            <w:tcW w:w="1710" w:type="dxa"/>
          </w:tcPr>
          <w:p w14:paraId="1047DB5F" w14:textId="77777777" w:rsidR="0054112C" w:rsidRDefault="0054112C" w:rsidP="00A9220E">
            <w:pPr>
              <w:rPr>
                <w:rFonts w:eastAsia="Times New Roman" w:cstheme="minorHAnsi"/>
                <w:color w:val="000000"/>
                <w:lang w:val="en-GB"/>
              </w:rPr>
            </w:pPr>
          </w:p>
        </w:tc>
      </w:tr>
      <w:tr w:rsidR="0054112C" w14:paraId="14D0584A" w14:textId="77777777" w:rsidTr="0050018A">
        <w:tc>
          <w:tcPr>
            <w:tcW w:w="549" w:type="dxa"/>
            <w:vAlign w:val="center"/>
          </w:tcPr>
          <w:p w14:paraId="2E72975E"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A14</w:t>
            </w:r>
          </w:p>
        </w:tc>
        <w:tc>
          <w:tcPr>
            <w:tcW w:w="2814" w:type="dxa"/>
            <w:vAlign w:val="center"/>
          </w:tcPr>
          <w:p w14:paraId="7D25B7E1"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Gender</w:t>
            </w:r>
          </w:p>
        </w:tc>
        <w:tc>
          <w:tcPr>
            <w:tcW w:w="1317" w:type="dxa"/>
          </w:tcPr>
          <w:p w14:paraId="2B0C1E90" w14:textId="77777777" w:rsidR="0054112C" w:rsidRDefault="0054112C" w:rsidP="00A9220E">
            <w:pPr>
              <w:jc w:val="center"/>
              <w:rPr>
                <w:rFonts w:eastAsia="Times New Roman" w:cstheme="minorHAnsi"/>
                <w:color w:val="000000"/>
                <w:lang w:val="en-GB"/>
              </w:rPr>
            </w:pPr>
          </w:p>
        </w:tc>
        <w:tc>
          <w:tcPr>
            <w:tcW w:w="1980" w:type="dxa"/>
          </w:tcPr>
          <w:p w14:paraId="0AFD3C7A" w14:textId="77777777" w:rsidR="0054112C" w:rsidRDefault="0054112C" w:rsidP="00A9220E">
            <w:pPr>
              <w:jc w:val="center"/>
              <w:rPr>
                <w:rFonts w:eastAsia="Times New Roman" w:cstheme="minorHAnsi"/>
                <w:color w:val="000000"/>
                <w:lang w:val="en-GB"/>
              </w:rPr>
            </w:pPr>
          </w:p>
        </w:tc>
        <w:tc>
          <w:tcPr>
            <w:tcW w:w="2070" w:type="dxa"/>
          </w:tcPr>
          <w:p w14:paraId="3005D6B5" w14:textId="77777777" w:rsidR="0054112C" w:rsidRDefault="0054112C" w:rsidP="00A9220E">
            <w:pPr>
              <w:rPr>
                <w:rFonts w:eastAsia="Times New Roman" w:cstheme="minorHAnsi"/>
                <w:color w:val="000000"/>
                <w:lang w:val="en-GB"/>
              </w:rPr>
            </w:pPr>
          </w:p>
        </w:tc>
        <w:tc>
          <w:tcPr>
            <w:tcW w:w="1710" w:type="dxa"/>
          </w:tcPr>
          <w:p w14:paraId="6B0AB50B" w14:textId="77777777" w:rsidR="0054112C" w:rsidRDefault="0054112C" w:rsidP="00A9220E">
            <w:pPr>
              <w:rPr>
                <w:rFonts w:eastAsia="Times New Roman" w:cstheme="minorHAnsi"/>
                <w:color w:val="000000"/>
                <w:lang w:val="en-GB"/>
              </w:rPr>
            </w:pPr>
          </w:p>
        </w:tc>
      </w:tr>
      <w:tr w:rsidR="0054112C" w14:paraId="4A31F60B" w14:textId="77777777" w:rsidTr="0050018A">
        <w:tc>
          <w:tcPr>
            <w:tcW w:w="549" w:type="dxa"/>
            <w:vAlign w:val="center"/>
          </w:tcPr>
          <w:p w14:paraId="17D7DAF0"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A15</w:t>
            </w:r>
          </w:p>
        </w:tc>
        <w:tc>
          <w:tcPr>
            <w:tcW w:w="2814" w:type="dxa"/>
            <w:vAlign w:val="center"/>
          </w:tcPr>
          <w:p w14:paraId="4EF6EAAD"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Indigenous peoples</w:t>
            </w:r>
          </w:p>
        </w:tc>
        <w:tc>
          <w:tcPr>
            <w:tcW w:w="1317" w:type="dxa"/>
          </w:tcPr>
          <w:p w14:paraId="7195BF3E" w14:textId="77777777" w:rsidR="0054112C" w:rsidRDefault="0054112C" w:rsidP="00A9220E">
            <w:pPr>
              <w:jc w:val="center"/>
              <w:rPr>
                <w:rFonts w:eastAsia="Times New Roman" w:cstheme="minorHAnsi"/>
                <w:color w:val="000000"/>
                <w:lang w:val="en-GB"/>
              </w:rPr>
            </w:pPr>
          </w:p>
        </w:tc>
        <w:tc>
          <w:tcPr>
            <w:tcW w:w="1980" w:type="dxa"/>
          </w:tcPr>
          <w:p w14:paraId="18D6A9E8" w14:textId="77777777" w:rsidR="0054112C" w:rsidRDefault="0054112C" w:rsidP="00A9220E">
            <w:pPr>
              <w:jc w:val="center"/>
              <w:rPr>
                <w:rFonts w:eastAsia="Times New Roman" w:cstheme="minorHAnsi"/>
                <w:color w:val="000000"/>
                <w:lang w:val="en-GB"/>
              </w:rPr>
            </w:pPr>
          </w:p>
        </w:tc>
        <w:tc>
          <w:tcPr>
            <w:tcW w:w="2070" w:type="dxa"/>
          </w:tcPr>
          <w:p w14:paraId="7E40F0D6" w14:textId="77777777" w:rsidR="0054112C" w:rsidRDefault="0054112C" w:rsidP="00A9220E">
            <w:pPr>
              <w:rPr>
                <w:rFonts w:eastAsia="Times New Roman" w:cstheme="minorHAnsi"/>
                <w:color w:val="000000"/>
                <w:lang w:val="en-GB"/>
              </w:rPr>
            </w:pPr>
          </w:p>
        </w:tc>
        <w:tc>
          <w:tcPr>
            <w:tcW w:w="1710" w:type="dxa"/>
          </w:tcPr>
          <w:p w14:paraId="1C642D7E" w14:textId="77777777" w:rsidR="0054112C" w:rsidRDefault="0054112C" w:rsidP="00A9220E">
            <w:pPr>
              <w:rPr>
                <w:rFonts w:eastAsia="Times New Roman" w:cstheme="minorHAnsi"/>
                <w:color w:val="000000"/>
                <w:lang w:val="en-GB"/>
              </w:rPr>
            </w:pPr>
          </w:p>
        </w:tc>
      </w:tr>
      <w:tr w:rsidR="0054112C" w14:paraId="3F455C3E" w14:textId="77777777" w:rsidTr="0050018A">
        <w:tc>
          <w:tcPr>
            <w:tcW w:w="549" w:type="dxa"/>
            <w:vAlign w:val="center"/>
          </w:tcPr>
          <w:p w14:paraId="79B8D178"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B1</w:t>
            </w:r>
          </w:p>
        </w:tc>
        <w:tc>
          <w:tcPr>
            <w:tcW w:w="2814" w:type="dxa"/>
            <w:vAlign w:val="center"/>
          </w:tcPr>
          <w:p w14:paraId="4248E1C1"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COFOG structure/classification principles</w:t>
            </w:r>
          </w:p>
        </w:tc>
        <w:tc>
          <w:tcPr>
            <w:tcW w:w="1317" w:type="dxa"/>
          </w:tcPr>
          <w:p w14:paraId="01097804" w14:textId="77777777" w:rsidR="0054112C" w:rsidRDefault="0054112C" w:rsidP="00A9220E">
            <w:pPr>
              <w:jc w:val="center"/>
              <w:rPr>
                <w:rFonts w:eastAsia="Times New Roman" w:cstheme="minorHAnsi"/>
                <w:color w:val="000000"/>
                <w:lang w:val="en-GB"/>
              </w:rPr>
            </w:pPr>
          </w:p>
        </w:tc>
        <w:tc>
          <w:tcPr>
            <w:tcW w:w="1980" w:type="dxa"/>
          </w:tcPr>
          <w:p w14:paraId="634DEF31" w14:textId="77777777" w:rsidR="0054112C" w:rsidRDefault="0054112C" w:rsidP="00A9220E">
            <w:pPr>
              <w:jc w:val="center"/>
              <w:rPr>
                <w:rFonts w:eastAsia="Times New Roman" w:cstheme="minorHAnsi"/>
                <w:color w:val="000000"/>
                <w:lang w:val="en-GB"/>
              </w:rPr>
            </w:pPr>
          </w:p>
        </w:tc>
        <w:tc>
          <w:tcPr>
            <w:tcW w:w="2070" w:type="dxa"/>
          </w:tcPr>
          <w:p w14:paraId="3FDE1E6B" w14:textId="77777777" w:rsidR="0054112C" w:rsidRDefault="0054112C" w:rsidP="00A9220E">
            <w:pPr>
              <w:rPr>
                <w:rFonts w:eastAsia="Times New Roman" w:cstheme="minorHAnsi"/>
                <w:color w:val="000000"/>
                <w:lang w:val="en-GB"/>
              </w:rPr>
            </w:pPr>
          </w:p>
        </w:tc>
        <w:tc>
          <w:tcPr>
            <w:tcW w:w="1710" w:type="dxa"/>
          </w:tcPr>
          <w:p w14:paraId="4741B83A" w14:textId="77777777" w:rsidR="0054112C" w:rsidRDefault="0054112C" w:rsidP="00A9220E">
            <w:pPr>
              <w:rPr>
                <w:rFonts w:eastAsia="Times New Roman" w:cstheme="minorHAnsi"/>
                <w:color w:val="000000"/>
                <w:lang w:val="en-GB"/>
              </w:rPr>
            </w:pPr>
          </w:p>
        </w:tc>
      </w:tr>
      <w:tr w:rsidR="0054112C" w14:paraId="2134135D" w14:textId="77777777" w:rsidTr="0050018A">
        <w:tc>
          <w:tcPr>
            <w:tcW w:w="549" w:type="dxa"/>
            <w:vAlign w:val="center"/>
          </w:tcPr>
          <w:p w14:paraId="62F081D3"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B2</w:t>
            </w:r>
          </w:p>
        </w:tc>
        <w:tc>
          <w:tcPr>
            <w:tcW w:w="2814" w:type="dxa"/>
            <w:vAlign w:val="center"/>
          </w:tcPr>
          <w:p w14:paraId="3FB16A8C"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Primary/secondary purpose</w:t>
            </w:r>
          </w:p>
        </w:tc>
        <w:tc>
          <w:tcPr>
            <w:tcW w:w="1317" w:type="dxa"/>
          </w:tcPr>
          <w:p w14:paraId="1451501C" w14:textId="77777777" w:rsidR="0054112C" w:rsidRDefault="0054112C" w:rsidP="00A9220E">
            <w:pPr>
              <w:jc w:val="center"/>
              <w:rPr>
                <w:rFonts w:eastAsia="Times New Roman" w:cstheme="minorHAnsi"/>
                <w:color w:val="000000"/>
                <w:lang w:val="en-GB"/>
              </w:rPr>
            </w:pPr>
          </w:p>
        </w:tc>
        <w:tc>
          <w:tcPr>
            <w:tcW w:w="1980" w:type="dxa"/>
          </w:tcPr>
          <w:p w14:paraId="0E7AEE15" w14:textId="77777777" w:rsidR="0054112C" w:rsidRDefault="0054112C" w:rsidP="00A9220E">
            <w:pPr>
              <w:jc w:val="center"/>
              <w:rPr>
                <w:rFonts w:eastAsia="Times New Roman" w:cstheme="minorHAnsi"/>
                <w:color w:val="000000"/>
                <w:lang w:val="en-GB"/>
              </w:rPr>
            </w:pPr>
          </w:p>
        </w:tc>
        <w:tc>
          <w:tcPr>
            <w:tcW w:w="2070" w:type="dxa"/>
          </w:tcPr>
          <w:p w14:paraId="1D0C600A" w14:textId="77777777" w:rsidR="0054112C" w:rsidRDefault="0054112C" w:rsidP="00A9220E">
            <w:pPr>
              <w:rPr>
                <w:rFonts w:eastAsia="Times New Roman" w:cstheme="minorHAnsi"/>
                <w:color w:val="000000"/>
                <w:lang w:val="en-GB"/>
              </w:rPr>
            </w:pPr>
          </w:p>
        </w:tc>
        <w:tc>
          <w:tcPr>
            <w:tcW w:w="1710" w:type="dxa"/>
          </w:tcPr>
          <w:p w14:paraId="7ECD3340" w14:textId="77777777" w:rsidR="0054112C" w:rsidRDefault="0054112C" w:rsidP="00A9220E">
            <w:pPr>
              <w:rPr>
                <w:rFonts w:eastAsia="Times New Roman" w:cstheme="minorHAnsi"/>
                <w:color w:val="000000"/>
                <w:lang w:val="en-GB"/>
              </w:rPr>
            </w:pPr>
          </w:p>
        </w:tc>
      </w:tr>
      <w:tr w:rsidR="0054112C" w14:paraId="0CA14076" w14:textId="77777777" w:rsidTr="0050018A">
        <w:tc>
          <w:tcPr>
            <w:tcW w:w="549" w:type="dxa"/>
            <w:vAlign w:val="center"/>
          </w:tcPr>
          <w:p w14:paraId="65D7AD07"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B3</w:t>
            </w:r>
          </w:p>
        </w:tc>
        <w:tc>
          <w:tcPr>
            <w:tcW w:w="2814" w:type="dxa"/>
            <w:vAlign w:val="center"/>
          </w:tcPr>
          <w:p w14:paraId="1E15C202"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Additional uses of COFOG:  GFS; national &amp; satellite accounts; government employment and public sector productivity</w:t>
            </w:r>
          </w:p>
        </w:tc>
        <w:tc>
          <w:tcPr>
            <w:tcW w:w="1317" w:type="dxa"/>
          </w:tcPr>
          <w:p w14:paraId="43C07FBF" w14:textId="77777777" w:rsidR="0054112C" w:rsidRDefault="0054112C" w:rsidP="00A9220E">
            <w:pPr>
              <w:jc w:val="center"/>
              <w:rPr>
                <w:rFonts w:eastAsia="Times New Roman" w:cstheme="minorHAnsi"/>
                <w:color w:val="000000"/>
                <w:lang w:val="en-GB"/>
              </w:rPr>
            </w:pPr>
          </w:p>
        </w:tc>
        <w:tc>
          <w:tcPr>
            <w:tcW w:w="1980" w:type="dxa"/>
          </w:tcPr>
          <w:p w14:paraId="4AF1A4FE" w14:textId="77777777" w:rsidR="0054112C" w:rsidRDefault="0054112C" w:rsidP="00A9220E">
            <w:pPr>
              <w:jc w:val="center"/>
              <w:rPr>
                <w:rFonts w:eastAsia="Times New Roman" w:cstheme="minorHAnsi"/>
                <w:color w:val="000000"/>
                <w:lang w:val="en-GB"/>
              </w:rPr>
            </w:pPr>
          </w:p>
        </w:tc>
        <w:tc>
          <w:tcPr>
            <w:tcW w:w="2070" w:type="dxa"/>
          </w:tcPr>
          <w:p w14:paraId="33537F9D" w14:textId="77777777" w:rsidR="0054112C" w:rsidRDefault="0054112C" w:rsidP="00A9220E">
            <w:pPr>
              <w:rPr>
                <w:rFonts w:eastAsia="Times New Roman" w:cstheme="minorHAnsi"/>
                <w:color w:val="000000"/>
                <w:lang w:val="en-GB"/>
              </w:rPr>
            </w:pPr>
          </w:p>
        </w:tc>
        <w:tc>
          <w:tcPr>
            <w:tcW w:w="1710" w:type="dxa"/>
          </w:tcPr>
          <w:p w14:paraId="25536D9F" w14:textId="77777777" w:rsidR="0054112C" w:rsidRDefault="0054112C" w:rsidP="00A9220E">
            <w:pPr>
              <w:rPr>
                <w:rFonts w:eastAsia="Times New Roman" w:cstheme="minorHAnsi"/>
                <w:color w:val="000000"/>
                <w:lang w:val="en-GB"/>
              </w:rPr>
            </w:pPr>
          </w:p>
        </w:tc>
      </w:tr>
      <w:tr w:rsidR="0054112C" w14:paraId="0235843D" w14:textId="77777777" w:rsidTr="0050018A">
        <w:tc>
          <w:tcPr>
            <w:tcW w:w="549" w:type="dxa"/>
            <w:vAlign w:val="center"/>
          </w:tcPr>
          <w:p w14:paraId="21329E39"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B4</w:t>
            </w:r>
          </w:p>
        </w:tc>
        <w:tc>
          <w:tcPr>
            <w:tcW w:w="2814" w:type="dxa"/>
            <w:vAlign w:val="center"/>
          </w:tcPr>
          <w:p w14:paraId="2DECC2C1"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 xml:space="preserve">Compilation issues:  improve compilation guidance </w:t>
            </w:r>
            <w:proofErr w:type="gramStart"/>
            <w:r w:rsidRPr="004C1A39">
              <w:rPr>
                <w:rFonts w:eastAsia="Times New Roman" w:cstheme="minorHAnsi"/>
                <w:sz w:val="20"/>
                <w:szCs w:val="20"/>
                <w:lang w:eastAsia="en-US"/>
              </w:rPr>
              <w:t>taking into account</w:t>
            </w:r>
            <w:proofErr w:type="gramEnd"/>
            <w:r w:rsidRPr="004C1A39">
              <w:rPr>
                <w:rFonts w:eastAsia="Times New Roman" w:cstheme="minorHAnsi"/>
                <w:sz w:val="20"/>
                <w:szCs w:val="20"/>
                <w:lang w:eastAsia="en-US"/>
              </w:rPr>
              <w:t xml:space="preserve"> diverse and country-specific differences</w:t>
            </w:r>
          </w:p>
        </w:tc>
        <w:tc>
          <w:tcPr>
            <w:tcW w:w="1317" w:type="dxa"/>
          </w:tcPr>
          <w:p w14:paraId="6EF83BFB" w14:textId="77777777" w:rsidR="0054112C" w:rsidRDefault="0054112C" w:rsidP="00A9220E">
            <w:pPr>
              <w:jc w:val="center"/>
              <w:rPr>
                <w:rFonts w:eastAsia="Times New Roman" w:cstheme="minorHAnsi"/>
                <w:color w:val="000000"/>
                <w:lang w:val="en-GB"/>
              </w:rPr>
            </w:pPr>
          </w:p>
        </w:tc>
        <w:tc>
          <w:tcPr>
            <w:tcW w:w="1980" w:type="dxa"/>
          </w:tcPr>
          <w:p w14:paraId="4421EC2B" w14:textId="77777777" w:rsidR="0054112C" w:rsidRDefault="0054112C" w:rsidP="00A9220E">
            <w:pPr>
              <w:jc w:val="center"/>
              <w:rPr>
                <w:rFonts w:eastAsia="Times New Roman" w:cstheme="minorHAnsi"/>
                <w:color w:val="000000"/>
                <w:lang w:val="en-GB"/>
              </w:rPr>
            </w:pPr>
          </w:p>
        </w:tc>
        <w:tc>
          <w:tcPr>
            <w:tcW w:w="2070" w:type="dxa"/>
          </w:tcPr>
          <w:p w14:paraId="646DFB52" w14:textId="77777777" w:rsidR="0054112C" w:rsidRDefault="0054112C" w:rsidP="00A9220E">
            <w:pPr>
              <w:rPr>
                <w:rFonts w:eastAsia="Times New Roman" w:cstheme="minorHAnsi"/>
                <w:color w:val="000000"/>
                <w:lang w:val="en-GB"/>
              </w:rPr>
            </w:pPr>
          </w:p>
        </w:tc>
        <w:tc>
          <w:tcPr>
            <w:tcW w:w="1710" w:type="dxa"/>
          </w:tcPr>
          <w:p w14:paraId="6A4F607D" w14:textId="77777777" w:rsidR="0054112C" w:rsidRDefault="0054112C" w:rsidP="00A9220E">
            <w:pPr>
              <w:rPr>
                <w:rFonts w:eastAsia="Times New Roman" w:cstheme="minorHAnsi"/>
                <w:color w:val="000000"/>
                <w:lang w:val="en-GB"/>
              </w:rPr>
            </w:pPr>
          </w:p>
        </w:tc>
      </w:tr>
      <w:tr w:rsidR="0054112C" w14:paraId="01EF3AD7" w14:textId="77777777" w:rsidTr="0050018A">
        <w:tc>
          <w:tcPr>
            <w:tcW w:w="549" w:type="dxa"/>
            <w:vAlign w:val="center"/>
          </w:tcPr>
          <w:p w14:paraId="5A1ED00E"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B5</w:t>
            </w:r>
          </w:p>
        </w:tc>
        <w:tc>
          <w:tcPr>
            <w:tcW w:w="2814" w:type="dxa"/>
            <w:vAlign w:val="center"/>
          </w:tcPr>
          <w:p w14:paraId="6B209642"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Individual/collective expenditure:  remain as basis to draw borderline between individual and collective goods and services; retain alignment with SNA</w:t>
            </w:r>
          </w:p>
        </w:tc>
        <w:tc>
          <w:tcPr>
            <w:tcW w:w="1317" w:type="dxa"/>
          </w:tcPr>
          <w:p w14:paraId="5C314568" w14:textId="77777777" w:rsidR="0054112C" w:rsidRDefault="0054112C" w:rsidP="00A9220E">
            <w:pPr>
              <w:jc w:val="center"/>
              <w:rPr>
                <w:rFonts w:eastAsia="Times New Roman" w:cstheme="minorHAnsi"/>
                <w:color w:val="000000"/>
                <w:lang w:val="en-GB"/>
              </w:rPr>
            </w:pPr>
          </w:p>
        </w:tc>
        <w:tc>
          <w:tcPr>
            <w:tcW w:w="1980" w:type="dxa"/>
          </w:tcPr>
          <w:p w14:paraId="6940821E" w14:textId="77777777" w:rsidR="0054112C" w:rsidRDefault="0054112C" w:rsidP="00A9220E">
            <w:pPr>
              <w:jc w:val="center"/>
              <w:rPr>
                <w:rFonts w:eastAsia="Times New Roman" w:cstheme="minorHAnsi"/>
                <w:color w:val="000000"/>
                <w:lang w:val="en-GB"/>
              </w:rPr>
            </w:pPr>
          </w:p>
        </w:tc>
        <w:tc>
          <w:tcPr>
            <w:tcW w:w="2070" w:type="dxa"/>
          </w:tcPr>
          <w:p w14:paraId="6ACCA2D8" w14:textId="77777777" w:rsidR="0054112C" w:rsidRDefault="0054112C" w:rsidP="00A9220E">
            <w:pPr>
              <w:rPr>
                <w:rFonts w:eastAsia="Times New Roman" w:cstheme="minorHAnsi"/>
                <w:color w:val="000000"/>
                <w:lang w:val="en-GB"/>
              </w:rPr>
            </w:pPr>
          </w:p>
        </w:tc>
        <w:tc>
          <w:tcPr>
            <w:tcW w:w="1710" w:type="dxa"/>
          </w:tcPr>
          <w:p w14:paraId="47903287" w14:textId="77777777" w:rsidR="0054112C" w:rsidRDefault="0054112C" w:rsidP="00A9220E">
            <w:pPr>
              <w:rPr>
                <w:rFonts w:eastAsia="Times New Roman" w:cstheme="minorHAnsi"/>
                <w:color w:val="000000"/>
                <w:lang w:val="en-GB"/>
              </w:rPr>
            </w:pPr>
          </w:p>
        </w:tc>
      </w:tr>
      <w:tr w:rsidR="0054112C" w14:paraId="1AFE58C1" w14:textId="77777777" w:rsidTr="0050018A">
        <w:tc>
          <w:tcPr>
            <w:tcW w:w="549" w:type="dxa"/>
            <w:vAlign w:val="center"/>
          </w:tcPr>
          <w:p w14:paraId="51B0FCC2"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B6</w:t>
            </w:r>
          </w:p>
        </w:tc>
        <w:tc>
          <w:tcPr>
            <w:tcW w:w="2814" w:type="dxa"/>
            <w:vAlign w:val="center"/>
          </w:tcPr>
          <w:p w14:paraId="0DDD703B" w14:textId="77777777" w:rsidR="0054112C" w:rsidRDefault="0054112C" w:rsidP="00A9220E">
            <w:pPr>
              <w:rPr>
                <w:rFonts w:eastAsia="Times New Roman" w:cstheme="minorHAnsi"/>
                <w:sz w:val="20"/>
                <w:szCs w:val="20"/>
                <w:lang w:eastAsia="en-US"/>
              </w:rPr>
            </w:pPr>
            <w:r>
              <w:rPr>
                <w:rFonts w:eastAsia="Times New Roman" w:cstheme="minorHAnsi"/>
                <w:sz w:val="20"/>
                <w:szCs w:val="20"/>
                <w:lang w:eastAsia="en-US"/>
              </w:rPr>
              <w:t>Internal consistency</w:t>
            </w:r>
            <w:r w:rsidRPr="004C1A39">
              <w:rPr>
                <w:rFonts w:eastAsia="Times New Roman" w:cstheme="minorHAnsi"/>
                <w:sz w:val="20"/>
                <w:szCs w:val="20"/>
                <w:lang w:eastAsia="en-US"/>
              </w:rPr>
              <w:t xml:space="preserve"> with </w:t>
            </w:r>
            <w:r>
              <w:rPr>
                <w:rFonts w:eastAsia="Times New Roman" w:cstheme="minorHAnsi"/>
                <w:sz w:val="20"/>
                <w:szCs w:val="20"/>
                <w:lang w:eastAsia="en-US"/>
              </w:rPr>
              <w:t xml:space="preserve">the </w:t>
            </w:r>
            <w:r w:rsidRPr="004C1A39">
              <w:rPr>
                <w:rFonts w:eastAsia="Times New Roman" w:cstheme="minorHAnsi"/>
                <w:sz w:val="20"/>
                <w:szCs w:val="20"/>
                <w:lang w:eastAsia="en-US"/>
              </w:rPr>
              <w:t>other classifications of expenditure according to purpose</w:t>
            </w:r>
            <w:r>
              <w:rPr>
                <w:rFonts w:eastAsia="Times New Roman" w:cstheme="minorHAnsi"/>
                <w:sz w:val="20"/>
                <w:szCs w:val="20"/>
                <w:lang w:eastAsia="en-US"/>
              </w:rPr>
              <w:t xml:space="preserve">, namely </w:t>
            </w:r>
            <w:r w:rsidRPr="004C1A39">
              <w:rPr>
                <w:rFonts w:eastAsia="Times New Roman" w:cstheme="minorHAnsi"/>
                <w:sz w:val="20"/>
                <w:szCs w:val="20"/>
                <w:lang w:eastAsia="en-US"/>
              </w:rPr>
              <w:t>COICOP, COPP, COPNI</w:t>
            </w:r>
          </w:p>
        </w:tc>
        <w:tc>
          <w:tcPr>
            <w:tcW w:w="1317" w:type="dxa"/>
          </w:tcPr>
          <w:p w14:paraId="03273212" w14:textId="77777777" w:rsidR="0054112C" w:rsidRDefault="0054112C" w:rsidP="00A9220E">
            <w:pPr>
              <w:jc w:val="center"/>
              <w:rPr>
                <w:rFonts w:eastAsia="Times New Roman" w:cstheme="minorHAnsi"/>
                <w:color w:val="000000"/>
                <w:lang w:val="en-GB"/>
              </w:rPr>
            </w:pPr>
          </w:p>
        </w:tc>
        <w:tc>
          <w:tcPr>
            <w:tcW w:w="1980" w:type="dxa"/>
          </w:tcPr>
          <w:p w14:paraId="11B89D94" w14:textId="77777777" w:rsidR="0054112C" w:rsidRDefault="0054112C" w:rsidP="00A9220E">
            <w:pPr>
              <w:jc w:val="center"/>
              <w:rPr>
                <w:rFonts w:eastAsia="Times New Roman" w:cstheme="minorHAnsi"/>
                <w:color w:val="000000"/>
                <w:lang w:val="en-GB"/>
              </w:rPr>
            </w:pPr>
          </w:p>
        </w:tc>
        <w:tc>
          <w:tcPr>
            <w:tcW w:w="2070" w:type="dxa"/>
          </w:tcPr>
          <w:p w14:paraId="728203B7" w14:textId="77777777" w:rsidR="0054112C" w:rsidRDefault="0054112C" w:rsidP="00A9220E">
            <w:pPr>
              <w:rPr>
                <w:rFonts w:eastAsia="Times New Roman" w:cstheme="minorHAnsi"/>
                <w:color w:val="000000"/>
                <w:lang w:val="en-GB"/>
              </w:rPr>
            </w:pPr>
          </w:p>
        </w:tc>
        <w:tc>
          <w:tcPr>
            <w:tcW w:w="1710" w:type="dxa"/>
          </w:tcPr>
          <w:p w14:paraId="00D5893B" w14:textId="77777777" w:rsidR="0054112C" w:rsidRDefault="0054112C" w:rsidP="00A9220E">
            <w:pPr>
              <w:rPr>
                <w:rFonts w:eastAsia="Times New Roman" w:cstheme="minorHAnsi"/>
                <w:color w:val="000000"/>
                <w:lang w:val="en-GB"/>
              </w:rPr>
            </w:pPr>
          </w:p>
        </w:tc>
      </w:tr>
      <w:tr w:rsidR="0054112C" w14:paraId="11DD2D5B" w14:textId="77777777" w:rsidTr="0050018A">
        <w:tc>
          <w:tcPr>
            <w:tcW w:w="549" w:type="dxa"/>
            <w:vAlign w:val="center"/>
          </w:tcPr>
          <w:p w14:paraId="2A9FA00F"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B7</w:t>
            </w:r>
          </w:p>
        </w:tc>
        <w:tc>
          <w:tcPr>
            <w:tcW w:w="2814" w:type="dxa"/>
            <w:vAlign w:val="center"/>
          </w:tcPr>
          <w:p w14:paraId="48CC2A6A" w14:textId="77777777" w:rsidR="0054112C" w:rsidRDefault="0054112C" w:rsidP="00A9220E">
            <w:pPr>
              <w:rPr>
                <w:rFonts w:eastAsia="Times New Roman" w:cstheme="minorHAnsi"/>
                <w:sz w:val="20"/>
                <w:szCs w:val="20"/>
                <w:lang w:eastAsia="en-US"/>
              </w:rPr>
            </w:pPr>
            <w:r w:rsidRPr="004C1A39">
              <w:rPr>
                <w:rFonts w:eastAsia="Times New Roman" w:cstheme="minorHAnsi"/>
                <w:sz w:val="20"/>
                <w:szCs w:val="20"/>
                <w:lang w:eastAsia="en-US"/>
              </w:rPr>
              <w:t>Alignment with other classifications/frameworks</w:t>
            </w:r>
          </w:p>
        </w:tc>
        <w:tc>
          <w:tcPr>
            <w:tcW w:w="1317" w:type="dxa"/>
          </w:tcPr>
          <w:p w14:paraId="5B840739" w14:textId="77777777" w:rsidR="0054112C" w:rsidRDefault="0054112C" w:rsidP="00A9220E">
            <w:pPr>
              <w:jc w:val="center"/>
              <w:rPr>
                <w:rFonts w:eastAsia="Times New Roman" w:cstheme="minorHAnsi"/>
                <w:color w:val="000000"/>
                <w:lang w:val="en-GB"/>
              </w:rPr>
            </w:pPr>
          </w:p>
        </w:tc>
        <w:tc>
          <w:tcPr>
            <w:tcW w:w="1980" w:type="dxa"/>
          </w:tcPr>
          <w:p w14:paraId="73160EA3" w14:textId="77777777" w:rsidR="0054112C" w:rsidRDefault="0054112C" w:rsidP="00A9220E">
            <w:pPr>
              <w:jc w:val="center"/>
              <w:rPr>
                <w:rFonts w:eastAsia="Times New Roman" w:cstheme="minorHAnsi"/>
                <w:color w:val="000000"/>
                <w:lang w:val="en-GB"/>
              </w:rPr>
            </w:pPr>
          </w:p>
        </w:tc>
        <w:tc>
          <w:tcPr>
            <w:tcW w:w="2070" w:type="dxa"/>
          </w:tcPr>
          <w:p w14:paraId="303C89DD" w14:textId="77777777" w:rsidR="0054112C" w:rsidRDefault="0054112C" w:rsidP="00A9220E">
            <w:pPr>
              <w:rPr>
                <w:rFonts w:eastAsia="Times New Roman" w:cstheme="minorHAnsi"/>
                <w:color w:val="000000"/>
                <w:lang w:val="en-GB"/>
              </w:rPr>
            </w:pPr>
          </w:p>
        </w:tc>
        <w:tc>
          <w:tcPr>
            <w:tcW w:w="1710" w:type="dxa"/>
          </w:tcPr>
          <w:p w14:paraId="1D81A680" w14:textId="77777777" w:rsidR="0054112C" w:rsidRDefault="0054112C" w:rsidP="00A9220E">
            <w:pPr>
              <w:rPr>
                <w:rFonts w:eastAsia="Times New Roman" w:cstheme="minorHAnsi"/>
                <w:color w:val="000000"/>
                <w:lang w:val="en-GB"/>
              </w:rPr>
            </w:pPr>
          </w:p>
        </w:tc>
      </w:tr>
    </w:tbl>
    <w:p w14:paraId="387E5DA0" w14:textId="77777777" w:rsidR="0054112C" w:rsidRPr="009217D0" w:rsidRDefault="0054112C" w:rsidP="0054112C">
      <w:pPr>
        <w:spacing w:after="0"/>
        <w:rPr>
          <w:rFonts w:cstheme="minorHAnsi"/>
          <w:b/>
          <w:bCs/>
          <w:color w:val="000000"/>
        </w:rPr>
      </w:pPr>
    </w:p>
    <w:p w14:paraId="62DAA581" w14:textId="77777777" w:rsidR="0054112C" w:rsidRPr="009217D0" w:rsidRDefault="0054112C" w:rsidP="0054112C">
      <w:pPr>
        <w:spacing w:after="0"/>
        <w:rPr>
          <w:rFonts w:ascii="Times New Roman" w:eastAsia="Times New Roman" w:hAnsi="Times New Roman" w:cstheme="minorHAnsi"/>
          <w:b/>
          <w:bCs/>
          <w:color w:val="000000"/>
          <w:lang w:eastAsia="en-US"/>
        </w:rPr>
      </w:pPr>
      <w:r w:rsidRPr="009217D0">
        <w:rPr>
          <w:rFonts w:cstheme="minorHAnsi"/>
          <w:b/>
          <w:bCs/>
          <w:color w:val="000000"/>
        </w:rPr>
        <w:t>Part IV. Additional Questions</w:t>
      </w:r>
    </w:p>
    <w:p w14:paraId="790C32A8" w14:textId="77777777" w:rsidR="0054112C" w:rsidRPr="009217D0" w:rsidRDefault="0054112C" w:rsidP="0054112C">
      <w:pPr>
        <w:pStyle w:val="NormalWeb"/>
        <w:spacing w:before="0" w:beforeAutospacing="0" w:after="0" w:afterAutospacing="0"/>
        <w:rPr>
          <w:rFonts w:asciiTheme="minorHAnsi" w:hAnsiTheme="minorHAnsi" w:cstheme="minorHAnsi"/>
          <w:b/>
          <w:bCs/>
          <w:color w:val="000000"/>
          <w:sz w:val="20"/>
          <w:szCs w:val="20"/>
        </w:rPr>
      </w:pPr>
    </w:p>
    <w:p w14:paraId="64004D57" w14:textId="77777777" w:rsidR="0054112C" w:rsidRPr="009217D0" w:rsidRDefault="0054112C" w:rsidP="00D25872">
      <w:pPr>
        <w:pStyle w:val="NormalWeb"/>
        <w:numPr>
          <w:ilvl w:val="0"/>
          <w:numId w:val="2"/>
        </w:numPr>
        <w:spacing w:before="0" w:beforeAutospacing="0" w:after="0" w:afterAutospacing="0"/>
        <w:rPr>
          <w:rFonts w:asciiTheme="minorHAnsi" w:hAnsiTheme="minorHAnsi" w:cstheme="minorHAnsi"/>
          <w:b/>
          <w:bCs/>
          <w:color w:val="000000"/>
          <w:sz w:val="20"/>
          <w:szCs w:val="20"/>
        </w:rPr>
      </w:pPr>
      <w:r w:rsidRPr="009217D0">
        <w:rPr>
          <w:rFonts w:asciiTheme="minorHAnsi" w:hAnsiTheme="minorHAnsi" w:cstheme="minorHAnsi"/>
          <w:b/>
          <w:bCs/>
          <w:color w:val="000000"/>
          <w:sz w:val="20"/>
          <w:szCs w:val="20"/>
        </w:rPr>
        <w:t xml:space="preserve">In your view, are there other issues that should be considered for the revision of COFOG?  Please explain. </w:t>
      </w:r>
    </w:p>
    <w:p w14:paraId="7AA3FB9D" w14:textId="77777777" w:rsidR="0054112C" w:rsidRPr="009217D0" w:rsidRDefault="0054112C" w:rsidP="0054112C">
      <w:pPr>
        <w:pStyle w:val="NormalWeb"/>
        <w:spacing w:before="0" w:beforeAutospacing="0" w:after="0" w:afterAutospacing="0"/>
        <w:ind w:firstLine="360"/>
        <w:rPr>
          <w:rFonts w:asciiTheme="minorHAnsi" w:hAnsiTheme="minorHAnsi" w:cstheme="minorHAnsi"/>
          <w:b/>
          <w:bCs/>
          <w:color w:val="000000"/>
          <w:sz w:val="20"/>
          <w:szCs w:val="20"/>
        </w:rPr>
      </w:pPr>
      <w:r w:rsidRPr="009217D0">
        <w:rPr>
          <w:rFonts w:asciiTheme="minorHAnsi" w:hAnsiTheme="minorHAnsi" w:cstheme="minorHAnsi"/>
          <w:b/>
          <w:bCs/>
          <w:color w:val="000000"/>
          <w:sz w:val="20"/>
          <w:szCs w:val="20"/>
        </w:rPr>
        <w:t>__________________________________________________________________________________</w:t>
      </w:r>
    </w:p>
    <w:p w14:paraId="7FF89D48" w14:textId="77777777" w:rsidR="0054112C" w:rsidRPr="009217D0" w:rsidRDefault="0054112C" w:rsidP="0054112C">
      <w:pPr>
        <w:pStyle w:val="NormalWeb"/>
        <w:spacing w:before="0" w:beforeAutospacing="0" w:after="0" w:afterAutospacing="0"/>
        <w:ind w:firstLine="360"/>
        <w:rPr>
          <w:rFonts w:asciiTheme="minorHAnsi" w:hAnsiTheme="minorHAnsi" w:cstheme="minorHAnsi"/>
          <w:b/>
          <w:bCs/>
          <w:color w:val="000000"/>
          <w:sz w:val="20"/>
          <w:szCs w:val="20"/>
        </w:rPr>
      </w:pPr>
      <w:r w:rsidRPr="009217D0">
        <w:rPr>
          <w:rFonts w:asciiTheme="minorHAnsi" w:hAnsiTheme="minorHAnsi" w:cstheme="minorHAnsi"/>
          <w:b/>
          <w:bCs/>
          <w:color w:val="000000"/>
          <w:sz w:val="20"/>
          <w:szCs w:val="20"/>
        </w:rPr>
        <w:t>__________________________________________________________________________________</w:t>
      </w:r>
    </w:p>
    <w:p w14:paraId="7FB6DF0B" w14:textId="77777777" w:rsidR="0054112C" w:rsidRPr="009217D0" w:rsidRDefault="0054112C" w:rsidP="0054112C">
      <w:pPr>
        <w:pStyle w:val="NormalWeb"/>
        <w:spacing w:before="0" w:beforeAutospacing="0" w:after="0" w:afterAutospacing="0"/>
        <w:ind w:firstLine="360"/>
        <w:rPr>
          <w:rFonts w:asciiTheme="minorHAnsi" w:hAnsiTheme="minorHAnsi" w:cstheme="minorHAnsi"/>
          <w:b/>
          <w:bCs/>
          <w:color w:val="000000"/>
          <w:sz w:val="20"/>
          <w:szCs w:val="20"/>
        </w:rPr>
      </w:pPr>
    </w:p>
    <w:p w14:paraId="2597ADFF" w14:textId="77777777" w:rsidR="0054112C" w:rsidRPr="009217D0" w:rsidRDefault="0054112C" w:rsidP="00D25872">
      <w:pPr>
        <w:pStyle w:val="NormalWeb"/>
        <w:numPr>
          <w:ilvl w:val="0"/>
          <w:numId w:val="2"/>
        </w:numPr>
        <w:spacing w:before="0" w:beforeAutospacing="0" w:after="0" w:afterAutospacing="0"/>
        <w:rPr>
          <w:rFonts w:asciiTheme="minorHAnsi" w:hAnsiTheme="minorHAnsi" w:cstheme="minorHAnsi"/>
          <w:b/>
          <w:bCs/>
          <w:color w:val="000000"/>
          <w:sz w:val="20"/>
          <w:szCs w:val="20"/>
        </w:rPr>
      </w:pPr>
      <w:r w:rsidRPr="009217D0">
        <w:rPr>
          <w:rFonts w:asciiTheme="minorHAnsi" w:hAnsiTheme="minorHAnsi" w:cstheme="minorHAnsi"/>
          <w:b/>
          <w:bCs/>
          <w:color w:val="000000"/>
          <w:sz w:val="20"/>
          <w:szCs w:val="20"/>
        </w:rPr>
        <w:t xml:space="preserve">Are there divisions of COFOG that need a new group, class, or subclass? </w:t>
      </w:r>
      <w:r w:rsidRPr="009217D0">
        <w:rPr>
          <w:rFonts w:asciiTheme="minorHAnsi" w:hAnsiTheme="minorHAnsi" w:cstheme="minorHAnsi"/>
          <w:b/>
          <w:bCs/>
          <w:color w:val="000000"/>
          <w:sz w:val="20"/>
          <w:szCs w:val="20"/>
        </w:rPr>
        <w:br/>
        <w:t>Please be specific in your answer and indicate the relevant COFOG codes and/or titles</w:t>
      </w:r>
    </w:p>
    <w:p w14:paraId="46FAD2FF" w14:textId="77777777" w:rsidR="0054112C" w:rsidRPr="009217D0" w:rsidRDefault="0054112C" w:rsidP="0054112C">
      <w:pPr>
        <w:pStyle w:val="NormalWeb"/>
        <w:spacing w:before="0" w:beforeAutospacing="0" w:after="0" w:afterAutospacing="0"/>
        <w:ind w:left="360"/>
        <w:rPr>
          <w:rFonts w:asciiTheme="minorHAnsi" w:hAnsiTheme="minorHAnsi" w:cstheme="minorHAnsi"/>
          <w:color w:val="000000"/>
          <w:sz w:val="20"/>
          <w:szCs w:val="20"/>
          <w:u w:val="single"/>
        </w:rPr>
      </w:pPr>
      <w:r w:rsidRPr="009217D0">
        <w:rPr>
          <w:rFonts w:asciiTheme="minorHAnsi" w:hAnsiTheme="minorHAnsi" w:cstheme="minorHAnsi"/>
          <w:color w:val="000000"/>
          <w:sz w:val="20"/>
          <w:szCs w:val="20"/>
        </w:rPr>
        <w:t xml:space="preserve">☐ Yes. Please specify: </w:t>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p>
    <w:p w14:paraId="1F7D65CB" w14:textId="77777777" w:rsidR="0054112C" w:rsidRPr="009217D0" w:rsidRDefault="0054112C" w:rsidP="0054112C">
      <w:pPr>
        <w:pStyle w:val="NormalWeb"/>
        <w:spacing w:before="0" w:beforeAutospacing="0" w:after="0" w:afterAutospacing="0"/>
        <w:ind w:left="360"/>
        <w:rPr>
          <w:rFonts w:asciiTheme="minorHAnsi" w:hAnsiTheme="minorHAnsi" w:cstheme="minorHAnsi"/>
          <w:color w:val="000000"/>
          <w:sz w:val="20"/>
          <w:szCs w:val="20"/>
          <w:u w:val="single"/>
        </w:rPr>
      </w:pPr>
      <w:r w:rsidRPr="009217D0">
        <w:rPr>
          <w:rFonts w:asciiTheme="minorHAnsi" w:hAnsiTheme="minorHAnsi" w:cstheme="minorHAnsi"/>
          <w:color w:val="000000"/>
          <w:sz w:val="20"/>
          <w:szCs w:val="20"/>
          <w:u w:val="single"/>
        </w:rPr>
        <w:lastRenderedPageBreak/>
        <w:t>__________________________________________________________________________________</w:t>
      </w:r>
    </w:p>
    <w:p w14:paraId="28B6D877" w14:textId="77777777" w:rsidR="0054112C" w:rsidRPr="009217D0" w:rsidRDefault="0054112C" w:rsidP="0054112C">
      <w:pPr>
        <w:pStyle w:val="NormalWeb"/>
        <w:spacing w:before="0" w:beforeAutospacing="0" w:after="0" w:afterAutospacing="0"/>
        <w:ind w:left="360"/>
        <w:rPr>
          <w:rFonts w:asciiTheme="minorHAnsi" w:hAnsiTheme="minorHAnsi" w:cstheme="minorHAnsi"/>
          <w:color w:val="000000"/>
          <w:sz w:val="20"/>
          <w:szCs w:val="20"/>
        </w:rPr>
      </w:pPr>
      <w:r w:rsidRPr="009217D0">
        <w:rPr>
          <w:rFonts w:asciiTheme="minorHAnsi" w:hAnsiTheme="minorHAnsi" w:cstheme="minorHAnsi"/>
          <w:color w:val="000000"/>
          <w:sz w:val="20"/>
          <w:szCs w:val="20"/>
        </w:rPr>
        <w:t>☐ No</w:t>
      </w:r>
    </w:p>
    <w:p w14:paraId="099B1E28" w14:textId="77777777" w:rsidR="0054112C" w:rsidRPr="009217D0" w:rsidRDefault="0054112C" w:rsidP="0054112C">
      <w:pPr>
        <w:pStyle w:val="NormalWeb"/>
        <w:spacing w:before="0" w:beforeAutospacing="0" w:after="0" w:afterAutospacing="0"/>
        <w:rPr>
          <w:rFonts w:asciiTheme="minorHAnsi" w:hAnsiTheme="minorHAnsi" w:cstheme="minorHAnsi"/>
          <w:b/>
          <w:bCs/>
          <w:color w:val="000000"/>
          <w:sz w:val="20"/>
          <w:szCs w:val="20"/>
        </w:rPr>
      </w:pPr>
    </w:p>
    <w:p w14:paraId="1EE09E9A" w14:textId="77777777" w:rsidR="0054112C" w:rsidRPr="009217D0" w:rsidRDefault="0054112C" w:rsidP="00D25872">
      <w:pPr>
        <w:pStyle w:val="NormalWeb"/>
        <w:numPr>
          <w:ilvl w:val="0"/>
          <w:numId w:val="2"/>
        </w:numPr>
        <w:spacing w:before="0" w:beforeAutospacing="0" w:after="0" w:afterAutospacing="0"/>
        <w:rPr>
          <w:rFonts w:asciiTheme="minorHAnsi" w:hAnsiTheme="minorHAnsi" w:cstheme="minorHAnsi"/>
          <w:b/>
          <w:bCs/>
          <w:color w:val="000000"/>
          <w:sz w:val="20"/>
          <w:szCs w:val="20"/>
        </w:rPr>
      </w:pPr>
      <w:r w:rsidRPr="009217D0">
        <w:rPr>
          <w:rFonts w:asciiTheme="minorHAnsi" w:hAnsiTheme="minorHAnsi" w:cstheme="minorHAnsi"/>
          <w:b/>
          <w:bCs/>
          <w:color w:val="000000"/>
          <w:sz w:val="20"/>
          <w:szCs w:val="20"/>
        </w:rPr>
        <w:t xml:space="preserve">In your view, are there divisions, groups or classes in COFOG that are now obsolete or less relevant to identify separately? </w:t>
      </w:r>
      <w:r w:rsidRPr="009217D0">
        <w:rPr>
          <w:rFonts w:asciiTheme="minorHAnsi" w:hAnsiTheme="minorHAnsi" w:cstheme="minorHAnsi"/>
          <w:b/>
          <w:bCs/>
          <w:color w:val="000000"/>
          <w:sz w:val="20"/>
          <w:szCs w:val="20"/>
        </w:rPr>
        <w:br/>
        <w:t>Please be specific in your answer and indicate the relevant COFOG codes and/or titles</w:t>
      </w:r>
    </w:p>
    <w:p w14:paraId="2A314B05" w14:textId="77777777" w:rsidR="0054112C" w:rsidRPr="009217D0" w:rsidRDefault="0054112C" w:rsidP="0054112C">
      <w:pPr>
        <w:pStyle w:val="NormalWeb"/>
        <w:spacing w:before="0" w:beforeAutospacing="0" w:after="0" w:afterAutospacing="0"/>
        <w:ind w:left="360"/>
        <w:rPr>
          <w:rFonts w:asciiTheme="minorHAnsi" w:hAnsiTheme="minorHAnsi" w:cstheme="minorHAnsi"/>
          <w:color w:val="000000"/>
          <w:sz w:val="20"/>
          <w:szCs w:val="20"/>
        </w:rPr>
      </w:pPr>
      <w:r w:rsidRPr="009217D0">
        <w:rPr>
          <w:rFonts w:asciiTheme="minorHAnsi" w:hAnsiTheme="minorHAnsi" w:cstheme="minorHAnsi"/>
          <w:color w:val="000000"/>
          <w:sz w:val="20"/>
          <w:szCs w:val="20"/>
        </w:rPr>
        <w:t xml:space="preserve">☐ Yes. Please specify: </w:t>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r w:rsidRPr="009217D0">
        <w:rPr>
          <w:rFonts w:asciiTheme="minorHAnsi" w:hAnsiTheme="minorHAnsi" w:cstheme="minorHAnsi"/>
          <w:color w:val="000000"/>
          <w:sz w:val="20"/>
          <w:szCs w:val="20"/>
          <w:u w:val="single"/>
        </w:rPr>
        <w:tab/>
      </w:r>
    </w:p>
    <w:p w14:paraId="4017C6D3" w14:textId="77777777" w:rsidR="0054112C" w:rsidRPr="009217D0" w:rsidRDefault="0054112C" w:rsidP="0054112C">
      <w:pPr>
        <w:pStyle w:val="NormalWeb"/>
        <w:spacing w:before="0" w:beforeAutospacing="0" w:after="0" w:afterAutospacing="0"/>
        <w:ind w:left="360"/>
        <w:rPr>
          <w:rFonts w:asciiTheme="minorHAnsi" w:hAnsiTheme="minorHAnsi" w:cstheme="minorHAnsi"/>
          <w:color w:val="000000"/>
          <w:sz w:val="20"/>
          <w:szCs w:val="20"/>
        </w:rPr>
      </w:pPr>
      <w:r w:rsidRPr="009217D0">
        <w:rPr>
          <w:rFonts w:asciiTheme="minorHAnsi" w:hAnsiTheme="minorHAnsi" w:cstheme="minorHAnsi"/>
          <w:color w:val="000000"/>
          <w:sz w:val="20"/>
          <w:szCs w:val="20"/>
        </w:rPr>
        <w:t>☐ No</w:t>
      </w:r>
    </w:p>
    <w:p w14:paraId="6B33557B" w14:textId="77777777" w:rsidR="0054112C" w:rsidRPr="009217D0" w:rsidRDefault="0054112C" w:rsidP="0054112C">
      <w:pPr>
        <w:pStyle w:val="NormalWeb"/>
        <w:spacing w:before="0" w:beforeAutospacing="0" w:after="0" w:afterAutospacing="0"/>
        <w:ind w:left="360"/>
        <w:rPr>
          <w:rFonts w:asciiTheme="minorHAnsi" w:hAnsiTheme="minorHAnsi" w:cstheme="minorHAnsi"/>
          <w:b/>
          <w:bCs/>
          <w:color w:val="000000"/>
          <w:sz w:val="20"/>
          <w:szCs w:val="20"/>
        </w:rPr>
      </w:pPr>
    </w:p>
    <w:p w14:paraId="2B633ECE" w14:textId="77777777" w:rsidR="0054112C" w:rsidRPr="009217D0" w:rsidRDefault="0054112C" w:rsidP="00D25872">
      <w:pPr>
        <w:pStyle w:val="NormalWeb"/>
        <w:numPr>
          <w:ilvl w:val="0"/>
          <w:numId w:val="2"/>
        </w:numPr>
        <w:spacing w:before="0" w:beforeAutospacing="0" w:after="0" w:afterAutospacing="0"/>
        <w:rPr>
          <w:rFonts w:asciiTheme="minorHAnsi" w:hAnsiTheme="minorHAnsi" w:cstheme="minorHAnsi"/>
          <w:b/>
          <w:bCs/>
          <w:color w:val="000000"/>
          <w:sz w:val="20"/>
          <w:szCs w:val="20"/>
        </w:rPr>
      </w:pPr>
      <w:r w:rsidRPr="009217D0">
        <w:rPr>
          <w:rFonts w:asciiTheme="minorHAnsi" w:hAnsiTheme="minorHAnsi" w:cstheme="minorHAnsi"/>
          <w:b/>
          <w:bCs/>
          <w:color w:val="000000"/>
          <w:sz w:val="20"/>
          <w:szCs w:val="20"/>
        </w:rPr>
        <w:t>Are there any modifications or national adaptations to the COFOG classification that your institution has made to facilitate the collection or dissemination/publication of government expenditure data in your country?</w:t>
      </w:r>
    </w:p>
    <w:p w14:paraId="196D26B3" w14:textId="77777777" w:rsidR="0054112C" w:rsidRPr="009217D0" w:rsidRDefault="0054112C" w:rsidP="0054112C">
      <w:pPr>
        <w:pStyle w:val="NormalWeb"/>
        <w:spacing w:before="0" w:beforeAutospacing="0" w:after="0" w:afterAutospacing="0"/>
        <w:ind w:left="360"/>
        <w:rPr>
          <w:rFonts w:asciiTheme="minorHAnsi" w:hAnsiTheme="minorHAnsi" w:cstheme="minorHAnsi"/>
          <w:b/>
          <w:bCs/>
          <w:color w:val="000000"/>
          <w:sz w:val="20"/>
          <w:szCs w:val="20"/>
          <w:u w:val="single"/>
        </w:rPr>
      </w:pPr>
      <w:r w:rsidRPr="009217D0">
        <w:rPr>
          <w:rFonts w:asciiTheme="minorHAnsi" w:hAnsiTheme="minorHAnsi" w:cstheme="minorHAnsi"/>
          <w:b/>
          <w:bCs/>
          <w:color w:val="000000"/>
          <w:sz w:val="20"/>
          <w:szCs w:val="20"/>
        </w:rPr>
        <w:t xml:space="preserve">☐ </w:t>
      </w:r>
      <w:r w:rsidRPr="009217D0">
        <w:rPr>
          <w:rFonts w:asciiTheme="minorHAnsi" w:hAnsiTheme="minorHAnsi" w:cstheme="minorHAnsi"/>
          <w:color w:val="000000"/>
          <w:sz w:val="20"/>
          <w:szCs w:val="20"/>
        </w:rPr>
        <w:t xml:space="preserve">Yes. Please explain: </w:t>
      </w:r>
      <w:r w:rsidRPr="009217D0">
        <w:rPr>
          <w:rFonts w:asciiTheme="minorHAnsi" w:hAnsiTheme="minorHAnsi" w:cstheme="minorHAnsi"/>
          <w:b/>
          <w:bCs/>
          <w:color w:val="000000"/>
          <w:sz w:val="20"/>
          <w:szCs w:val="20"/>
          <w:u w:val="single"/>
        </w:rPr>
        <w:tab/>
      </w:r>
      <w:r w:rsidRPr="009217D0">
        <w:rPr>
          <w:rFonts w:asciiTheme="minorHAnsi" w:hAnsiTheme="minorHAnsi" w:cstheme="minorHAnsi"/>
          <w:b/>
          <w:bCs/>
          <w:color w:val="000000"/>
          <w:sz w:val="20"/>
          <w:szCs w:val="20"/>
          <w:u w:val="single"/>
        </w:rPr>
        <w:tab/>
      </w:r>
      <w:r w:rsidRPr="009217D0">
        <w:rPr>
          <w:rFonts w:asciiTheme="minorHAnsi" w:hAnsiTheme="minorHAnsi" w:cstheme="minorHAnsi"/>
          <w:b/>
          <w:bCs/>
          <w:color w:val="000000"/>
          <w:sz w:val="20"/>
          <w:szCs w:val="20"/>
          <w:u w:val="single"/>
        </w:rPr>
        <w:tab/>
      </w:r>
      <w:r w:rsidRPr="009217D0">
        <w:rPr>
          <w:rFonts w:asciiTheme="minorHAnsi" w:hAnsiTheme="minorHAnsi" w:cstheme="minorHAnsi"/>
          <w:b/>
          <w:bCs/>
          <w:color w:val="000000"/>
          <w:sz w:val="20"/>
          <w:szCs w:val="20"/>
          <w:u w:val="single"/>
        </w:rPr>
        <w:tab/>
      </w:r>
      <w:r w:rsidRPr="009217D0">
        <w:rPr>
          <w:rFonts w:asciiTheme="minorHAnsi" w:hAnsiTheme="minorHAnsi" w:cstheme="minorHAnsi"/>
          <w:b/>
          <w:bCs/>
          <w:color w:val="000000"/>
          <w:sz w:val="20"/>
          <w:szCs w:val="20"/>
          <w:u w:val="single"/>
        </w:rPr>
        <w:tab/>
      </w:r>
      <w:r w:rsidRPr="009217D0">
        <w:rPr>
          <w:rFonts w:asciiTheme="minorHAnsi" w:hAnsiTheme="minorHAnsi" w:cstheme="minorHAnsi"/>
          <w:b/>
          <w:bCs/>
          <w:color w:val="000000"/>
          <w:sz w:val="20"/>
          <w:szCs w:val="20"/>
          <w:u w:val="single"/>
        </w:rPr>
        <w:tab/>
      </w:r>
      <w:r w:rsidRPr="009217D0">
        <w:rPr>
          <w:rFonts w:asciiTheme="minorHAnsi" w:hAnsiTheme="minorHAnsi" w:cstheme="minorHAnsi"/>
          <w:b/>
          <w:bCs/>
          <w:color w:val="000000"/>
          <w:sz w:val="20"/>
          <w:szCs w:val="20"/>
          <w:u w:val="single"/>
        </w:rPr>
        <w:tab/>
      </w:r>
      <w:r w:rsidRPr="009217D0">
        <w:rPr>
          <w:rFonts w:asciiTheme="minorHAnsi" w:hAnsiTheme="minorHAnsi" w:cstheme="minorHAnsi"/>
          <w:b/>
          <w:bCs/>
          <w:color w:val="000000"/>
          <w:sz w:val="20"/>
          <w:szCs w:val="20"/>
          <w:u w:val="single"/>
        </w:rPr>
        <w:tab/>
      </w:r>
      <w:r w:rsidRPr="009217D0">
        <w:rPr>
          <w:rFonts w:asciiTheme="minorHAnsi" w:hAnsiTheme="minorHAnsi" w:cstheme="minorHAnsi"/>
          <w:b/>
          <w:bCs/>
          <w:color w:val="000000"/>
          <w:sz w:val="20"/>
          <w:szCs w:val="20"/>
          <w:u w:val="single"/>
        </w:rPr>
        <w:tab/>
      </w:r>
    </w:p>
    <w:p w14:paraId="0B726DE8" w14:textId="77777777" w:rsidR="0054112C" w:rsidRPr="009217D0" w:rsidRDefault="0054112C" w:rsidP="0054112C">
      <w:pPr>
        <w:pStyle w:val="NormalWeb"/>
        <w:spacing w:before="0" w:beforeAutospacing="0" w:after="0" w:afterAutospacing="0"/>
        <w:ind w:left="360"/>
        <w:rPr>
          <w:rFonts w:asciiTheme="minorHAnsi" w:hAnsiTheme="minorHAnsi" w:cstheme="minorHAnsi"/>
          <w:color w:val="000000"/>
          <w:sz w:val="20"/>
          <w:szCs w:val="20"/>
        </w:rPr>
      </w:pPr>
      <w:r w:rsidRPr="009217D0">
        <w:rPr>
          <w:rFonts w:asciiTheme="minorHAnsi" w:hAnsiTheme="minorHAnsi" w:cstheme="minorHAnsi"/>
          <w:b/>
          <w:bCs/>
          <w:color w:val="000000"/>
          <w:sz w:val="20"/>
          <w:szCs w:val="20"/>
        </w:rPr>
        <w:t>__________________________________________________________________________________</w:t>
      </w:r>
    </w:p>
    <w:p w14:paraId="3FEF1EB2" w14:textId="77777777" w:rsidR="0054112C" w:rsidRPr="009217D0" w:rsidRDefault="0054112C" w:rsidP="0054112C">
      <w:pPr>
        <w:pStyle w:val="NormalWeb"/>
        <w:spacing w:before="0" w:beforeAutospacing="0" w:after="0" w:afterAutospacing="0"/>
        <w:ind w:left="360"/>
        <w:rPr>
          <w:rFonts w:asciiTheme="minorHAnsi" w:hAnsiTheme="minorHAnsi" w:cstheme="minorHAnsi"/>
          <w:color w:val="000000"/>
          <w:sz w:val="20"/>
          <w:szCs w:val="20"/>
        </w:rPr>
      </w:pPr>
      <w:r w:rsidRPr="009217D0">
        <w:rPr>
          <w:rFonts w:asciiTheme="minorHAnsi" w:hAnsiTheme="minorHAnsi" w:cstheme="minorHAnsi"/>
          <w:color w:val="000000"/>
          <w:sz w:val="20"/>
          <w:szCs w:val="20"/>
        </w:rPr>
        <w:t>☐ No</w:t>
      </w:r>
    </w:p>
    <w:p w14:paraId="53795C18" w14:textId="77777777" w:rsidR="0054112C" w:rsidRPr="009217D0" w:rsidRDefault="0054112C" w:rsidP="0054112C">
      <w:pPr>
        <w:pStyle w:val="NormalWeb"/>
        <w:spacing w:before="0" w:beforeAutospacing="0" w:after="0" w:afterAutospacing="0"/>
        <w:ind w:left="360"/>
        <w:rPr>
          <w:rFonts w:asciiTheme="minorHAnsi" w:hAnsiTheme="minorHAnsi" w:cstheme="minorHAnsi"/>
          <w:color w:val="000000"/>
          <w:sz w:val="20"/>
          <w:szCs w:val="20"/>
        </w:rPr>
      </w:pPr>
    </w:p>
    <w:p w14:paraId="71CEDEDB" w14:textId="77777777" w:rsidR="0054112C" w:rsidRPr="000655FE" w:rsidRDefault="0054112C" w:rsidP="00D25872">
      <w:pPr>
        <w:pStyle w:val="ListParagraph"/>
        <w:numPr>
          <w:ilvl w:val="0"/>
          <w:numId w:val="2"/>
        </w:numPr>
        <w:spacing w:after="0" w:line="240" w:lineRule="auto"/>
        <w:rPr>
          <w:rFonts w:eastAsia="Arial" w:cstheme="minorHAnsi"/>
          <w:sz w:val="20"/>
          <w:szCs w:val="20"/>
          <w:lang w:eastAsia="en-US"/>
        </w:rPr>
      </w:pPr>
      <w:r w:rsidRPr="000655FE">
        <w:rPr>
          <w:rFonts w:eastAsia="Arial" w:cstheme="minorHAnsi"/>
          <w:b/>
          <w:bCs/>
          <w:sz w:val="20"/>
          <w:szCs w:val="20"/>
          <w:lang w:eastAsia="en-US"/>
        </w:rPr>
        <w:t>Is your institution interested in actively contributing to the work of any of the following TT-COFOG Working Groups? You may select more than one option:</w:t>
      </w:r>
      <w:r w:rsidRPr="000655FE">
        <w:rPr>
          <w:rFonts w:eastAsia="Arial" w:cstheme="minorHAnsi"/>
          <w:b/>
          <w:bCs/>
          <w:sz w:val="20"/>
          <w:szCs w:val="20"/>
          <w:lang w:eastAsia="en-US"/>
        </w:rPr>
        <w:br/>
      </w:r>
      <w:r w:rsidRPr="000655FE">
        <w:rPr>
          <w:rFonts w:eastAsia="Arial" w:cstheme="minorHAnsi"/>
          <w:sz w:val="20"/>
          <w:szCs w:val="20"/>
          <w:lang w:eastAsia="en-US"/>
        </w:rPr>
        <w:t>Please note that working groups of experts are being set up to advance the technical discussion on various issues. The TT-COFOG will review the composition of the working groups and may not be able to accommodate all requests.</w:t>
      </w:r>
    </w:p>
    <w:p w14:paraId="2848651B" w14:textId="77777777" w:rsidR="0054112C" w:rsidRPr="000655FE" w:rsidRDefault="00710D62" w:rsidP="0054112C">
      <w:pPr>
        <w:spacing w:after="0" w:line="240" w:lineRule="auto"/>
        <w:ind w:left="446"/>
        <w:rPr>
          <w:rFonts w:eastAsia="Arial" w:cstheme="minorHAnsi"/>
          <w:sz w:val="20"/>
          <w:szCs w:val="20"/>
          <w:lang w:eastAsia="en-US"/>
        </w:rPr>
      </w:pPr>
      <w:sdt>
        <w:sdtPr>
          <w:rPr>
            <w:rFonts w:eastAsia="Tahoma" w:cstheme="minorHAnsi"/>
            <w:sz w:val="20"/>
            <w:szCs w:val="20"/>
            <w:lang w:eastAsia="en-US"/>
          </w:rPr>
          <w:id w:val="-708637635"/>
          <w14:checkbox>
            <w14:checked w14:val="0"/>
            <w14:checkedState w14:val="2612" w14:font="MS Gothic"/>
            <w14:uncheckedState w14:val="2610" w14:font="MS Gothic"/>
          </w14:checkbox>
        </w:sdtPr>
        <w:sdtEndPr/>
        <w:sdtContent>
          <w:r w:rsidR="0054112C" w:rsidRPr="000655FE">
            <w:rPr>
              <w:rFonts w:ascii="Segoe UI Symbol" w:eastAsia="Tahoma" w:hAnsi="Segoe UI Symbol" w:cs="Segoe UI Symbol"/>
              <w:sz w:val="20"/>
              <w:szCs w:val="20"/>
              <w:lang w:eastAsia="en-US"/>
            </w:rPr>
            <w:t>☐</w:t>
          </w:r>
        </w:sdtContent>
      </w:sdt>
      <w:r w:rsidR="0054112C" w:rsidRPr="000655FE">
        <w:rPr>
          <w:rFonts w:eastAsia="Tahoma" w:cstheme="minorHAnsi"/>
          <w:sz w:val="20"/>
          <w:szCs w:val="20"/>
          <w:lang w:eastAsia="en-US"/>
        </w:rPr>
        <w:t xml:space="preserve"> </w:t>
      </w:r>
      <w:r w:rsidR="0054112C" w:rsidRPr="000655FE">
        <w:rPr>
          <w:rFonts w:eastAsia="Arial" w:cstheme="minorHAnsi"/>
          <w:sz w:val="20"/>
          <w:szCs w:val="20"/>
          <w:lang w:eastAsia="en-US"/>
        </w:rPr>
        <w:t>Yes: Working Group A on Economic and public affairs (A01-A04)</w:t>
      </w:r>
    </w:p>
    <w:p w14:paraId="7C5B85DC" w14:textId="77777777" w:rsidR="0054112C" w:rsidRPr="000655FE" w:rsidRDefault="00710D62" w:rsidP="0054112C">
      <w:pPr>
        <w:spacing w:after="0" w:line="240" w:lineRule="auto"/>
        <w:ind w:left="446"/>
        <w:rPr>
          <w:rFonts w:eastAsia="Arial" w:cstheme="minorHAnsi"/>
          <w:sz w:val="20"/>
          <w:szCs w:val="20"/>
          <w:lang w:eastAsia="en-US"/>
        </w:rPr>
      </w:pPr>
      <w:sdt>
        <w:sdtPr>
          <w:rPr>
            <w:rFonts w:eastAsia="Tahoma" w:cstheme="minorHAnsi"/>
            <w:sz w:val="20"/>
            <w:szCs w:val="20"/>
            <w:lang w:eastAsia="en-US"/>
          </w:rPr>
          <w:id w:val="416839047"/>
          <w14:checkbox>
            <w14:checked w14:val="0"/>
            <w14:checkedState w14:val="2612" w14:font="MS Gothic"/>
            <w14:uncheckedState w14:val="2610" w14:font="MS Gothic"/>
          </w14:checkbox>
        </w:sdtPr>
        <w:sdtEndPr/>
        <w:sdtContent>
          <w:r w:rsidR="0054112C" w:rsidRPr="000655FE">
            <w:rPr>
              <w:rFonts w:ascii="Segoe UI Symbol" w:eastAsia="Tahoma" w:hAnsi="Segoe UI Symbol" w:cs="Segoe UI Symbol"/>
              <w:sz w:val="20"/>
              <w:szCs w:val="20"/>
              <w:lang w:eastAsia="en-US"/>
            </w:rPr>
            <w:t>☐</w:t>
          </w:r>
        </w:sdtContent>
      </w:sdt>
      <w:r w:rsidR="0054112C" w:rsidRPr="000655FE">
        <w:rPr>
          <w:rFonts w:eastAsia="Tahoma" w:cstheme="minorHAnsi"/>
          <w:sz w:val="20"/>
          <w:szCs w:val="20"/>
          <w:lang w:eastAsia="en-US"/>
        </w:rPr>
        <w:t xml:space="preserve"> </w:t>
      </w:r>
      <w:r w:rsidR="0054112C" w:rsidRPr="000655FE">
        <w:rPr>
          <w:rFonts w:eastAsia="Arial" w:cstheme="minorHAnsi"/>
          <w:sz w:val="20"/>
          <w:szCs w:val="20"/>
          <w:lang w:eastAsia="en-US"/>
        </w:rPr>
        <w:t>Yes: Working Group B on Environment (Sustainability; SDGs) (A05)</w:t>
      </w:r>
    </w:p>
    <w:p w14:paraId="5E2B4CF2" w14:textId="77777777" w:rsidR="0054112C" w:rsidRPr="000655FE" w:rsidRDefault="00710D62" w:rsidP="0054112C">
      <w:pPr>
        <w:spacing w:after="0" w:line="240" w:lineRule="auto"/>
        <w:ind w:left="446"/>
        <w:rPr>
          <w:rFonts w:eastAsia="Arial" w:cstheme="minorHAnsi"/>
          <w:sz w:val="20"/>
          <w:szCs w:val="20"/>
          <w:lang w:eastAsia="en-US"/>
        </w:rPr>
      </w:pPr>
      <w:sdt>
        <w:sdtPr>
          <w:rPr>
            <w:rFonts w:eastAsia="Tahoma" w:cstheme="minorHAnsi"/>
            <w:sz w:val="20"/>
            <w:szCs w:val="20"/>
            <w:lang w:eastAsia="en-US"/>
          </w:rPr>
          <w:id w:val="1503853847"/>
          <w14:checkbox>
            <w14:checked w14:val="0"/>
            <w14:checkedState w14:val="2612" w14:font="MS Gothic"/>
            <w14:uncheckedState w14:val="2610" w14:font="MS Gothic"/>
          </w14:checkbox>
        </w:sdtPr>
        <w:sdtEndPr/>
        <w:sdtContent>
          <w:r w:rsidR="0054112C" w:rsidRPr="000655FE">
            <w:rPr>
              <w:rFonts w:ascii="Segoe UI Symbol" w:eastAsia="Tahoma" w:hAnsi="Segoe UI Symbol" w:cs="Segoe UI Symbol"/>
              <w:sz w:val="20"/>
              <w:szCs w:val="20"/>
              <w:lang w:eastAsia="en-US"/>
            </w:rPr>
            <w:t>☐</w:t>
          </w:r>
        </w:sdtContent>
      </w:sdt>
      <w:r w:rsidR="0054112C" w:rsidRPr="000655FE">
        <w:rPr>
          <w:rFonts w:eastAsia="Tahoma" w:cstheme="minorHAnsi"/>
          <w:sz w:val="20"/>
          <w:szCs w:val="20"/>
          <w:lang w:eastAsia="en-US"/>
        </w:rPr>
        <w:t xml:space="preserve"> </w:t>
      </w:r>
      <w:r w:rsidR="0054112C" w:rsidRPr="000655FE">
        <w:rPr>
          <w:rFonts w:eastAsia="Arial" w:cstheme="minorHAnsi"/>
          <w:sz w:val="20"/>
          <w:szCs w:val="20"/>
          <w:lang w:eastAsia="en-US"/>
        </w:rPr>
        <w:t>Yes: Working Group C on Social and demographic (Health, Education, etc) (A06-A10)</w:t>
      </w:r>
    </w:p>
    <w:p w14:paraId="3E33BBDA" w14:textId="77777777" w:rsidR="0054112C" w:rsidRPr="000655FE" w:rsidRDefault="00710D62" w:rsidP="0054112C">
      <w:pPr>
        <w:spacing w:after="0" w:line="240" w:lineRule="auto"/>
        <w:ind w:left="446"/>
        <w:rPr>
          <w:rFonts w:eastAsia="Arial" w:cstheme="minorHAnsi"/>
          <w:sz w:val="20"/>
          <w:szCs w:val="20"/>
          <w:lang w:eastAsia="en-US"/>
        </w:rPr>
      </w:pPr>
      <w:sdt>
        <w:sdtPr>
          <w:rPr>
            <w:rFonts w:eastAsia="Tahoma" w:cstheme="minorHAnsi"/>
            <w:sz w:val="20"/>
            <w:szCs w:val="20"/>
            <w:lang w:eastAsia="en-US"/>
          </w:rPr>
          <w:id w:val="-1101325925"/>
          <w14:checkbox>
            <w14:checked w14:val="0"/>
            <w14:checkedState w14:val="2612" w14:font="MS Gothic"/>
            <w14:uncheckedState w14:val="2610" w14:font="MS Gothic"/>
          </w14:checkbox>
        </w:sdtPr>
        <w:sdtEndPr/>
        <w:sdtContent>
          <w:r w:rsidR="0054112C" w:rsidRPr="000655FE">
            <w:rPr>
              <w:rFonts w:ascii="Segoe UI Symbol" w:eastAsia="Tahoma" w:hAnsi="Segoe UI Symbol" w:cs="Segoe UI Symbol"/>
              <w:sz w:val="20"/>
              <w:szCs w:val="20"/>
              <w:lang w:eastAsia="en-US"/>
            </w:rPr>
            <w:t>☐</w:t>
          </w:r>
        </w:sdtContent>
      </w:sdt>
      <w:r w:rsidR="0054112C" w:rsidRPr="000655FE">
        <w:rPr>
          <w:rFonts w:eastAsia="Tahoma" w:cstheme="minorHAnsi"/>
          <w:sz w:val="20"/>
          <w:szCs w:val="20"/>
          <w:lang w:eastAsia="en-US"/>
        </w:rPr>
        <w:t xml:space="preserve"> </w:t>
      </w:r>
      <w:r w:rsidR="0054112C" w:rsidRPr="000655FE">
        <w:rPr>
          <w:rFonts w:eastAsia="Arial" w:cstheme="minorHAnsi"/>
          <w:sz w:val="20"/>
          <w:szCs w:val="20"/>
          <w:lang w:eastAsia="en-US"/>
        </w:rPr>
        <w:t>Yes: Working Group D on Cross-cutting issues (A11-A15, B7)</w:t>
      </w:r>
    </w:p>
    <w:p w14:paraId="61BA6F2A" w14:textId="77777777" w:rsidR="0054112C" w:rsidRPr="000655FE" w:rsidRDefault="00710D62" w:rsidP="0054112C">
      <w:pPr>
        <w:spacing w:after="0" w:line="240" w:lineRule="auto"/>
        <w:ind w:left="446"/>
        <w:rPr>
          <w:rFonts w:eastAsia="Arial" w:cstheme="minorHAnsi"/>
          <w:sz w:val="20"/>
          <w:szCs w:val="20"/>
          <w:lang w:eastAsia="en-US"/>
        </w:rPr>
      </w:pPr>
      <w:sdt>
        <w:sdtPr>
          <w:rPr>
            <w:rFonts w:eastAsia="Tahoma" w:cstheme="minorHAnsi"/>
            <w:sz w:val="20"/>
            <w:szCs w:val="20"/>
            <w:lang w:eastAsia="en-US"/>
          </w:rPr>
          <w:id w:val="543105485"/>
          <w14:checkbox>
            <w14:checked w14:val="0"/>
            <w14:checkedState w14:val="2612" w14:font="MS Gothic"/>
            <w14:uncheckedState w14:val="2610" w14:font="MS Gothic"/>
          </w14:checkbox>
        </w:sdtPr>
        <w:sdtEndPr/>
        <w:sdtContent>
          <w:r w:rsidR="0054112C" w:rsidRPr="000655FE">
            <w:rPr>
              <w:rFonts w:ascii="Segoe UI Symbol" w:eastAsia="Tahoma" w:hAnsi="Segoe UI Symbol" w:cs="Segoe UI Symbol"/>
              <w:sz w:val="20"/>
              <w:szCs w:val="20"/>
              <w:lang w:eastAsia="en-US"/>
            </w:rPr>
            <w:t>☐</w:t>
          </w:r>
        </w:sdtContent>
      </w:sdt>
      <w:r w:rsidR="0054112C" w:rsidRPr="000655FE">
        <w:rPr>
          <w:rFonts w:eastAsia="Tahoma" w:cstheme="minorHAnsi"/>
          <w:sz w:val="20"/>
          <w:szCs w:val="20"/>
          <w:lang w:eastAsia="en-US"/>
        </w:rPr>
        <w:t xml:space="preserve"> </w:t>
      </w:r>
      <w:r w:rsidR="0054112C" w:rsidRPr="000655FE">
        <w:rPr>
          <w:rFonts w:eastAsia="Arial" w:cstheme="minorHAnsi"/>
          <w:sz w:val="20"/>
          <w:szCs w:val="20"/>
          <w:lang w:eastAsia="en-US"/>
        </w:rPr>
        <w:t>Yes: Working Group E on Classification principles and cross-classification issues (Primary/secondary purpose; etc.) (B1-B6)</w:t>
      </w:r>
    </w:p>
    <w:p w14:paraId="48477759" w14:textId="77777777" w:rsidR="0054112C" w:rsidRPr="000655FE" w:rsidRDefault="00710D62" w:rsidP="0054112C">
      <w:pPr>
        <w:spacing w:after="0" w:line="240" w:lineRule="auto"/>
        <w:ind w:left="446"/>
        <w:rPr>
          <w:rFonts w:eastAsia="Arial" w:cstheme="minorHAnsi"/>
          <w:sz w:val="20"/>
          <w:szCs w:val="20"/>
          <w:lang w:eastAsia="en-US"/>
        </w:rPr>
      </w:pPr>
      <w:sdt>
        <w:sdtPr>
          <w:rPr>
            <w:rFonts w:eastAsia="Tahoma" w:cstheme="minorHAnsi"/>
            <w:sz w:val="20"/>
            <w:szCs w:val="20"/>
            <w:lang w:eastAsia="en-US"/>
          </w:rPr>
          <w:id w:val="1180929118"/>
          <w14:checkbox>
            <w14:checked w14:val="0"/>
            <w14:checkedState w14:val="2612" w14:font="MS Gothic"/>
            <w14:uncheckedState w14:val="2610" w14:font="MS Gothic"/>
          </w14:checkbox>
        </w:sdtPr>
        <w:sdtEndPr/>
        <w:sdtContent>
          <w:r w:rsidR="0054112C" w:rsidRPr="000655FE">
            <w:rPr>
              <w:rFonts w:ascii="Segoe UI Symbol" w:eastAsia="Tahoma" w:hAnsi="Segoe UI Symbol" w:cs="Segoe UI Symbol"/>
              <w:sz w:val="20"/>
              <w:szCs w:val="20"/>
              <w:lang w:eastAsia="en-US"/>
            </w:rPr>
            <w:t>☐</w:t>
          </w:r>
        </w:sdtContent>
      </w:sdt>
      <w:r w:rsidR="0054112C" w:rsidRPr="000655FE">
        <w:rPr>
          <w:rFonts w:eastAsia="Tahoma" w:cstheme="minorHAnsi"/>
          <w:sz w:val="20"/>
          <w:szCs w:val="20"/>
          <w:lang w:eastAsia="en-US"/>
        </w:rPr>
        <w:t xml:space="preserve"> </w:t>
      </w:r>
      <w:r w:rsidR="0054112C" w:rsidRPr="000655FE">
        <w:rPr>
          <w:rFonts w:eastAsia="Arial" w:cstheme="minorHAnsi"/>
          <w:sz w:val="20"/>
          <w:szCs w:val="20"/>
          <w:lang w:eastAsia="en-US"/>
        </w:rPr>
        <w:t>No, we are not interested</w:t>
      </w:r>
    </w:p>
    <w:p w14:paraId="78BA6A0B" w14:textId="77777777" w:rsidR="0054112C" w:rsidRPr="009217D0" w:rsidRDefault="0054112C" w:rsidP="0054112C">
      <w:pPr>
        <w:spacing w:after="0" w:line="240" w:lineRule="auto"/>
        <w:rPr>
          <w:rFonts w:eastAsia="Arial" w:cstheme="minorHAnsi"/>
          <w:sz w:val="22"/>
          <w:szCs w:val="22"/>
          <w:lang w:eastAsia="en-US"/>
        </w:rPr>
      </w:pPr>
    </w:p>
    <w:p w14:paraId="22832A99" w14:textId="77777777" w:rsidR="0054112C" w:rsidRPr="009217D0" w:rsidRDefault="0054112C" w:rsidP="00D25872">
      <w:pPr>
        <w:pStyle w:val="NormalWeb"/>
        <w:numPr>
          <w:ilvl w:val="0"/>
          <w:numId w:val="2"/>
        </w:numPr>
        <w:spacing w:before="0" w:beforeAutospacing="0" w:after="0" w:afterAutospacing="0"/>
        <w:rPr>
          <w:rFonts w:asciiTheme="minorHAnsi" w:hAnsiTheme="minorHAnsi" w:cstheme="minorHAnsi"/>
          <w:b/>
          <w:bCs/>
          <w:color w:val="000000"/>
          <w:sz w:val="20"/>
          <w:szCs w:val="20"/>
        </w:rPr>
      </w:pPr>
      <w:r w:rsidRPr="009217D0">
        <w:rPr>
          <w:rFonts w:asciiTheme="minorHAnsi" w:hAnsiTheme="minorHAnsi" w:cstheme="minorHAnsi"/>
          <w:b/>
          <w:bCs/>
          <w:color w:val="000000"/>
          <w:sz w:val="20"/>
          <w:szCs w:val="20"/>
        </w:rPr>
        <w:t xml:space="preserve">In order to maximize transparency, do you give consent for UNSD to publish your response? </w:t>
      </w:r>
      <w:r w:rsidRPr="009217D0">
        <w:rPr>
          <w:rFonts w:asciiTheme="minorHAnsi" w:hAnsiTheme="minorHAnsi" w:cstheme="minorHAnsi"/>
          <w:b/>
          <w:bCs/>
          <w:color w:val="000000"/>
          <w:sz w:val="20"/>
          <w:szCs w:val="20"/>
        </w:rPr>
        <w:br/>
      </w:r>
      <w:r w:rsidRPr="009217D0">
        <w:rPr>
          <w:rFonts w:asciiTheme="minorHAnsi" w:hAnsiTheme="minorHAnsi" w:cstheme="minorHAnsi"/>
          <w:color w:val="000000"/>
          <w:sz w:val="20"/>
          <w:szCs w:val="20"/>
        </w:rPr>
        <w:t>Please note that no email addresses will be released</w:t>
      </w:r>
    </w:p>
    <w:p w14:paraId="1D05FA23" w14:textId="77777777" w:rsidR="0054112C" w:rsidRPr="00CA4950" w:rsidRDefault="00710D62" w:rsidP="0054112C">
      <w:pPr>
        <w:spacing w:after="0" w:line="240" w:lineRule="auto"/>
        <w:ind w:left="446"/>
        <w:rPr>
          <w:rFonts w:eastAsia="Arial" w:cstheme="minorHAnsi"/>
          <w:sz w:val="20"/>
          <w:szCs w:val="20"/>
          <w:lang w:eastAsia="en-US"/>
        </w:rPr>
      </w:pPr>
      <w:sdt>
        <w:sdtPr>
          <w:rPr>
            <w:rFonts w:eastAsia="Tahoma" w:cstheme="minorHAnsi"/>
            <w:sz w:val="20"/>
            <w:szCs w:val="20"/>
            <w:lang w:eastAsia="en-US"/>
          </w:rPr>
          <w:id w:val="420844224"/>
          <w14:checkbox>
            <w14:checked w14:val="0"/>
            <w14:checkedState w14:val="2612" w14:font="MS Gothic"/>
            <w14:uncheckedState w14:val="2610" w14:font="MS Gothic"/>
          </w14:checkbox>
        </w:sdtPr>
        <w:sdtEndPr/>
        <w:sdtContent>
          <w:r w:rsidR="0054112C" w:rsidRPr="00CA4950">
            <w:rPr>
              <w:rFonts w:ascii="Segoe UI Symbol" w:eastAsia="Tahoma" w:hAnsi="Segoe UI Symbol" w:cs="Segoe UI Symbol"/>
              <w:sz w:val="20"/>
              <w:szCs w:val="20"/>
              <w:lang w:eastAsia="en-US"/>
            </w:rPr>
            <w:t>☐</w:t>
          </w:r>
        </w:sdtContent>
      </w:sdt>
      <w:r w:rsidR="0054112C" w:rsidRPr="00CA4950">
        <w:rPr>
          <w:rFonts w:eastAsia="Tahoma" w:cstheme="minorHAnsi"/>
          <w:sz w:val="20"/>
          <w:szCs w:val="20"/>
          <w:lang w:eastAsia="en-US"/>
        </w:rPr>
        <w:t xml:space="preserve"> </w:t>
      </w:r>
      <w:r w:rsidR="0054112C" w:rsidRPr="00CA4950">
        <w:rPr>
          <w:rFonts w:eastAsia="Arial" w:cstheme="minorHAnsi"/>
          <w:sz w:val="20"/>
          <w:szCs w:val="20"/>
          <w:lang w:eastAsia="en-US"/>
        </w:rPr>
        <w:t>Yes</w:t>
      </w:r>
    </w:p>
    <w:p w14:paraId="0959E04B" w14:textId="77777777" w:rsidR="0054112C" w:rsidRPr="00CA4950" w:rsidRDefault="00710D62" w:rsidP="0054112C">
      <w:pPr>
        <w:spacing w:after="0" w:line="240" w:lineRule="auto"/>
        <w:ind w:firstLine="446"/>
        <w:rPr>
          <w:rFonts w:eastAsia="Arial" w:cstheme="minorHAnsi"/>
          <w:sz w:val="20"/>
          <w:szCs w:val="20"/>
          <w:lang w:eastAsia="en-US"/>
        </w:rPr>
      </w:pPr>
      <w:sdt>
        <w:sdtPr>
          <w:rPr>
            <w:rFonts w:eastAsia="Tahoma" w:cstheme="minorHAnsi"/>
            <w:sz w:val="20"/>
            <w:szCs w:val="20"/>
            <w:lang w:eastAsia="en-US"/>
          </w:rPr>
          <w:id w:val="-1867120231"/>
          <w14:checkbox>
            <w14:checked w14:val="0"/>
            <w14:checkedState w14:val="2612" w14:font="MS Gothic"/>
            <w14:uncheckedState w14:val="2610" w14:font="MS Gothic"/>
          </w14:checkbox>
        </w:sdtPr>
        <w:sdtEndPr/>
        <w:sdtContent>
          <w:r w:rsidR="0054112C" w:rsidRPr="00CA4950">
            <w:rPr>
              <w:rFonts w:ascii="MS Gothic" w:eastAsia="MS Gothic" w:hAnsi="MS Gothic" w:cstheme="minorHAnsi" w:hint="eastAsia"/>
              <w:sz w:val="20"/>
              <w:szCs w:val="20"/>
              <w:lang w:eastAsia="en-US"/>
            </w:rPr>
            <w:t>☐</w:t>
          </w:r>
        </w:sdtContent>
      </w:sdt>
      <w:r w:rsidR="0054112C" w:rsidRPr="00CA4950">
        <w:rPr>
          <w:rFonts w:eastAsia="Tahoma" w:cstheme="minorHAnsi"/>
          <w:sz w:val="20"/>
          <w:szCs w:val="20"/>
          <w:lang w:eastAsia="en-US"/>
        </w:rPr>
        <w:t xml:space="preserve"> </w:t>
      </w:r>
      <w:r w:rsidR="0054112C" w:rsidRPr="00CA4950">
        <w:rPr>
          <w:rFonts w:eastAsia="Arial" w:cstheme="minorHAnsi"/>
          <w:sz w:val="20"/>
          <w:szCs w:val="20"/>
          <w:lang w:eastAsia="en-US"/>
        </w:rPr>
        <w:t>No</w:t>
      </w:r>
    </w:p>
    <w:p w14:paraId="57FE4CF9" w14:textId="77777777" w:rsidR="0054112C" w:rsidRPr="009217D0" w:rsidRDefault="0054112C" w:rsidP="0054112C">
      <w:pPr>
        <w:spacing w:after="0" w:line="240" w:lineRule="auto"/>
        <w:jc w:val="center"/>
        <w:rPr>
          <w:rFonts w:eastAsia="Arial" w:cstheme="minorHAnsi"/>
          <w:sz w:val="28"/>
          <w:szCs w:val="28"/>
          <w:lang w:eastAsia="en-US"/>
        </w:rPr>
      </w:pPr>
    </w:p>
    <w:p w14:paraId="51DBE158" w14:textId="77777777" w:rsidR="0054112C" w:rsidRPr="000655FE" w:rsidRDefault="0054112C" w:rsidP="0054112C">
      <w:pPr>
        <w:spacing w:after="0" w:line="240" w:lineRule="auto"/>
        <w:jc w:val="center"/>
        <w:rPr>
          <w:rFonts w:eastAsia="Arial" w:cstheme="minorHAnsi"/>
          <w:lang w:eastAsia="en-US"/>
        </w:rPr>
      </w:pPr>
      <w:r w:rsidRPr="000655FE">
        <w:rPr>
          <w:rFonts w:eastAsia="Arial" w:cstheme="minorHAnsi"/>
          <w:lang w:eastAsia="en-US"/>
        </w:rPr>
        <w:t xml:space="preserve">Thank you for your response! </w:t>
      </w:r>
    </w:p>
    <w:p w14:paraId="7B60D497" w14:textId="77777777" w:rsidR="0054112C" w:rsidRPr="000655FE" w:rsidRDefault="0054112C" w:rsidP="0054112C">
      <w:pPr>
        <w:spacing w:after="0" w:line="240" w:lineRule="auto"/>
        <w:jc w:val="center"/>
        <w:rPr>
          <w:rFonts w:eastAsia="Arial" w:cstheme="minorHAnsi"/>
          <w:lang w:eastAsia="en-US"/>
        </w:rPr>
      </w:pPr>
      <w:r w:rsidRPr="000655FE">
        <w:rPr>
          <w:rFonts w:eastAsia="Arial" w:cstheme="minorHAnsi"/>
          <w:lang w:eastAsia="en-US"/>
        </w:rPr>
        <w:br/>
        <w:t xml:space="preserve">If you have any questions/concerns, please contact us at </w:t>
      </w:r>
      <w:r w:rsidRPr="000655FE">
        <w:rPr>
          <w:rFonts w:eastAsia="Arial" w:cstheme="minorHAnsi"/>
          <w:b/>
          <w:bCs/>
          <w:lang w:eastAsia="en-US"/>
        </w:rPr>
        <w:t>chl@un.org</w:t>
      </w:r>
    </w:p>
    <w:p w14:paraId="49A4946F" w14:textId="560C1DD2" w:rsidR="0054112C" w:rsidRPr="000655FE" w:rsidRDefault="0054112C" w:rsidP="00806AD8">
      <w:pPr>
        <w:rPr>
          <w:b/>
          <w:bCs/>
          <w:sz w:val="20"/>
          <w:szCs w:val="20"/>
        </w:rPr>
      </w:pPr>
      <w:r w:rsidRPr="009217D0">
        <w:rPr>
          <w:b/>
          <w:bCs/>
          <w:sz w:val="22"/>
          <w:szCs w:val="22"/>
        </w:rPr>
        <w:br w:type="page"/>
      </w:r>
      <w:r w:rsidRPr="000655FE">
        <w:rPr>
          <w:b/>
          <w:bCs/>
          <w:sz w:val="22"/>
          <w:szCs w:val="22"/>
        </w:rPr>
        <w:lastRenderedPageBreak/>
        <w:t xml:space="preserve">Annex </w:t>
      </w:r>
      <w:r w:rsidRPr="000655FE">
        <w:rPr>
          <w:b/>
          <w:bCs/>
          <w:sz w:val="22"/>
          <w:szCs w:val="22"/>
        </w:rPr>
        <w:br/>
        <w:t>Summary of Proposed Issues</w:t>
      </w:r>
    </w:p>
    <w:p w14:paraId="49DF3AB1" w14:textId="77777777" w:rsidR="0054112C" w:rsidRPr="000655FE" w:rsidRDefault="0054112C" w:rsidP="00806AD8">
      <w:pPr>
        <w:spacing w:after="0" w:line="240" w:lineRule="auto"/>
        <w:jc w:val="both"/>
        <w:rPr>
          <w:sz w:val="20"/>
          <w:szCs w:val="20"/>
        </w:rPr>
      </w:pPr>
      <w:r w:rsidRPr="000655FE">
        <w:rPr>
          <w:sz w:val="20"/>
          <w:szCs w:val="20"/>
        </w:rPr>
        <w:t xml:space="preserve">This annex provides a summary of proposed issues with brief descriptions for the revision of COFOG, noting further details of each proposal will be developed as the revision process advances. </w:t>
      </w:r>
    </w:p>
    <w:p w14:paraId="13DB8660" w14:textId="77777777" w:rsidR="0054112C" w:rsidRPr="000655FE" w:rsidRDefault="0054112C" w:rsidP="00806AD8">
      <w:pPr>
        <w:spacing w:after="0" w:line="240" w:lineRule="auto"/>
        <w:jc w:val="both"/>
        <w:rPr>
          <w:sz w:val="20"/>
          <w:szCs w:val="20"/>
        </w:rPr>
      </w:pPr>
    </w:p>
    <w:p w14:paraId="67BEBDD4" w14:textId="77777777" w:rsidR="0054112C" w:rsidRPr="000655FE" w:rsidRDefault="0054112C" w:rsidP="00806AD8">
      <w:pPr>
        <w:spacing w:after="240" w:line="240" w:lineRule="auto"/>
        <w:jc w:val="both"/>
        <w:rPr>
          <w:sz w:val="20"/>
          <w:szCs w:val="20"/>
        </w:rPr>
      </w:pPr>
      <w:r w:rsidRPr="000655FE">
        <w:rPr>
          <w:sz w:val="20"/>
          <w:szCs w:val="20"/>
        </w:rPr>
        <w:t xml:space="preserve">Note that in some cases proposals may conflict with each other, as they were put forward by different organizations. However, the purpose of this global consultation is to simply identify which topics are relevant to the revision of COFOG and should be discussed by the task team during the revision process, regardless of any agreement or disagreement with specific proposals.  </w:t>
      </w:r>
    </w:p>
    <w:p w14:paraId="1B856D9F" w14:textId="77777777" w:rsidR="0054112C" w:rsidRPr="000655FE" w:rsidRDefault="0054112C" w:rsidP="00806AD8">
      <w:pPr>
        <w:spacing w:after="0" w:line="240" w:lineRule="auto"/>
        <w:rPr>
          <w:b/>
          <w:bCs/>
          <w:sz w:val="20"/>
          <w:szCs w:val="20"/>
        </w:rPr>
      </w:pPr>
    </w:p>
    <w:p w14:paraId="68CB2D0C" w14:textId="77777777" w:rsidR="0054112C" w:rsidRPr="000655FE" w:rsidRDefault="0054112C" w:rsidP="00D25872">
      <w:pPr>
        <w:pStyle w:val="ListParagraph"/>
        <w:numPr>
          <w:ilvl w:val="0"/>
          <w:numId w:val="21"/>
        </w:numPr>
        <w:spacing w:after="0" w:line="240" w:lineRule="auto"/>
        <w:rPr>
          <w:b/>
          <w:bCs/>
          <w:sz w:val="20"/>
          <w:szCs w:val="20"/>
        </w:rPr>
      </w:pPr>
      <w:r w:rsidRPr="000655FE">
        <w:rPr>
          <w:b/>
          <w:bCs/>
          <w:sz w:val="20"/>
          <w:szCs w:val="20"/>
        </w:rPr>
        <w:t>Current COFOG Divisions, Cross-cutting issues, and Other Thematic Issues</w:t>
      </w:r>
    </w:p>
    <w:p w14:paraId="558C1FB7" w14:textId="77777777" w:rsidR="0054112C" w:rsidRPr="000655FE" w:rsidRDefault="0054112C" w:rsidP="00806AD8">
      <w:pPr>
        <w:spacing w:after="0" w:line="240" w:lineRule="auto"/>
        <w:rPr>
          <w:b/>
          <w:bCs/>
          <w:sz w:val="20"/>
          <w:szCs w:val="20"/>
        </w:rPr>
      </w:pPr>
    </w:p>
    <w:p w14:paraId="7BA9A112" w14:textId="77777777" w:rsidR="0054112C" w:rsidRPr="000655FE" w:rsidRDefault="0054112C" w:rsidP="00806AD8">
      <w:pPr>
        <w:spacing w:after="0" w:line="240" w:lineRule="auto"/>
        <w:jc w:val="both"/>
        <w:rPr>
          <w:sz w:val="20"/>
          <w:szCs w:val="20"/>
        </w:rPr>
      </w:pPr>
      <w:r w:rsidRPr="000655FE">
        <w:rPr>
          <w:sz w:val="20"/>
          <w:szCs w:val="20"/>
        </w:rPr>
        <w:t xml:space="preserve">Most of the proposed issues for consideration in the revision of COFOG relate to the existing Divisions 01 through 10 (including cross-cutting issues that relate to more than one Division), or other thematic issues.  </w:t>
      </w:r>
    </w:p>
    <w:p w14:paraId="35951777" w14:textId="77777777" w:rsidR="0054112C" w:rsidRPr="000655FE" w:rsidRDefault="0054112C" w:rsidP="00806AD8">
      <w:pPr>
        <w:spacing w:after="0" w:line="240" w:lineRule="auto"/>
        <w:jc w:val="both"/>
        <w:rPr>
          <w:sz w:val="20"/>
          <w:szCs w:val="20"/>
        </w:rPr>
      </w:pPr>
    </w:p>
    <w:p w14:paraId="33B207AC" w14:textId="77777777" w:rsidR="0054112C" w:rsidRPr="000655FE" w:rsidRDefault="0054112C" w:rsidP="00806AD8">
      <w:pPr>
        <w:spacing w:after="0" w:line="240" w:lineRule="auto"/>
        <w:jc w:val="both"/>
        <w:rPr>
          <w:sz w:val="20"/>
          <w:szCs w:val="20"/>
        </w:rPr>
      </w:pPr>
      <w:r w:rsidRPr="000655FE">
        <w:rPr>
          <w:sz w:val="20"/>
          <w:szCs w:val="20"/>
        </w:rPr>
        <w:t xml:space="preserve">Proposals relating to the current COFOG divisions (A01-A10) include suggestions to modify category titles, add new breakdowns, provide additional clarification, or to move/re-arrange categories within the existing structure for improved structural balance and coherence.  </w:t>
      </w:r>
    </w:p>
    <w:p w14:paraId="4FDD2A59" w14:textId="77777777" w:rsidR="0054112C" w:rsidRPr="000655FE" w:rsidRDefault="0054112C" w:rsidP="00806AD8">
      <w:pPr>
        <w:spacing w:after="0" w:line="240" w:lineRule="auto"/>
        <w:jc w:val="both"/>
        <w:rPr>
          <w:sz w:val="20"/>
          <w:szCs w:val="20"/>
        </w:rPr>
      </w:pPr>
    </w:p>
    <w:p w14:paraId="72AE8281" w14:textId="77777777" w:rsidR="0054112C" w:rsidRPr="000655FE" w:rsidRDefault="0054112C" w:rsidP="00806AD8">
      <w:pPr>
        <w:spacing w:after="0" w:line="240" w:lineRule="auto"/>
        <w:jc w:val="both"/>
        <w:rPr>
          <w:sz w:val="20"/>
          <w:szCs w:val="20"/>
        </w:rPr>
      </w:pPr>
      <w:r w:rsidRPr="000655FE">
        <w:rPr>
          <w:sz w:val="20"/>
          <w:szCs w:val="20"/>
        </w:rPr>
        <w:t xml:space="preserve">Proposals regarding cross-cutting issues (A11) generally seek clarification on topics that may span more than one division, or on emerging topics whose treatment has not yet been established.  </w:t>
      </w:r>
    </w:p>
    <w:p w14:paraId="2BD17777" w14:textId="77777777" w:rsidR="0054112C" w:rsidRPr="000655FE" w:rsidRDefault="0054112C" w:rsidP="00806AD8">
      <w:pPr>
        <w:spacing w:after="0" w:line="240" w:lineRule="auto"/>
        <w:jc w:val="both"/>
        <w:rPr>
          <w:sz w:val="20"/>
          <w:szCs w:val="20"/>
        </w:rPr>
      </w:pPr>
    </w:p>
    <w:p w14:paraId="1DE0D996" w14:textId="77777777" w:rsidR="0054112C" w:rsidRPr="000655FE" w:rsidRDefault="0054112C" w:rsidP="00806AD8">
      <w:pPr>
        <w:spacing w:after="0" w:line="240" w:lineRule="auto"/>
        <w:jc w:val="both"/>
        <w:rPr>
          <w:sz w:val="20"/>
          <w:szCs w:val="20"/>
        </w:rPr>
      </w:pPr>
      <w:r w:rsidRPr="000655FE">
        <w:rPr>
          <w:sz w:val="20"/>
          <w:szCs w:val="20"/>
        </w:rPr>
        <w:t xml:space="preserve">Proposals regarding other thematic issues (namely R&amp;D, digitalization, gender and indigenous peoples) (A12-15) similarly tend to focus on alignment with other classifications/frameworks, proposing additional breakdowns or re-structuring of categories, and seeking improved guidance on specific topics whose treatment has not yet been established.  </w:t>
      </w:r>
    </w:p>
    <w:p w14:paraId="560822A9" w14:textId="77777777" w:rsidR="0054112C" w:rsidRPr="000655FE" w:rsidRDefault="0054112C" w:rsidP="00806AD8">
      <w:pPr>
        <w:spacing w:after="0" w:line="240" w:lineRule="auto"/>
        <w:jc w:val="both"/>
        <w:rPr>
          <w:sz w:val="20"/>
          <w:szCs w:val="20"/>
        </w:rPr>
      </w:pPr>
    </w:p>
    <w:p w14:paraId="11269F10" w14:textId="77777777" w:rsidR="0054112C" w:rsidRPr="000655FE" w:rsidRDefault="0054112C" w:rsidP="00806AD8">
      <w:pPr>
        <w:spacing w:after="0" w:line="240" w:lineRule="auto"/>
        <w:jc w:val="both"/>
        <w:rPr>
          <w:sz w:val="20"/>
          <w:szCs w:val="20"/>
        </w:rPr>
      </w:pPr>
      <w:r w:rsidRPr="000655FE">
        <w:rPr>
          <w:sz w:val="20"/>
          <w:szCs w:val="20"/>
        </w:rPr>
        <w:t xml:space="preserve">Listed below are summaries of the specific proposals received relating </w:t>
      </w:r>
      <w:proofErr w:type="gramStart"/>
      <w:r w:rsidRPr="000655FE">
        <w:rPr>
          <w:sz w:val="20"/>
          <w:szCs w:val="20"/>
        </w:rPr>
        <w:t>to issue</w:t>
      </w:r>
      <w:proofErr w:type="gramEnd"/>
      <w:r w:rsidRPr="000655FE">
        <w:rPr>
          <w:sz w:val="20"/>
          <w:szCs w:val="20"/>
        </w:rPr>
        <w:t xml:space="preserve"> Group A:</w:t>
      </w:r>
    </w:p>
    <w:p w14:paraId="11B0F159" w14:textId="77777777" w:rsidR="0054112C" w:rsidRPr="000655FE" w:rsidRDefault="0054112C" w:rsidP="00806AD8">
      <w:pPr>
        <w:spacing w:after="0" w:line="240" w:lineRule="auto"/>
        <w:rPr>
          <w:b/>
          <w:bCs/>
          <w:sz w:val="20"/>
          <w:szCs w:val="20"/>
        </w:rPr>
      </w:pPr>
    </w:p>
    <w:p w14:paraId="4C279037" w14:textId="77777777" w:rsidR="0054112C" w:rsidRPr="000655FE" w:rsidRDefault="0054112C" w:rsidP="00806AD8">
      <w:pPr>
        <w:spacing w:after="0" w:line="240" w:lineRule="auto"/>
        <w:rPr>
          <w:b/>
          <w:bCs/>
          <w:sz w:val="20"/>
          <w:szCs w:val="20"/>
        </w:rPr>
      </w:pPr>
      <w:r w:rsidRPr="000655FE">
        <w:rPr>
          <w:b/>
          <w:bCs/>
          <w:sz w:val="20"/>
          <w:szCs w:val="20"/>
        </w:rPr>
        <w:t>A01</w:t>
      </w:r>
      <w:r w:rsidRPr="000655FE">
        <w:rPr>
          <w:sz w:val="20"/>
          <w:szCs w:val="20"/>
        </w:rPr>
        <w:t xml:space="preserve">. </w:t>
      </w:r>
      <w:r w:rsidRPr="000655FE">
        <w:rPr>
          <w:b/>
          <w:bCs/>
          <w:sz w:val="20"/>
          <w:szCs w:val="20"/>
        </w:rPr>
        <w:t>General</w:t>
      </w:r>
      <w:r w:rsidRPr="000655FE">
        <w:rPr>
          <w:sz w:val="20"/>
          <w:szCs w:val="20"/>
        </w:rPr>
        <w:t xml:space="preserve"> </w:t>
      </w:r>
      <w:r w:rsidRPr="000655FE">
        <w:rPr>
          <w:b/>
          <w:bCs/>
          <w:sz w:val="20"/>
          <w:szCs w:val="20"/>
        </w:rPr>
        <w:t>public</w:t>
      </w:r>
      <w:r w:rsidRPr="000655FE">
        <w:rPr>
          <w:sz w:val="20"/>
          <w:szCs w:val="20"/>
        </w:rPr>
        <w:t xml:space="preserve"> </w:t>
      </w:r>
      <w:r w:rsidRPr="000655FE">
        <w:rPr>
          <w:b/>
          <w:bCs/>
          <w:sz w:val="20"/>
          <w:szCs w:val="20"/>
        </w:rPr>
        <w:t>services</w:t>
      </w:r>
    </w:p>
    <w:p w14:paraId="24D46041" w14:textId="77777777" w:rsidR="0054112C" w:rsidRPr="000655FE" w:rsidRDefault="0054112C" w:rsidP="00806AD8">
      <w:pPr>
        <w:spacing w:after="0" w:line="240" w:lineRule="auto"/>
        <w:rPr>
          <w:sz w:val="20"/>
          <w:szCs w:val="20"/>
        </w:rPr>
      </w:pPr>
    </w:p>
    <w:p w14:paraId="027D6207" w14:textId="77777777" w:rsidR="0054112C" w:rsidRPr="000655FE" w:rsidRDefault="0054112C" w:rsidP="00D25872">
      <w:pPr>
        <w:pStyle w:val="ListParagraph"/>
        <w:numPr>
          <w:ilvl w:val="0"/>
          <w:numId w:val="7"/>
        </w:numPr>
        <w:spacing w:line="240" w:lineRule="auto"/>
        <w:jc w:val="both"/>
        <w:rPr>
          <w:sz w:val="20"/>
          <w:szCs w:val="20"/>
        </w:rPr>
      </w:pPr>
      <w:r w:rsidRPr="000655FE">
        <w:rPr>
          <w:sz w:val="20"/>
          <w:szCs w:val="20"/>
        </w:rPr>
        <w:t>Rename the Division to “General Public Services, Debt, and Transfers”</w:t>
      </w:r>
    </w:p>
    <w:p w14:paraId="1F2653CD" w14:textId="77777777" w:rsidR="0054112C" w:rsidRPr="000655FE" w:rsidRDefault="0054112C" w:rsidP="00D25872">
      <w:pPr>
        <w:pStyle w:val="ListParagraph"/>
        <w:numPr>
          <w:ilvl w:val="0"/>
          <w:numId w:val="7"/>
        </w:numPr>
        <w:spacing w:line="240" w:lineRule="auto"/>
        <w:jc w:val="both"/>
        <w:rPr>
          <w:sz w:val="20"/>
          <w:szCs w:val="20"/>
        </w:rPr>
      </w:pPr>
      <w:r w:rsidRPr="000655FE">
        <w:rPr>
          <w:sz w:val="20"/>
          <w:szCs w:val="20"/>
        </w:rPr>
        <w:t xml:space="preserve">Comprehensive reassessment of Division 01 in order to improve structural balance  </w:t>
      </w:r>
    </w:p>
    <w:p w14:paraId="1C69AE3A" w14:textId="77777777" w:rsidR="0054112C" w:rsidRPr="000655FE" w:rsidRDefault="0054112C" w:rsidP="00D25872">
      <w:pPr>
        <w:pStyle w:val="ListParagraph"/>
        <w:numPr>
          <w:ilvl w:val="0"/>
          <w:numId w:val="7"/>
        </w:numPr>
        <w:spacing w:line="240" w:lineRule="auto"/>
        <w:jc w:val="both"/>
        <w:rPr>
          <w:sz w:val="20"/>
          <w:szCs w:val="20"/>
        </w:rPr>
      </w:pPr>
      <w:r w:rsidRPr="000655FE">
        <w:rPr>
          <w:sz w:val="20"/>
          <w:szCs w:val="20"/>
        </w:rPr>
        <w:t>Modify the definition of 01.7 (Public debt transactions) to explicitly include expenditure related to a broader range of debt instruments, and/or to rename it “Public debt transactions (mainly interest)”</w:t>
      </w:r>
    </w:p>
    <w:p w14:paraId="1D4DADE1" w14:textId="77777777" w:rsidR="0054112C" w:rsidRPr="000655FE" w:rsidRDefault="0054112C" w:rsidP="00D25872">
      <w:pPr>
        <w:pStyle w:val="ListParagraph"/>
        <w:numPr>
          <w:ilvl w:val="0"/>
          <w:numId w:val="7"/>
        </w:numPr>
        <w:spacing w:line="240" w:lineRule="auto"/>
        <w:jc w:val="both"/>
        <w:rPr>
          <w:sz w:val="20"/>
          <w:szCs w:val="20"/>
        </w:rPr>
      </w:pPr>
      <w:r w:rsidRPr="000655FE">
        <w:rPr>
          <w:sz w:val="20"/>
          <w:szCs w:val="20"/>
        </w:rPr>
        <w:t xml:space="preserve">Add new breakdowns in 01.8 (Transfers of a general character between different levels of government) to capture upward transfers to national governments, to include sub-categories reflecting reasons for transfers to local government, and to include transfers between other levels of government </w:t>
      </w:r>
    </w:p>
    <w:p w14:paraId="48145D2A" w14:textId="77777777" w:rsidR="0054112C" w:rsidRPr="000655FE" w:rsidRDefault="0054112C" w:rsidP="00D25872">
      <w:pPr>
        <w:pStyle w:val="ListParagraph"/>
        <w:numPr>
          <w:ilvl w:val="0"/>
          <w:numId w:val="7"/>
        </w:numPr>
        <w:spacing w:line="240" w:lineRule="auto"/>
        <w:jc w:val="both"/>
        <w:rPr>
          <w:sz w:val="20"/>
          <w:szCs w:val="20"/>
        </w:rPr>
      </w:pPr>
      <w:r w:rsidRPr="000655FE">
        <w:rPr>
          <w:sz w:val="20"/>
          <w:szCs w:val="20"/>
        </w:rPr>
        <w:t>Rename 01.8 “Transfers of a general character between different levels of government (e.g. Intragovernmental transfers not related to a particular function)”</w:t>
      </w:r>
    </w:p>
    <w:p w14:paraId="5046F896" w14:textId="77777777" w:rsidR="0054112C" w:rsidRPr="000655FE" w:rsidRDefault="0054112C" w:rsidP="00D25872">
      <w:pPr>
        <w:pStyle w:val="ListParagraph"/>
        <w:numPr>
          <w:ilvl w:val="0"/>
          <w:numId w:val="7"/>
        </w:numPr>
        <w:spacing w:line="240" w:lineRule="auto"/>
        <w:jc w:val="both"/>
        <w:rPr>
          <w:sz w:val="20"/>
          <w:szCs w:val="20"/>
        </w:rPr>
      </w:pPr>
      <w:r w:rsidRPr="000655FE">
        <w:rPr>
          <w:sz w:val="20"/>
          <w:szCs w:val="20"/>
        </w:rPr>
        <w:t>Restructure 01.8 by moving transfers to other levels of government to its own Division, or by removing 01.8 entirely</w:t>
      </w:r>
    </w:p>
    <w:p w14:paraId="4DBB74A6" w14:textId="77777777" w:rsidR="0054112C" w:rsidRPr="000655FE" w:rsidRDefault="0054112C" w:rsidP="00D25872">
      <w:pPr>
        <w:pStyle w:val="ListParagraph"/>
        <w:numPr>
          <w:ilvl w:val="0"/>
          <w:numId w:val="7"/>
        </w:numPr>
        <w:spacing w:line="240" w:lineRule="auto"/>
        <w:jc w:val="both"/>
        <w:rPr>
          <w:sz w:val="20"/>
          <w:szCs w:val="20"/>
        </w:rPr>
      </w:pPr>
      <w:r w:rsidRPr="000655FE">
        <w:rPr>
          <w:sz w:val="20"/>
          <w:szCs w:val="20"/>
        </w:rPr>
        <w:t>Create a new category for “Tax administration”, removing it from 01.1.2 (Financial and fiscal affairs)</w:t>
      </w:r>
    </w:p>
    <w:p w14:paraId="2B76DC32" w14:textId="77777777" w:rsidR="0054112C" w:rsidRPr="000655FE" w:rsidRDefault="0054112C" w:rsidP="00D25872">
      <w:pPr>
        <w:pStyle w:val="ListParagraph"/>
        <w:numPr>
          <w:ilvl w:val="0"/>
          <w:numId w:val="7"/>
        </w:numPr>
        <w:spacing w:line="240" w:lineRule="auto"/>
        <w:jc w:val="both"/>
        <w:rPr>
          <w:sz w:val="20"/>
          <w:szCs w:val="20"/>
        </w:rPr>
      </w:pPr>
      <w:r w:rsidRPr="000655FE">
        <w:rPr>
          <w:sz w:val="20"/>
          <w:szCs w:val="20"/>
        </w:rPr>
        <w:t>Provide more guidance on 01.7 and 01.8</w:t>
      </w:r>
    </w:p>
    <w:p w14:paraId="09EA467B" w14:textId="77777777" w:rsidR="0054112C" w:rsidRPr="000655FE" w:rsidRDefault="0054112C" w:rsidP="00D25872">
      <w:pPr>
        <w:pStyle w:val="ListParagraph"/>
        <w:numPr>
          <w:ilvl w:val="0"/>
          <w:numId w:val="7"/>
        </w:numPr>
        <w:spacing w:line="240" w:lineRule="auto"/>
        <w:jc w:val="both"/>
        <w:rPr>
          <w:sz w:val="20"/>
          <w:szCs w:val="20"/>
        </w:rPr>
      </w:pPr>
      <w:r w:rsidRPr="000655FE">
        <w:rPr>
          <w:sz w:val="20"/>
          <w:szCs w:val="20"/>
        </w:rPr>
        <w:t>Distinguish climate or environmental-related transfers by creating other sub-categories</w:t>
      </w:r>
    </w:p>
    <w:p w14:paraId="7B9E87C4" w14:textId="77777777" w:rsidR="0054112C" w:rsidRPr="000655FE" w:rsidRDefault="0054112C" w:rsidP="00806AD8">
      <w:pPr>
        <w:spacing w:after="0" w:line="240" w:lineRule="auto"/>
        <w:rPr>
          <w:sz w:val="20"/>
          <w:szCs w:val="20"/>
        </w:rPr>
      </w:pPr>
    </w:p>
    <w:p w14:paraId="0BCB550E" w14:textId="77777777" w:rsidR="0054112C" w:rsidRPr="000655FE" w:rsidRDefault="0054112C" w:rsidP="00806AD8">
      <w:pPr>
        <w:spacing w:after="0" w:line="240" w:lineRule="auto"/>
        <w:rPr>
          <w:sz w:val="20"/>
          <w:szCs w:val="20"/>
        </w:rPr>
      </w:pPr>
      <w:r w:rsidRPr="000655FE">
        <w:rPr>
          <w:b/>
          <w:bCs/>
          <w:sz w:val="20"/>
          <w:szCs w:val="20"/>
        </w:rPr>
        <w:t>A02</w:t>
      </w:r>
      <w:r w:rsidRPr="000655FE">
        <w:rPr>
          <w:sz w:val="20"/>
          <w:szCs w:val="20"/>
        </w:rPr>
        <w:t xml:space="preserve">. </w:t>
      </w:r>
      <w:r w:rsidRPr="000655FE">
        <w:rPr>
          <w:b/>
          <w:bCs/>
          <w:sz w:val="20"/>
          <w:szCs w:val="20"/>
        </w:rPr>
        <w:t>Defence</w:t>
      </w:r>
    </w:p>
    <w:p w14:paraId="128AAE77" w14:textId="77777777" w:rsidR="0054112C" w:rsidRPr="000655FE" w:rsidRDefault="0054112C" w:rsidP="00806AD8">
      <w:pPr>
        <w:spacing w:after="0" w:line="240" w:lineRule="auto"/>
        <w:rPr>
          <w:sz w:val="20"/>
          <w:szCs w:val="20"/>
        </w:rPr>
      </w:pPr>
    </w:p>
    <w:p w14:paraId="6D53BD6E" w14:textId="77777777" w:rsidR="0054112C" w:rsidRPr="000655FE" w:rsidRDefault="0054112C" w:rsidP="00D25872">
      <w:pPr>
        <w:pStyle w:val="ListParagraph"/>
        <w:numPr>
          <w:ilvl w:val="0"/>
          <w:numId w:val="8"/>
        </w:numPr>
        <w:spacing w:line="240" w:lineRule="auto"/>
        <w:rPr>
          <w:sz w:val="20"/>
          <w:szCs w:val="20"/>
        </w:rPr>
      </w:pPr>
      <w:r w:rsidRPr="000655FE">
        <w:rPr>
          <w:sz w:val="20"/>
          <w:szCs w:val="20"/>
        </w:rPr>
        <w:lastRenderedPageBreak/>
        <w:t>Add breakdowns to 02.1.0 (Military defense) to cover at least the operation of land, air and sea forces individually; and possibly for nuclear, cyber and space</w:t>
      </w:r>
    </w:p>
    <w:p w14:paraId="409719A0" w14:textId="77777777" w:rsidR="0054112C" w:rsidRPr="000655FE" w:rsidRDefault="0054112C" w:rsidP="00806AD8">
      <w:pPr>
        <w:spacing w:after="0" w:line="240" w:lineRule="auto"/>
        <w:rPr>
          <w:sz w:val="20"/>
          <w:szCs w:val="20"/>
        </w:rPr>
      </w:pPr>
    </w:p>
    <w:p w14:paraId="7FBEE1EB" w14:textId="77777777" w:rsidR="0054112C" w:rsidRPr="000655FE" w:rsidRDefault="0054112C" w:rsidP="00806AD8">
      <w:pPr>
        <w:spacing w:after="0" w:line="240" w:lineRule="auto"/>
        <w:rPr>
          <w:b/>
          <w:bCs/>
          <w:sz w:val="20"/>
          <w:szCs w:val="20"/>
        </w:rPr>
      </w:pPr>
      <w:r w:rsidRPr="000655FE">
        <w:rPr>
          <w:b/>
          <w:bCs/>
          <w:sz w:val="20"/>
          <w:szCs w:val="20"/>
        </w:rPr>
        <w:t>A03</w:t>
      </w:r>
      <w:r w:rsidRPr="000655FE">
        <w:rPr>
          <w:sz w:val="20"/>
          <w:szCs w:val="20"/>
        </w:rPr>
        <w:t xml:space="preserve">. </w:t>
      </w:r>
      <w:r w:rsidRPr="000655FE">
        <w:rPr>
          <w:b/>
          <w:bCs/>
          <w:sz w:val="20"/>
          <w:szCs w:val="20"/>
        </w:rPr>
        <w:t>Public order and safety</w:t>
      </w:r>
    </w:p>
    <w:p w14:paraId="58EDE98F" w14:textId="77777777" w:rsidR="0054112C" w:rsidRPr="000655FE" w:rsidRDefault="0054112C" w:rsidP="00806AD8">
      <w:pPr>
        <w:spacing w:after="0" w:line="240" w:lineRule="auto"/>
        <w:rPr>
          <w:sz w:val="20"/>
          <w:szCs w:val="20"/>
        </w:rPr>
      </w:pPr>
    </w:p>
    <w:p w14:paraId="3A25F016" w14:textId="77777777" w:rsidR="0054112C" w:rsidRPr="000655FE" w:rsidRDefault="0054112C" w:rsidP="00D25872">
      <w:pPr>
        <w:pStyle w:val="ListParagraph"/>
        <w:numPr>
          <w:ilvl w:val="0"/>
          <w:numId w:val="7"/>
        </w:numPr>
        <w:spacing w:line="240" w:lineRule="auto"/>
        <w:jc w:val="both"/>
        <w:rPr>
          <w:sz w:val="20"/>
          <w:szCs w:val="20"/>
        </w:rPr>
      </w:pPr>
      <w:r w:rsidRPr="000655FE">
        <w:rPr>
          <w:sz w:val="20"/>
          <w:szCs w:val="20"/>
        </w:rPr>
        <w:t>Create a new separate category in Division 03 for “Immigration and citizenship,” removing it from 03.1.0 (Police services)</w:t>
      </w:r>
    </w:p>
    <w:p w14:paraId="5C784D5D" w14:textId="77777777" w:rsidR="0054112C" w:rsidRPr="000655FE" w:rsidRDefault="0054112C" w:rsidP="00806AD8">
      <w:pPr>
        <w:spacing w:after="0" w:line="240" w:lineRule="auto"/>
        <w:rPr>
          <w:sz w:val="20"/>
          <w:szCs w:val="20"/>
        </w:rPr>
      </w:pPr>
    </w:p>
    <w:p w14:paraId="0E3CCCAB" w14:textId="77777777" w:rsidR="0054112C" w:rsidRPr="000655FE" w:rsidRDefault="0054112C" w:rsidP="00806AD8">
      <w:pPr>
        <w:spacing w:after="0" w:line="240" w:lineRule="auto"/>
        <w:rPr>
          <w:b/>
          <w:bCs/>
          <w:sz w:val="20"/>
          <w:szCs w:val="20"/>
        </w:rPr>
      </w:pPr>
      <w:r w:rsidRPr="000655FE">
        <w:rPr>
          <w:b/>
          <w:bCs/>
          <w:sz w:val="20"/>
          <w:szCs w:val="20"/>
        </w:rPr>
        <w:t>A04</w:t>
      </w:r>
      <w:r w:rsidRPr="000655FE">
        <w:rPr>
          <w:sz w:val="20"/>
          <w:szCs w:val="20"/>
        </w:rPr>
        <w:t xml:space="preserve">. </w:t>
      </w:r>
      <w:r w:rsidRPr="000655FE">
        <w:rPr>
          <w:b/>
          <w:bCs/>
          <w:sz w:val="20"/>
          <w:szCs w:val="20"/>
        </w:rPr>
        <w:t>Economic affairs</w:t>
      </w:r>
    </w:p>
    <w:p w14:paraId="4D847477" w14:textId="77777777" w:rsidR="0054112C" w:rsidRPr="000655FE" w:rsidRDefault="0054112C" w:rsidP="00806AD8">
      <w:pPr>
        <w:spacing w:after="0" w:line="240" w:lineRule="auto"/>
        <w:rPr>
          <w:sz w:val="20"/>
          <w:szCs w:val="20"/>
        </w:rPr>
      </w:pPr>
    </w:p>
    <w:p w14:paraId="6D74E9D8" w14:textId="77777777" w:rsidR="0054112C" w:rsidRPr="000655FE" w:rsidRDefault="0054112C" w:rsidP="00D25872">
      <w:pPr>
        <w:pStyle w:val="ListParagraph"/>
        <w:numPr>
          <w:ilvl w:val="0"/>
          <w:numId w:val="8"/>
        </w:numPr>
        <w:spacing w:line="240" w:lineRule="auto"/>
        <w:jc w:val="both"/>
        <w:rPr>
          <w:sz w:val="20"/>
          <w:szCs w:val="20"/>
        </w:rPr>
      </w:pPr>
      <w:r w:rsidRPr="000655FE">
        <w:rPr>
          <w:sz w:val="20"/>
          <w:szCs w:val="20"/>
        </w:rPr>
        <w:t>Clarify its organizing principle based on Eurostat COFOG Manual Section 2.8</w:t>
      </w:r>
    </w:p>
    <w:p w14:paraId="393C03E6" w14:textId="77777777" w:rsidR="0054112C" w:rsidRPr="000655FE" w:rsidRDefault="0054112C" w:rsidP="00D25872">
      <w:pPr>
        <w:pStyle w:val="ListParagraph"/>
        <w:numPr>
          <w:ilvl w:val="0"/>
          <w:numId w:val="8"/>
        </w:numPr>
        <w:spacing w:line="240" w:lineRule="auto"/>
        <w:jc w:val="both"/>
        <w:rPr>
          <w:sz w:val="20"/>
          <w:szCs w:val="20"/>
        </w:rPr>
      </w:pPr>
      <w:r w:rsidRPr="000655FE">
        <w:rPr>
          <w:sz w:val="20"/>
          <w:szCs w:val="20"/>
        </w:rPr>
        <w:t>Move all construction activity under 04.4.3 (Construction), including construction and maintenance found under 04.5.1-04.5.5 and 04.6.0</w:t>
      </w:r>
    </w:p>
    <w:p w14:paraId="4E6E4EEB" w14:textId="77777777" w:rsidR="0054112C" w:rsidRPr="000655FE" w:rsidRDefault="0054112C" w:rsidP="00D25872">
      <w:pPr>
        <w:pStyle w:val="ListParagraph"/>
        <w:numPr>
          <w:ilvl w:val="0"/>
          <w:numId w:val="8"/>
        </w:numPr>
        <w:spacing w:line="240" w:lineRule="auto"/>
        <w:jc w:val="both"/>
        <w:rPr>
          <w:sz w:val="20"/>
          <w:szCs w:val="20"/>
        </w:rPr>
      </w:pPr>
      <w:r w:rsidRPr="000655FE">
        <w:rPr>
          <w:sz w:val="20"/>
          <w:szCs w:val="20"/>
        </w:rPr>
        <w:t>Include a breakdown of renewable/non-renewable energy in 04.4 (Mining, manufacturing and construction)</w:t>
      </w:r>
    </w:p>
    <w:p w14:paraId="78D66855" w14:textId="77777777" w:rsidR="0054112C" w:rsidRPr="000655FE" w:rsidRDefault="0054112C" w:rsidP="00D25872">
      <w:pPr>
        <w:pStyle w:val="ListParagraph"/>
        <w:numPr>
          <w:ilvl w:val="0"/>
          <w:numId w:val="8"/>
        </w:numPr>
        <w:spacing w:line="240" w:lineRule="auto"/>
        <w:jc w:val="both"/>
        <w:rPr>
          <w:sz w:val="20"/>
          <w:szCs w:val="20"/>
        </w:rPr>
      </w:pPr>
      <w:r w:rsidRPr="000655FE">
        <w:rPr>
          <w:sz w:val="20"/>
          <w:szCs w:val="20"/>
        </w:rPr>
        <w:t>Move “Active labour market policy” to 10.5 from 04.1 (General Economic, Commercial and Labour Affairs)</w:t>
      </w:r>
    </w:p>
    <w:p w14:paraId="546D7259" w14:textId="77777777" w:rsidR="0054112C" w:rsidRPr="000655FE" w:rsidRDefault="0054112C" w:rsidP="00D25872">
      <w:pPr>
        <w:pStyle w:val="ListParagraph"/>
        <w:numPr>
          <w:ilvl w:val="0"/>
          <w:numId w:val="8"/>
        </w:numPr>
        <w:spacing w:line="240" w:lineRule="auto"/>
        <w:jc w:val="both"/>
        <w:rPr>
          <w:sz w:val="20"/>
          <w:szCs w:val="20"/>
        </w:rPr>
      </w:pPr>
      <w:r w:rsidRPr="000655FE">
        <w:rPr>
          <w:sz w:val="20"/>
          <w:szCs w:val="20"/>
        </w:rPr>
        <w:t xml:space="preserve">Explicitly include livestock farming in 04.2.1 (Agriculture) </w:t>
      </w:r>
    </w:p>
    <w:p w14:paraId="05C8A8B6" w14:textId="77777777" w:rsidR="0054112C" w:rsidRPr="000655FE" w:rsidRDefault="0054112C" w:rsidP="00D25872">
      <w:pPr>
        <w:pStyle w:val="ListParagraph"/>
        <w:numPr>
          <w:ilvl w:val="0"/>
          <w:numId w:val="8"/>
        </w:numPr>
        <w:spacing w:line="240" w:lineRule="auto"/>
        <w:jc w:val="both"/>
        <w:rPr>
          <w:sz w:val="20"/>
          <w:szCs w:val="20"/>
        </w:rPr>
      </w:pPr>
      <w:r w:rsidRPr="000655FE">
        <w:rPr>
          <w:sz w:val="20"/>
          <w:szCs w:val="20"/>
        </w:rPr>
        <w:t>Expand activities under 04.2.2 (Forestry) to include Conservation, Development and Regeneration of forests</w:t>
      </w:r>
    </w:p>
    <w:p w14:paraId="7DFD0290" w14:textId="77777777" w:rsidR="0054112C" w:rsidRPr="000655FE" w:rsidRDefault="0054112C" w:rsidP="00D25872">
      <w:pPr>
        <w:pStyle w:val="ListParagraph"/>
        <w:numPr>
          <w:ilvl w:val="0"/>
          <w:numId w:val="8"/>
        </w:numPr>
        <w:spacing w:line="240" w:lineRule="auto"/>
        <w:jc w:val="both"/>
        <w:rPr>
          <w:sz w:val="20"/>
          <w:szCs w:val="20"/>
        </w:rPr>
      </w:pPr>
      <w:r w:rsidRPr="000655FE">
        <w:rPr>
          <w:sz w:val="20"/>
          <w:szCs w:val="20"/>
        </w:rPr>
        <w:t>Rename 04.2.3 to “Fishing and aquaculture” or “Fishing” to align with ISIC, etc.</w:t>
      </w:r>
    </w:p>
    <w:p w14:paraId="6E585435" w14:textId="77777777" w:rsidR="0054112C" w:rsidRPr="000655FE" w:rsidRDefault="0054112C" w:rsidP="00D25872">
      <w:pPr>
        <w:pStyle w:val="ListParagraph"/>
        <w:numPr>
          <w:ilvl w:val="0"/>
          <w:numId w:val="8"/>
        </w:numPr>
        <w:spacing w:line="240" w:lineRule="auto"/>
        <w:jc w:val="both"/>
        <w:rPr>
          <w:sz w:val="20"/>
          <w:szCs w:val="20"/>
        </w:rPr>
      </w:pPr>
      <w:r w:rsidRPr="000655FE">
        <w:rPr>
          <w:sz w:val="20"/>
          <w:szCs w:val="20"/>
        </w:rPr>
        <w:t>Create a new category for “Marine resource management and conservation” covering fisheries management, marine biodiversity protection, and sustainable fishing practices</w:t>
      </w:r>
    </w:p>
    <w:p w14:paraId="4DA365DF" w14:textId="77777777" w:rsidR="0054112C" w:rsidRPr="000655FE" w:rsidRDefault="0054112C" w:rsidP="00D25872">
      <w:pPr>
        <w:pStyle w:val="ListParagraph"/>
        <w:numPr>
          <w:ilvl w:val="0"/>
          <w:numId w:val="8"/>
        </w:numPr>
        <w:spacing w:line="240" w:lineRule="auto"/>
        <w:jc w:val="both"/>
        <w:rPr>
          <w:sz w:val="20"/>
          <w:szCs w:val="20"/>
        </w:rPr>
      </w:pPr>
      <w:r w:rsidRPr="000655FE">
        <w:rPr>
          <w:sz w:val="20"/>
          <w:szCs w:val="20"/>
        </w:rPr>
        <w:t>Review 04.7.4 (</w:t>
      </w:r>
      <w:proofErr w:type="gramStart"/>
      <w:r w:rsidRPr="000655FE">
        <w:rPr>
          <w:sz w:val="20"/>
          <w:szCs w:val="20"/>
        </w:rPr>
        <w:t>Multi-purpose</w:t>
      </w:r>
      <w:proofErr w:type="gramEnd"/>
      <w:r w:rsidRPr="000655FE">
        <w:rPr>
          <w:sz w:val="20"/>
          <w:szCs w:val="20"/>
        </w:rPr>
        <w:t xml:space="preserve"> development projects)</w:t>
      </w:r>
    </w:p>
    <w:p w14:paraId="1087F627" w14:textId="77777777" w:rsidR="0054112C" w:rsidRPr="000655FE" w:rsidRDefault="0054112C" w:rsidP="00806AD8">
      <w:pPr>
        <w:spacing w:after="0" w:line="240" w:lineRule="auto"/>
        <w:rPr>
          <w:sz w:val="20"/>
          <w:szCs w:val="20"/>
        </w:rPr>
      </w:pPr>
    </w:p>
    <w:p w14:paraId="4AFAFD59" w14:textId="77777777" w:rsidR="0054112C" w:rsidRPr="000655FE" w:rsidRDefault="0054112C" w:rsidP="00806AD8">
      <w:pPr>
        <w:spacing w:after="0" w:line="240" w:lineRule="auto"/>
        <w:rPr>
          <w:b/>
          <w:bCs/>
          <w:sz w:val="20"/>
          <w:szCs w:val="20"/>
        </w:rPr>
      </w:pPr>
    </w:p>
    <w:p w14:paraId="19D62E9A" w14:textId="77777777" w:rsidR="0054112C" w:rsidRPr="000655FE" w:rsidRDefault="0054112C" w:rsidP="00806AD8">
      <w:pPr>
        <w:spacing w:after="0" w:line="240" w:lineRule="auto"/>
        <w:rPr>
          <w:sz w:val="20"/>
          <w:szCs w:val="20"/>
        </w:rPr>
      </w:pPr>
      <w:r w:rsidRPr="000655FE">
        <w:rPr>
          <w:b/>
          <w:bCs/>
          <w:sz w:val="20"/>
          <w:szCs w:val="20"/>
        </w:rPr>
        <w:t>A05</w:t>
      </w:r>
      <w:r w:rsidRPr="000655FE">
        <w:rPr>
          <w:sz w:val="20"/>
          <w:szCs w:val="20"/>
        </w:rPr>
        <w:t xml:space="preserve">. </w:t>
      </w:r>
      <w:r w:rsidRPr="000655FE">
        <w:rPr>
          <w:b/>
          <w:bCs/>
          <w:sz w:val="20"/>
          <w:szCs w:val="20"/>
        </w:rPr>
        <w:t>Environmental protection</w:t>
      </w:r>
    </w:p>
    <w:p w14:paraId="48C699AB" w14:textId="77777777" w:rsidR="0054112C" w:rsidRPr="000655FE" w:rsidRDefault="0054112C" w:rsidP="00806AD8">
      <w:pPr>
        <w:spacing w:after="0" w:line="240" w:lineRule="auto"/>
        <w:rPr>
          <w:sz w:val="20"/>
          <w:szCs w:val="20"/>
        </w:rPr>
      </w:pPr>
    </w:p>
    <w:p w14:paraId="06021927" w14:textId="77777777" w:rsidR="0054112C" w:rsidRPr="000655FE" w:rsidRDefault="0054112C" w:rsidP="00D25872">
      <w:pPr>
        <w:pStyle w:val="ListParagraph"/>
        <w:numPr>
          <w:ilvl w:val="0"/>
          <w:numId w:val="9"/>
        </w:numPr>
        <w:spacing w:line="240" w:lineRule="auto"/>
        <w:jc w:val="both"/>
        <w:rPr>
          <w:sz w:val="20"/>
          <w:szCs w:val="20"/>
        </w:rPr>
      </w:pPr>
      <w:r w:rsidRPr="000655FE">
        <w:rPr>
          <w:sz w:val="20"/>
          <w:szCs w:val="20"/>
        </w:rPr>
        <w:t>Review the scope of the division, including 05.1 (Waste management), 05.4 (Protection of biodiversity and landscape), resource management activities and disaster risk and emergency relief</w:t>
      </w:r>
    </w:p>
    <w:p w14:paraId="198BB374" w14:textId="77777777" w:rsidR="0054112C" w:rsidRPr="000655FE" w:rsidRDefault="0054112C" w:rsidP="00D25872">
      <w:pPr>
        <w:pStyle w:val="ListParagraph"/>
        <w:numPr>
          <w:ilvl w:val="0"/>
          <w:numId w:val="9"/>
        </w:numPr>
        <w:spacing w:line="240" w:lineRule="auto"/>
        <w:jc w:val="both"/>
        <w:rPr>
          <w:sz w:val="20"/>
          <w:szCs w:val="20"/>
        </w:rPr>
      </w:pPr>
      <w:r w:rsidRPr="000655FE">
        <w:rPr>
          <w:sz w:val="20"/>
          <w:szCs w:val="20"/>
        </w:rPr>
        <w:t>Improve alignment with CEP, SEEA and other environmental classifications/frameworks</w:t>
      </w:r>
    </w:p>
    <w:p w14:paraId="1F702B28" w14:textId="77777777" w:rsidR="0054112C" w:rsidRPr="000655FE" w:rsidRDefault="0054112C" w:rsidP="00D25872">
      <w:pPr>
        <w:pStyle w:val="ListParagraph"/>
        <w:numPr>
          <w:ilvl w:val="0"/>
          <w:numId w:val="9"/>
        </w:numPr>
        <w:spacing w:line="240" w:lineRule="auto"/>
        <w:jc w:val="both"/>
        <w:rPr>
          <w:sz w:val="20"/>
          <w:szCs w:val="20"/>
        </w:rPr>
      </w:pPr>
      <w:r w:rsidRPr="000655FE">
        <w:rPr>
          <w:sz w:val="20"/>
          <w:szCs w:val="20"/>
        </w:rPr>
        <w:t>Identify activities potentially under 05.4 (Protection of Biodiversity and Landscape) that support forest related intervention and realign them under 04.2.2 (Forestry)</w:t>
      </w:r>
    </w:p>
    <w:p w14:paraId="2D3451FC" w14:textId="77777777" w:rsidR="0054112C" w:rsidRPr="000655FE" w:rsidRDefault="0054112C" w:rsidP="00D25872">
      <w:pPr>
        <w:pStyle w:val="ListParagraph"/>
        <w:numPr>
          <w:ilvl w:val="0"/>
          <w:numId w:val="9"/>
        </w:numPr>
        <w:spacing w:line="240" w:lineRule="auto"/>
        <w:jc w:val="both"/>
        <w:rPr>
          <w:sz w:val="20"/>
          <w:szCs w:val="20"/>
        </w:rPr>
      </w:pPr>
      <w:r w:rsidRPr="000655FE">
        <w:rPr>
          <w:sz w:val="20"/>
          <w:szCs w:val="20"/>
        </w:rPr>
        <w:t>Include a breakdown of renewable/non-renewable energy in 05.3 (Pollution abatement)</w:t>
      </w:r>
    </w:p>
    <w:p w14:paraId="4B39E9B8" w14:textId="77777777" w:rsidR="0054112C" w:rsidRPr="000655FE" w:rsidRDefault="0054112C" w:rsidP="00D25872">
      <w:pPr>
        <w:pStyle w:val="ListParagraph"/>
        <w:numPr>
          <w:ilvl w:val="0"/>
          <w:numId w:val="9"/>
        </w:numPr>
        <w:spacing w:line="240" w:lineRule="auto"/>
        <w:jc w:val="both"/>
        <w:rPr>
          <w:sz w:val="20"/>
          <w:szCs w:val="20"/>
        </w:rPr>
      </w:pPr>
      <w:r w:rsidRPr="000655FE">
        <w:rPr>
          <w:sz w:val="20"/>
          <w:szCs w:val="20"/>
        </w:rPr>
        <w:t>Clarify the classification of water-related expenditure, which is split between Division 06 (water supply), and Division 05 (wastewater management)</w:t>
      </w:r>
    </w:p>
    <w:p w14:paraId="07C80207" w14:textId="77777777" w:rsidR="0054112C" w:rsidRPr="000655FE" w:rsidRDefault="0054112C" w:rsidP="00D25872">
      <w:pPr>
        <w:pStyle w:val="ListParagraph"/>
        <w:numPr>
          <w:ilvl w:val="0"/>
          <w:numId w:val="9"/>
        </w:numPr>
        <w:spacing w:line="240" w:lineRule="auto"/>
        <w:jc w:val="both"/>
        <w:rPr>
          <w:sz w:val="20"/>
          <w:szCs w:val="20"/>
        </w:rPr>
      </w:pPr>
      <w:r w:rsidRPr="000655FE">
        <w:rPr>
          <w:sz w:val="20"/>
          <w:szCs w:val="20"/>
        </w:rPr>
        <w:t>Consider recommendations of Data Gaps Initiative – Third Phase (DGI-3) on addressing statistical areas on climate change and its possible implication to COFOG</w:t>
      </w:r>
    </w:p>
    <w:p w14:paraId="1F027347" w14:textId="77777777" w:rsidR="0054112C" w:rsidRPr="000655FE" w:rsidRDefault="0054112C" w:rsidP="00D25872">
      <w:pPr>
        <w:pStyle w:val="ListParagraph"/>
        <w:numPr>
          <w:ilvl w:val="0"/>
          <w:numId w:val="9"/>
        </w:numPr>
        <w:spacing w:line="240" w:lineRule="auto"/>
        <w:jc w:val="both"/>
        <w:rPr>
          <w:sz w:val="20"/>
          <w:szCs w:val="20"/>
        </w:rPr>
      </w:pPr>
      <w:r w:rsidRPr="000655FE">
        <w:rPr>
          <w:sz w:val="20"/>
          <w:szCs w:val="20"/>
        </w:rPr>
        <w:t xml:space="preserve">Account for expenditure on climate change mitigation and </w:t>
      </w:r>
      <w:proofErr w:type="gramStart"/>
      <w:r w:rsidRPr="000655FE">
        <w:rPr>
          <w:sz w:val="20"/>
          <w:szCs w:val="20"/>
        </w:rPr>
        <w:t>adaption</w:t>
      </w:r>
      <w:proofErr w:type="gramEnd"/>
      <w:r w:rsidRPr="000655FE">
        <w:rPr>
          <w:sz w:val="20"/>
          <w:szCs w:val="20"/>
        </w:rPr>
        <w:t>, by evaluating the option to introduce further breakdowns at the level of COFOG classes in this or other relevant divisions or to create a standalone COFOG division on climate change expenditure, which include the following (currently, few of these items are allocated in division 05):</w:t>
      </w:r>
    </w:p>
    <w:p w14:paraId="3C0D2F21" w14:textId="77777777" w:rsidR="0054112C" w:rsidRPr="000655FE" w:rsidRDefault="0054112C" w:rsidP="00D25872">
      <w:pPr>
        <w:pStyle w:val="ListParagraph"/>
        <w:numPr>
          <w:ilvl w:val="0"/>
          <w:numId w:val="10"/>
        </w:numPr>
        <w:spacing w:line="240" w:lineRule="auto"/>
        <w:jc w:val="both"/>
        <w:rPr>
          <w:sz w:val="20"/>
          <w:szCs w:val="20"/>
        </w:rPr>
      </w:pPr>
      <w:r w:rsidRPr="000655FE">
        <w:rPr>
          <w:sz w:val="20"/>
          <w:szCs w:val="20"/>
        </w:rPr>
        <w:t xml:space="preserve">Investment in renewable energy </w:t>
      </w:r>
    </w:p>
    <w:p w14:paraId="60D5D1A3" w14:textId="77777777" w:rsidR="0054112C" w:rsidRPr="000655FE" w:rsidRDefault="0054112C" w:rsidP="00D25872">
      <w:pPr>
        <w:pStyle w:val="ListParagraph"/>
        <w:numPr>
          <w:ilvl w:val="0"/>
          <w:numId w:val="10"/>
        </w:numPr>
        <w:spacing w:line="240" w:lineRule="auto"/>
        <w:jc w:val="both"/>
        <w:rPr>
          <w:sz w:val="20"/>
          <w:szCs w:val="20"/>
        </w:rPr>
      </w:pPr>
      <w:r w:rsidRPr="000655FE">
        <w:rPr>
          <w:sz w:val="20"/>
          <w:szCs w:val="20"/>
        </w:rPr>
        <w:t>R&amp;D linked to climate change projects</w:t>
      </w:r>
    </w:p>
    <w:p w14:paraId="05D85374" w14:textId="77777777" w:rsidR="0054112C" w:rsidRPr="000655FE" w:rsidRDefault="0054112C" w:rsidP="00D25872">
      <w:pPr>
        <w:pStyle w:val="ListParagraph"/>
        <w:numPr>
          <w:ilvl w:val="0"/>
          <w:numId w:val="10"/>
        </w:numPr>
        <w:spacing w:line="240" w:lineRule="auto"/>
        <w:jc w:val="both"/>
        <w:rPr>
          <w:sz w:val="20"/>
          <w:szCs w:val="20"/>
        </w:rPr>
      </w:pPr>
      <w:r w:rsidRPr="000655FE">
        <w:rPr>
          <w:sz w:val="20"/>
          <w:szCs w:val="20"/>
        </w:rPr>
        <w:t>Transition assistance for households and businesses in moving towards energy transition, such as subsidies for insulation or heat pumps</w:t>
      </w:r>
    </w:p>
    <w:p w14:paraId="57063892" w14:textId="77777777" w:rsidR="0054112C" w:rsidRPr="000655FE" w:rsidRDefault="0054112C" w:rsidP="00D25872">
      <w:pPr>
        <w:pStyle w:val="ListParagraph"/>
        <w:numPr>
          <w:ilvl w:val="0"/>
          <w:numId w:val="10"/>
        </w:numPr>
        <w:spacing w:line="240" w:lineRule="auto"/>
        <w:jc w:val="both"/>
        <w:rPr>
          <w:sz w:val="20"/>
          <w:szCs w:val="20"/>
        </w:rPr>
      </w:pPr>
      <w:r w:rsidRPr="000655FE">
        <w:rPr>
          <w:sz w:val="20"/>
          <w:szCs w:val="20"/>
        </w:rPr>
        <w:t>Electrification of transport vehicles and networks</w:t>
      </w:r>
    </w:p>
    <w:p w14:paraId="24B5120E" w14:textId="77777777" w:rsidR="0054112C" w:rsidRPr="000655FE" w:rsidRDefault="0054112C" w:rsidP="00D25872">
      <w:pPr>
        <w:pStyle w:val="ListParagraph"/>
        <w:numPr>
          <w:ilvl w:val="0"/>
          <w:numId w:val="10"/>
        </w:numPr>
        <w:spacing w:line="240" w:lineRule="auto"/>
        <w:jc w:val="both"/>
        <w:rPr>
          <w:sz w:val="20"/>
          <w:szCs w:val="20"/>
        </w:rPr>
      </w:pPr>
      <w:r w:rsidRPr="000655FE">
        <w:rPr>
          <w:sz w:val="20"/>
          <w:szCs w:val="20"/>
        </w:rPr>
        <w:t>Flood defenses</w:t>
      </w:r>
    </w:p>
    <w:p w14:paraId="518274D5" w14:textId="77777777" w:rsidR="0054112C" w:rsidRPr="000655FE" w:rsidRDefault="0054112C" w:rsidP="00806AD8">
      <w:pPr>
        <w:spacing w:after="0" w:line="240" w:lineRule="auto"/>
        <w:rPr>
          <w:sz w:val="20"/>
          <w:szCs w:val="20"/>
        </w:rPr>
      </w:pPr>
    </w:p>
    <w:p w14:paraId="14C8EFBD" w14:textId="77777777" w:rsidR="0054112C" w:rsidRPr="000655FE" w:rsidRDefault="0054112C" w:rsidP="00806AD8">
      <w:pPr>
        <w:spacing w:after="0" w:line="240" w:lineRule="auto"/>
        <w:rPr>
          <w:sz w:val="20"/>
          <w:szCs w:val="20"/>
        </w:rPr>
      </w:pPr>
      <w:r w:rsidRPr="000655FE">
        <w:rPr>
          <w:b/>
          <w:bCs/>
          <w:sz w:val="20"/>
          <w:szCs w:val="20"/>
        </w:rPr>
        <w:lastRenderedPageBreak/>
        <w:t>A06</w:t>
      </w:r>
      <w:r w:rsidRPr="000655FE">
        <w:rPr>
          <w:sz w:val="20"/>
          <w:szCs w:val="20"/>
        </w:rPr>
        <w:t xml:space="preserve">. </w:t>
      </w:r>
      <w:r w:rsidRPr="000655FE">
        <w:rPr>
          <w:b/>
          <w:bCs/>
          <w:sz w:val="20"/>
          <w:szCs w:val="20"/>
        </w:rPr>
        <w:t>Housing and community amenities</w:t>
      </w:r>
    </w:p>
    <w:p w14:paraId="7BA1EFC3" w14:textId="77777777" w:rsidR="0054112C" w:rsidRPr="000655FE" w:rsidRDefault="0054112C" w:rsidP="00806AD8">
      <w:pPr>
        <w:spacing w:after="0" w:line="240" w:lineRule="auto"/>
        <w:rPr>
          <w:sz w:val="20"/>
          <w:szCs w:val="20"/>
        </w:rPr>
      </w:pPr>
    </w:p>
    <w:p w14:paraId="0E77FE55" w14:textId="77777777" w:rsidR="0054112C" w:rsidRPr="000655FE" w:rsidRDefault="0054112C" w:rsidP="00D25872">
      <w:pPr>
        <w:pStyle w:val="ListParagraph"/>
        <w:numPr>
          <w:ilvl w:val="0"/>
          <w:numId w:val="11"/>
        </w:numPr>
        <w:spacing w:line="240" w:lineRule="auto"/>
        <w:rPr>
          <w:sz w:val="20"/>
          <w:szCs w:val="20"/>
        </w:rPr>
      </w:pPr>
      <w:r w:rsidRPr="000655FE">
        <w:rPr>
          <w:sz w:val="20"/>
          <w:szCs w:val="20"/>
        </w:rPr>
        <w:t>Reconsider the relevance of separately identifying  06.4 (Street lighting)</w:t>
      </w:r>
    </w:p>
    <w:p w14:paraId="2C64CB56" w14:textId="77777777" w:rsidR="0054112C" w:rsidRPr="000655FE" w:rsidRDefault="0054112C" w:rsidP="00D25872">
      <w:pPr>
        <w:pStyle w:val="ListParagraph"/>
        <w:numPr>
          <w:ilvl w:val="0"/>
          <w:numId w:val="11"/>
        </w:numPr>
        <w:spacing w:line="240" w:lineRule="auto"/>
        <w:rPr>
          <w:sz w:val="20"/>
          <w:szCs w:val="20"/>
        </w:rPr>
      </w:pPr>
      <w:r w:rsidRPr="000655FE">
        <w:rPr>
          <w:sz w:val="20"/>
          <w:szCs w:val="20"/>
        </w:rPr>
        <w:t>Better distinguish expenditure related to “water”, including wastewater management currently under Division 05 (Environmental protection), which could be transferred to the Housing and community amenities category</w:t>
      </w:r>
    </w:p>
    <w:p w14:paraId="31D96E85" w14:textId="77777777" w:rsidR="0054112C" w:rsidRPr="000655FE" w:rsidRDefault="0054112C" w:rsidP="00806AD8">
      <w:pPr>
        <w:spacing w:after="0" w:line="240" w:lineRule="auto"/>
        <w:jc w:val="both"/>
        <w:rPr>
          <w:sz w:val="20"/>
          <w:szCs w:val="20"/>
        </w:rPr>
      </w:pPr>
    </w:p>
    <w:p w14:paraId="7D71BAB5" w14:textId="77777777" w:rsidR="0054112C" w:rsidRPr="000655FE" w:rsidRDefault="0054112C" w:rsidP="00806AD8">
      <w:pPr>
        <w:spacing w:after="0" w:line="240" w:lineRule="auto"/>
        <w:rPr>
          <w:sz w:val="20"/>
          <w:szCs w:val="20"/>
        </w:rPr>
      </w:pPr>
      <w:r w:rsidRPr="000655FE">
        <w:rPr>
          <w:b/>
          <w:bCs/>
          <w:sz w:val="20"/>
          <w:szCs w:val="20"/>
        </w:rPr>
        <w:t>A07</w:t>
      </w:r>
      <w:r w:rsidRPr="000655FE">
        <w:rPr>
          <w:sz w:val="20"/>
          <w:szCs w:val="20"/>
        </w:rPr>
        <w:t xml:space="preserve">. </w:t>
      </w:r>
      <w:r w:rsidRPr="000655FE">
        <w:rPr>
          <w:b/>
          <w:bCs/>
          <w:sz w:val="20"/>
          <w:szCs w:val="20"/>
        </w:rPr>
        <w:t>Health</w:t>
      </w:r>
      <w:r w:rsidRPr="000655FE">
        <w:rPr>
          <w:b/>
          <w:bCs/>
          <w:sz w:val="20"/>
          <w:szCs w:val="20"/>
        </w:rPr>
        <w:br/>
      </w:r>
    </w:p>
    <w:p w14:paraId="0F149C28" w14:textId="77777777" w:rsidR="0054112C" w:rsidRPr="000655FE" w:rsidRDefault="0054112C" w:rsidP="00D25872">
      <w:pPr>
        <w:pStyle w:val="ListParagraph"/>
        <w:numPr>
          <w:ilvl w:val="0"/>
          <w:numId w:val="11"/>
        </w:numPr>
        <w:spacing w:line="240" w:lineRule="auto"/>
        <w:jc w:val="both"/>
        <w:rPr>
          <w:sz w:val="20"/>
          <w:szCs w:val="20"/>
        </w:rPr>
      </w:pPr>
      <w:r w:rsidRPr="000655FE">
        <w:rPr>
          <w:sz w:val="20"/>
          <w:szCs w:val="20"/>
        </w:rPr>
        <w:t>Revise the Division to distinguish between preventing and curative healthcare</w:t>
      </w:r>
    </w:p>
    <w:p w14:paraId="24B75B50" w14:textId="77777777" w:rsidR="0054112C" w:rsidRPr="000655FE" w:rsidRDefault="0054112C" w:rsidP="00D25872">
      <w:pPr>
        <w:pStyle w:val="ListParagraph"/>
        <w:numPr>
          <w:ilvl w:val="0"/>
          <w:numId w:val="11"/>
        </w:numPr>
        <w:spacing w:line="240" w:lineRule="auto"/>
        <w:jc w:val="both"/>
        <w:rPr>
          <w:sz w:val="20"/>
          <w:szCs w:val="20"/>
        </w:rPr>
      </w:pPr>
      <w:r w:rsidRPr="000655FE">
        <w:rPr>
          <w:sz w:val="20"/>
          <w:szCs w:val="20"/>
        </w:rPr>
        <w:t>Add new categories for “Disease prevention and control” and “Health promotion activities” and revise the definition of 07.6 (Health n.e.c.) to exclude these</w:t>
      </w:r>
    </w:p>
    <w:p w14:paraId="2936C90E" w14:textId="77777777" w:rsidR="0054112C" w:rsidRPr="000655FE" w:rsidRDefault="0054112C" w:rsidP="00D25872">
      <w:pPr>
        <w:pStyle w:val="ListParagraph"/>
        <w:numPr>
          <w:ilvl w:val="0"/>
          <w:numId w:val="11"/>
        </w:numPr>
        <w:spacing w:line="240" w:lineRule="auto"/>
        <w:jc w:val="both"/>
        <w:rPr>
          <w:sz w:val="20"/>
          <w:szCs w:val="20"/>
        </w:rPr>
      </w:pPr>
      <w:r w:rsidRPr="000655FE">
        <w:rPr>
          <w:sz w:val="20"/>
          <w:szCs w:val="20"/>
        </w:rPr>
        <w:t xml:space="preserve">Improve alignment with the System of Health Accounts (SHA 2011), </w:t>
      </w:r>
      <w:proofErr w:type="gramStart"/>
      <w:r w:rsidRPr="000655FE">
        <w:rPr>
          <w:sz w:val="20"/>
          <w:szCs w:val="20"/>
        </w:rPr>
        <w:t>including to</w:t>
      </w:r>
      <w:proofErr w:type="gramEnd"/>
      <w:r w:rsidRPr="000655FE">
        <w:rPr>
          <w:sz w:val="20"/>
          <w:szCs w:val="20"/>
        </w:rPr>
        <w:t>:</w:t>
      </w:r>
    </w:p>
    <w:p w14:paraId="35CBF262" w14:textId="77777777" w:rsidR="0054112C" w:rsidRPr="000655FE" w:rsidRDefault="0054112C" w:rsidP="00D25872">
      <w:pPr>
        <w:pStyle w:val="ListParagraph"/>
        <w:numPr>
          <w:ilvl w:val="0"/>
          <w:numId w:val="12"/>
        </w:numPr>
        <w:spacing w:line="240" w:lineRule="auto"/>
        <w:jc w:val="both"/>
        <w:rPr>
          <w:sz w:val="20"/>
          <w:szCs w:val="20"/>
        </w:rPr>
      </w:pPr>
      <w:r w:rsidRPr="000655FE">
        <w:rPr>
          <w:sz w:val="20"/>
          <w:szCs w:val="20"/>
        </w:rPr>
        <w:t>Add “Rehabilitative care services,” “Long-term care health services” and “Ancillary services”</w:t>
      </w:r>
    </w:p>
    <w:p w14:paraId="6C1E5A56" w14:textId="77777777" w:rsidR="0054112C" w:rsidRPr="000655FE" w:rsidRDefault="0054112C" w:rsidP="00D25872">
      <w:pPr>
        <w:pStyle w:val="ListParagraph"/>
        <w:numPr>
          <w:ilvl w:val="0"/>
          <w:numId w:val="12"/>
        </w:numPr>
        <w:spacing w:line="240" w:lineRule="auto"/>
        <w:jc w:val="both"/>
        <w:rPr>
          <w:sz w:val="20"/>
          <w:szCs w:val="20"/>
        </w:rPr>
      </w:pPr>
      <w:r w:rsidRPr="000655FE">
        <w:rPr>
          <w:sz w:val="20"/>
          <w:szCs w:val="20"/>
        </w:rPr>
        <w:t>Split 07.4 (Public health services) into “Individual preventive services” and “Collective services”</w:t>
      </w:r>
    </w:p>
    <w:p w14:paraId="637C930C" w14:textId="77777777" w:rsidR="0054112C" w:rsidRPr="000655FE" w:rsidRDefault="0054112C" w:rsidP="00D25872">
      <w:pPr>
        <w:pStyle w:val="ListParagraph"/>
        <w:numPr>
          <w:ilvl w:val="0"/>
          <w:numId w:val="12"/>
        </w:numPr>
        <w:spacing w:line="240" w:lineRule="auto"/>
        <w:jc w:val="both"/>
        <w:rPr>
          <w:sz w:val="20"/>
          <w:szCs w:val="20"/>
        </w:rPr>
      </w:pPr>
      <w:r w:rsidRPr="000655FE">
        <w:rPr>
          <w:sz w:val="20"/>
          <w:szCs w:val="20"/>
        </w:rPr>
        <w:t>Add a new subcategory for “Immunization services”</w:t>
      </w:r>
    </w:p>
    <w:p w14:paraId="3D220C4D" w14:textId="77777777" w:rsidR="0054112C" w:rsidRPr="000655FE" w:rsidRDefault="0054112C" w:rsidP="00D25872">
      <w:pPr>
        <w:pStyle w:val="ListParagraph"/>
        <w:numPr>
          <w:ilvl w:val="0"/>
          <w:numId w:val="12"/>
        </w:numPr>
        <w:spacing w:line="240" w:lineRule="auto"/>
        <w:jc w:val="both"/>
        <w:rPr>
          <w:sz w:val="20"/>
          <w:szCs w:val="20"/>
        </w:rPr>
      </w:pPr>
      <w:r w:rsidRPr="000655FE">
        <w:rPr>
          <w:sz w:val="20"/>
          <w:szCs w:val="20"/>
        </w:rPr>
        <w:t>Reclassify foreign aid to health from 01.2 (Foreign economic aid) to Division 07</w:t>
      </w:r>
    </w:p>
    <w:p w14:paraId="5E3EB0C0" w14:textId="77777777" w:rsidR="0054112C" w:rsidRPr="000655FE" w:rsidRDefault="0054112C" w:rsidP="00D25872">
      <w:pPr>
        <w:pStyle w:val="ListParagraph"/>
        <w:numPr>
          <w:ilvl w:val="0"/>
          <w:numId w:val="12"/>
        </w:numPr>
        <w:spacing w:line="240" w:lineRule="auto"/>
        <w:jc w:val="both"/>
        <w:rPr>
          <w:sz w:val="20"/>
          <w:szCs w:val="20"/>
        </w:rPr>
      </w:pPr>
      <w:r w:rsidRPr="000655FE">
        <w:rPr>
          <w:sz w:val="20"/>
          <w:szCs w:val="20"/>
        </w:rPr>
        <w:t>Revise the definition of 07.1 (Medical products, appliances and equipment)</w:t>
      </w:r>
    </w:p>
    <w:p w14:paraId="260F9A3B" w14:textId="77777777" w:rsidR="0054112C" w:rsidRPr="000655FE" w:rsidRDefault="0054112C" w:rsidP="00D25872">
      <w:pPr>
        <w:pStyle w:val="ListParagraph"/>
        <w:numPr>
          <w:ilvl w:val="0"/>
          <w:numId w:val="12"/>
        </w:numPr>
        <w:spacing w:line="240" w:lineRule="auto"/>
        <w:jc w:val="both"/>
        <w:rPr>
          <w:sz w:val="20"/>
          <w:szCs w:val="20"/>
        </w:rPr>
      </w:pPr>
      <w:r w:rsidRPr="000655FE">
        <w:rPr>
          <w:sz w:val="20"/>
          <w:szCs w:val="20"/>
        </w:rPr>
        <w:t>Rename 07.3 (Hospital services) to “Inpatient services”</w:t>
      </w:r>
    </w:p>
    <w:p w14:paraId="3F9C932A" w14:textId="77777777" w:rsidR="0054112C" w:rsidRPr="000655FE" w:rsidRDefault="0054112C" w:rsidP="00D25872">
      <w:pPr>
        <w:pStyle w:val="ListParagraph"/>
        <w:numPr>
          <w:ilvl w:val="0"/>
          <w:numId w:val="11"/>
        </w:numPr>
        <w:spacing w:line="240" w:lineRule="auto"/>
        <w:jc w:val="both"/>
        <w:rPr>
          <w:sz w:val="20"/>
          <w:szCs w:val="20"/>
        </w:rPr>
      </w:pPr>
      <w:r w:rsidRPr="000655FE">
        <w:rPr>
          <w:sz w:val="20"/>
          <w:szCs w:val="20"/>
        </w:rPr>
        <w:t>Improve alignment with other health related classifications/frameworks including the Classification of Health Care Functions (ICHA-HC)</w:t>
      </w:r>
    </w:p>
    <w:p w14:paraId="74C681E7" w14:textId="77777777" w:rsidR="0054112C" w:rsidRPr="000655FE" w:rsidRDefault="0054112C" w:rsidP="00D25872">
      <w:pPr>
        <w:pStyle w:val="ListParagraph"/>
        <w:numPr>
          <w:ilvl w:val="0"/>
          <w:numId w:val="11"/>
        </w:numPr>
        <w:spacing w:line="240" w:lineRule="auto"/>
        <w:jc w:val="both"/>
        <w:rPr>
          <w:sz w:val="20"/>
          <w:szCs w:val="20"/>
        </w:rPr>
      </w:pPr>
      <w:r w:rsidRPr="000655FE">
        <w:rPr>
          <w:sz w:val="20"/>
          <w:szCs w:val="20"/>
        </w:rPr>
        <w:t>Consider potential overlap with A10 (Social protection)</w:t>
      </w:r>
    </w:p>
    <w:p w14:paraId="7E727E57" w14:textId="77777777" w:rsidR="0054112C" w:rsidRPr="000655FE" w:rsidRDefault="0054112C" w:rsidP="00D25872">
      <w:pPr>
        <w:pStyle w:val="ListParagraph"/>
        <w:numPr>
          <w:ilvl w:val="0"/>
          <w:numId w:val="11"/>
        </w:numPr>
        <w:spacing w:line="240" w:lineRule="auto"/>
        <w:jc w:val="both"/>
        <w:rPr>
          <w:sz w:val="20"/>
          <w:szCs w:val="20"/>
        </w:rPr>
      </w:pPr>
      <w:r w:rsidRPr="000655FE">
        <w:rPr>
          <w:sz w:val="20"/>
          <w:szCs w:val="20"/>
        </w:rPr>
        <w:t>Treatment of “digital health”</w:t>
      </w:r>
    </w:p>
    <w:p w14:paraId="0965C087" w14:textId="77777777" w:rsidR="0054112C" w:rsidRPr="000655FE" w:rsidRDefault="0054112C" w:rsidP="00806AD8">
      <w:pPr>
        <w:spacing w:after="0" w:line="240" w:lineRule="auto"/>
        <w:rPr>
          <w:b/>
          <w:bCs/>
          <w:sz w:val="20"/>
          <w:szCs w:val="20"/>
        </w:rPr>
      </w:pPr>
    </w:p>
    <w:p w14:paraId="1F97A455" w14:textId="77777777" w:rsidR="0054112C" w:rsidRPr="000655FE" w:rsidRDefault="0054112C" w:rsidP="00806AD8">
      <w:pPr>
        <w:spacing w:after="0" w:line="240" w:lineRule="auto"/>
        <w:rPr>
          <w:b/>
          <w:bCs/>
          <w:sz w:val="20"/>
          <w:szCs w:val="20"/>
        </w:rPr>
      </w:pPr>
      <w:r w:rsidRPr="000655FE">
        <w:rPr>
          <w:b/>
          <w:bCs/>
          <w:sz w:val="20"/>
          <w:szCs w:val="20"/>
        </w:rPr>
        <w:t>A09</w:t>
      </w:r>
      <w:r w:rsidRPr="000655FE">
        <w:rPr>
          <w:sz w:val="20"/>
          <w:szCs w:val="20"/>
        </w:rPr>
        <w:t xml:space="preserve">. </w:t>
      </w:r>
      <w:r w:rsidRPr="000655FE">
        <w:rPr>
          <w:b/>
          <w:bCs/>
          <w:sz w:val="20"/>
          <w:szCs w:val="20"/>
        </w:rPr>
        <w:t>Education</w:t>
      </w:r>
    </w:p>
    <w:p w14:paraId="17880794" w14:textId="77777777" w:rsidR="0054112C" w:rsidRPr="000655FE" w:rsidRDefault="0054112C" w:rsidP="00806AD8">
      <w:pPr>
        <w:spacing w:after="0" w:line="240" w:lineRule="auto"/>
        <w:rPr>
          <w:b/>
          <w:bCs/>
          <w:sz w:val="20"/>
          <w:szCs w:val="20"/>
        </w:rPr>
      </w:pPr>
    </w:p>
    <w:p w14:paraId="5897832B" w14:textId="77777777" w:rsidR="0054112C" w:rsidRPr="000655FE" w:rsidRDefault="0054112C" w:rsidP="00D25872">
      <w:pPr>
        <w:pStyle w:val="ListParagraph"/>
        <w:numPr>
          <w:ilvl w:val="0"/>
          <w:numId w:val="13"/>
        </w:numPr>
        <w:spacing w:line="240" w:lineRule="auto"/>
        <w:jc w:val="both"/>
        <w:rPr>
          <w:sz w:val="20"/>
          <w:szCs w:val="20"/>
        </w:rPr>
      </w:pPr>
      <w:r w:rsidRPr="000655FE">
        <w:rPr>
          <w:sz w:val="20"/>
          <w:szCs w:val="20"/>
        </w:rPr>
        <w:t xml:space="preserve">Reclassify spending on goods and services for school </w:t>
      </w:r>
      <w:proofErr w:type="gramStart"/>
      <w:r w:rsidRPr="000655FE">
        <w:rPr>
          <w:sz w:val="20"/>
          <w:szCs w:val="20"/>
        </w:rPr>
        <w:t>meal</w:t>
      </w:r>
      <w:proofErr w:type="gramEnd"/>
      <w:r w:rsidRPr="000655FE">
        <w:rPr>
          <w:sz w:val="20"/>
          <w:szCs w:val="20"/>
        </w:rPr>
        <w:t>/nutrition programs as transfers to households</w:t>
      </w:r>
    </w:p>
    <w:p w14:paraId="478FF09F" w14:textId="77777777" w:rsidR="0054112C" w:rsidRPr="000655FE" w:rsidRDefault="0054112C" w:rsidP="00D25872">
      <w:pPr>
        <w:pStyle w:val="ListParagraph"/>
        <w:numPr>
          <w:ilvl w:val="0"/>
          <w:numId w:val="13"/>
        </w:numPr>
        <w:spacing w:line="240" w:lineRule="auto"/>
        <w:jc w:val="both"/>
        <w:rPr>
          <w:sz w:val="20"/>
          <w:szCs w:val="20"/>
        </w:rPr>
      </w:pPr>
      <w:r w:rsidRPr="000655FE">
        <w:rPr>
          <w:sz w:val="20"/>
          <w:szCs w:val="20"/>
        </w:rPr>
        <w:t>Clarify guidance on cross classification between GFSM and COFOG regarding education allowances and public loans for students</w:t>
      </w:r>
    </w:p>
    <w:p w14:paraId="780EE218" w14:textId="77777777" w:rsidR="0054112C" w:rsidRPr="000655FE" w:rsidRDefault="0054112C" w:rsidP="00D25872">
      <w:pPr>
        <w:pStyle w:val="ListParagraph"/>
        <w:numPr>
          <w:ilvl w:val="0"/>
          <w:numId w:val="13"/>
        </w:numPr>
        <w:spacing w:line="240" w:lineRule="auto"/>
        <w:jc w:val="both"/>
        <w:rPr>
          <w:sz w:val="20"/>
          <w:szCs w:val="20"/>
        </w:rPr>
      </w:pPr>
      <w:r w:rsidRPr="000655FE">
        <w:rPr>
          <w:sz w:val="20"/>
          <w:szCs w:val="20"/>
        </w:rPr>
        <w:t>Include “scholarships, grants, loans and allowances” at the primary education level (09.1) as with other levels</w:t>
      </w:r>
    </w:p>
    <w:p w14:paraId="6E04A6DB" w14:textId="77777777" w:rsidR="0054112C" w:rsidRPr="000655FE" w:rsidRDefault="0054112C" w:rsidP="00D25872">
      <w:pPr>
        <w:pStyle w:val="ListParagraph"/>
        <w:numPr>
          <w:ilvl w:val="0"/>
          <w:numId w:val="13"/>
        </w:numPr>
        <w:spacing w:line="240" w:lineRule="auto"/>
        <w:jc w:val="both"/>
        <w:rPr>
          <w:sz w:val="20"/>
          <w:szCs w:val="20"/>
        </w:rPr>
      </w:pPr>
      <w:r w:rsidRPr="000655FE">
        <w:rPr>
          <w:sz w:val="20"/>
          <w:szCs w:val="20"/>
        </w:rPr>
        <w:t xml:space="preserve">Improve alignment with UOE [UNESCO-UIS/OECD/Eurostat] and ISCED-2011, including: </w:t>
      </w:r>
    </w:p>
    <w:p w14:paraId="43820E61" w14:textId="77777777" w:rsidR="0054112C" w:rsidRPr="000655FE" w:rsidRDefault="0054112C" w:rsidP="00D25872">
      <w:pPr>
        <w:pStyle w:val="ListParagraph"/>
        <w:numPr>
          <w:ilvl w:val="0"/>
          <w:numId w:val="14"/>
        </w:numPr>
        <w:spacing w:line="240" w:lineRule="auto"/>
        <w:jc w:val="both"/>
        <w:rPr>
          <w:sz w:val="20"/>
          <w:szCs w:val="20"/>
        </w:rPr>
      </w:pPr>
      <w:r w:rsidRPr="000655FE">
        <w:rPr>
          <w:sz w:val="20"/>
          <w:szCs w:val="20"/>
        </w:rPr>
        <w:t>Inclusion of early childhood educational development in Division 09</w:t>
      </w:r>
    </w:p>
    <w:p w14:paraId="6F6E6B96" w14:textId="77777777" w:rsidR="0054112C" w:rsidRPr="000655FE" w:rsidRDefault="0054112C" w:rsidP="00D25872">
      <w:pPr>
        <w:pStyle w:val="ListParagraph"/>
        <w:numPr>
          <w:ilvl w:val="0"/>
          <w:numId w:val="14"/>
        </w:numPr>
        <w:spacing w:line="240" w:lineRule="auto"/>
        <w:jc w:val="both"/>
        <w:rPr>
          <w:sz w:val="20"/>
          <w:szCs w:val="20"/>
        </w:rPr>
      </w:pPr>
      <w:r w:rsidRPr="000655FE">
        <w:rPr>
          <w:sz w:val="20"/>
          <w:szCs w:val="20"/>
        </w:rPr>
        <w:t>Coverage of only formal education</w:t>
      </w:r>
    </w:p>
    <w:p w14:paraId="7A225D37" w14:textId="77777777" w:rsidR="0054112C" w:rsidRPr="000655FE" w:rsidRDefault="0054112C" w:rsidP="00D25872">
      <w:pPr>
        <w:pStyle w:val="ListParagraph"/>
        <w:numPr>
          <w:ilvl w:val="0"/>
          <w:numId w:val="14"/>
        </w:numPr>
        <w:spacing w:line="240" w:lineRule="auto"/>
        <w:jc w:val="both"/>
        <w:rPr>
          <w:sz w:val="20"/>
          <w:szCs w:val="20"/>
        </w:rPr>
      </w:pPr>
      <w:r w:rsidRPr="000655FE">
        <w:rPr>
          <w:sz w:val="20"/>
          <w:szCs w:val="20"/>
        </w:rPr>
        <w:t>Clarification on the treatment of government dependent educational institutions</w:t>
      </w:r>
    </w:p>
    <w:p w14:paraId="135EED69" w14:textId="77777777" w:rsidR="0054112C" w:rsidRPr="000655FE" w:rsidRDefault="0054112C" w:rsidP="00D25872">
      <w:pPr>
        <w:pStyle w:val="ListParagraph"/>
        <w:numPr>
          <w:ilvl w:val="0"/>
          <w:numId w:val="14"/>
        </w:numPr>
        <w:spacing w:line="240" w:lineRule="auto"/>
        <w:jc w:val="both"/>
        <w:rPr>
          <w:sz w:val="20"/>
          <w:szCs w:val="20"/>
        </w:rPr>
      </w:pPr>
      <w:r w:rsidRPr="000655FE">
        <w:rPr>
          <w:sz w:val="20"/>
          <w:szCs w:val="20"/>
        </w:rPr>
        <w:t>Inclusion of public expenditure loans that are treated as financial transactions</w:t>
      </w:r>
    </w:p>
    <w:p w14:paraId="4C347942" w14:textId="155A259C" w:rsidR="0054112C" w:rsidRPr="000655FE" w:rsidRDefault="0054112C" w:rsidP="00D25872">
      <w:pPr>
        <w:pStyle w:val="ListParagraph"/>
        <w:numPr>
          <w:ilvl w:val="0"/>
          <w:numId w:val="14"/>
        </w:numPr>
        <w:spacing w:after="0" w:line="240" w:lineRule="auto"/>
        <w:jc w:val="both"/>
        <w:rPr>
          <w:sz w:val="20"/>
          <w:szCs w:val="20"/>
        </w:rPr>
      </w:pPr>
      <w:r w:rsidRPr="000655FE">
        <w:rPr>
          <w:sz w:val="20"/>
          <w:szCs w:val="20"/>
        </w:rPr>
        <w:t>Clarification of educational expenditure classified as transfers or other payments from governments to households</w:t>
      </w:r>
    </w:p>
    <w:p w14:paraId="5575D4EE" w14:textId="77777777" w:rsidR="00B953A6" w:rsidRPr="000655FE" w:rsidRDefault="00B953A6" w:rsidP="000434E1">
      <w:pPr>
        <w:pStyle w:val="ListParagraph"/>
        <w:spacing w:after="0" w:line="240" w:lineRule="auto"/>
        <w:ind w:left="1080"/>
        <w:jc w:val="both"/>
        <w:rPr>
          <w:sz w:val="20"/>
          <w:szCs w:val="20"/>
        </w:rPr>
      </w:pPr>
    </w:p>
    <w:p w14:paraId="141CBBA9" w14:textId="77777777" w:rsidR="0054112C" w:rsidRPr="000655FE" w:rsidRDefault="0054112C" w:rsidP="00806AD8">
      <w:pPr>
        <w:spacing w:after="0" w:line="240" w:lineRule="auto"/>
        <w:rPr>
          <w:sz w:val="20"/>
          <w:szCs w:val="20"/>
        </w:rPr>
      </w:pPr>
      <w:r w:rsidRPr="000655FE">
        <w:rPr>
          <w:b/>
          <w:bCs/>
          <w:sz w:val="20"/>
          <w:szCs w:val="20"/>
        </w:rPr>
        <w:t>A10</w:t>
      </w:r>
      <w:r w:rsidRPr="000655FE">
        <w:rPr>
          <w:sz w:val="20"/>
          <w:szCs w:val="20"/>
        </w:rPr>
        <w:t xml:space="preserve">. </w:t>
      </w:r>
      <w:r w:rsidRPr="000655FE">
        <w:rPr>
          <w:b/>
          <w:bCs/>
          <w:sz w:val="20"/>
          <w:szCs w:val="20"/>
        </w:rPr>
        <w:t>Social protection</w:t>
      </w:r>
    </w:p>
    <w:p w14:paraId="2D57FE57" w14:textId="77777777" w:rsidR="0054112C" w:rsidRPr="000655FE" w:rsidRDefault="0054112C" w:rsidP="00806AD8">
      <w:pPr>
        <w:spacing w:after="0" w:line="240" w:lineRule="auto"/>
        <w:rPr>
          <w:sz w:val="20"/>
          <w:szCs w:val="20"/>
        </w:rPr>
      </w:pPr>
    </w:p>
    <w:p w14:paraId="23C50F12" w14:textId="77777777" w:rsidR="0054112C" w:rsidRPr="000655FE" w:rsidRDefault="0054112C" w:rsidP="00D25872">
      <w:pPr>
        <w:pStyle w:val="ListParagraph"/>
        <w:numPr>
          <w:ilvl w:val="0"/>
          <w:numId w:val="15"/>
        </w:numPr>
        <w:spacing w:line="240" w:lineRule="auto"/>
        <w:jc w:val="both"/>
        <w:rPr>
          <w:sz w:val="20"/>
          <w:szCs w:val="20"/>
        </w:rPr>
      </w:pPr>
      <w:r w:rsidRPr="000655FE">
        <w:rPr>
          <w:sz w:val="20"/>
          <w:szCs w:val="20"/>
        </w:rPr>
        <w:t xml:space="preserve">Clarify the treatment of expenditure related to migration which may currently be included under 10.7 (Social exclusion n.e.c.), 03.1 (Police services) and 01.2 (Foreign economic aid), or create a new dedicated category </w:t>
      </w:r>
    </w:p>
    <w:p w14:paraId="59DFF99B" w14:textId="77777777" w:rsidR="0054112C" w:rsidRPr="000655FE" w:rsidRDefault="0054112C" w:rsidP="00D25872">
      <w:pPr>
        <w:pStyle w:val="ListParagraph"/>
        <w:numPr>
          <w:ilvl w:val="0"/>
          <w:numId w:val="15"/>
        </w:numPr>
        <w:spacing w:line="240" w:lineRule="auto"/>
        <w:jc w:val="both"/>
        <w:rPr>
          <w:sz w:val="20"/>
          <w:szCs w:val="20"/>
        </w:rPr>
      </w:pPr>
      <w:r w:rsidRPr="000655FE">
        <w:rPr>
          <w:sz w:val="20"/>
          <w:szCs w:val="20"/>
        </w:rPr>
        <w:t>Clarify that 10.6.0 (Housing) includes cash benefits in addition to benefits in kind, as noted in the exclusion to 06.1.0</w:t>
      </w:r>
    </w:p>
    <w:p w14:paraId="0077A7DF" w14:textId="77777777" w:rsidR="0054112C" w:rsidRPr="000655FE" w:rsidRDefault="0054112C" w:rsidP="00D25872">
      <w:pPr>
        <w:pStyle w:val="ListParagraph"/>
        <w:numPr>
          <w:ilvl w:val="0"/>
          <w:numId w:val="15"/>
        </w:numPr>
        <w:spacing w:line="240" w:lineRule="auto"/>
        <w:jc w:val="both"/>
        <w:rPr>
          <w:sz w:val="20"/>
          <w:szCs w:val="20"/>
        </w:rPr>
      </w:pPr>
      <w:r w:rsidRPr="000655FE">
        <w:rPr>
          <w:sz w:val="20"/>
          <w:szCs w:val="20"/>
        </w:rPr>
        <w:t>Add a sub-category for support to low-income earners in 10.7 (Social exclusion n.e.c.)</w:t>
      </w:r>
    </w:p>
    <w:p w14:paraId="096FD375" w14:textId="77777777" w:rsidR="0054112C" w:rsidRPr="000655FE" w:rsidRDefault="0054112C" w:rsidP="00D25872">
      <w:pPr>
        <w:pStyle w:val="ListParagraph"/>
        <w:numPr>
          <w:ilvl w:val="0"/>
          <w:numId w:val="15"/>
        </w:numPr>
        <w:spacing w:line="240" w:lineRule="auto"/>
        <w:jc w:val="both"/>
        <w:rPr>
          <w:sz w:val="20"/>
          <w:szCs w:val="20"/>
        </w:rPr>
      </w:pPr>
      <w:r w:rsidRPr="000655FE">
        <w:rPr>
          <w:sz w:val="20"/>
          <w:szCs w:val="20"/>
        </w:rPr>
        <w:lastRenderedPageBreak/>
        <w:t>Clarify the individual/collective breakdown of residual expenditure classified in 10.9 “Social protection n.e.c.” given that 10.1-10.7 are considered for individual expenditure and 10.8-10.9 for collective expenditure</w:t>
      </w:r>
    </w:p>
    <w:p w14:paraId="220FE0E3" w14:textId="77777777" w:rsidR="0054112C" w:rsidRPr="000655FE" w:rsidRDefault="0054112C" w:rsidP="00D25872">
      <w:pPr>
        <w:pStyle w:val="ListParagraph"/>
        <w:numPr>
          <w:ilvl w:val="0"/>
          <w:numId w:val="15"/>
        </w:numPr>
        <w:spacing w:line="240" w:lineRule="auto"/>
        <w:jc w:val="both"/>
        <w:rPr>
          <w:sz w:val="20"/>
          <w:szCs w:val="20"/>
        </w:rPr>
      </w:pPr>
      <w:r w:rsidRPr="000655FE">
        <w:rPr>
          <w:sz w:val="20"/>
          <w:szCs w:val="20"/>
        </w:rPr>
        <w:t>Add a sub-category for housing aid to be provided after natural disasters</w:t>
      </w:r>
    </w:p>
    <w:p w14:paraId="563317FA" w14:textId="77777777" w:rsidR="0054112C" w:rsidRPr="000655FE" w:rsidRDefault="0054112C" w:rsidP="00806AD8">
      <w:pPr>
        <w:spacing w:after="0" w:line="240" w:lineRule="auto"/>
        <w:rPr>
          <w:sz w:val="20"/>
          <w:szCs w:val="20"/>
        </w:rPr>
      </w:pPr>
    </w:p>
    <w:p w14:paraId="012BBA2A" w14:textId="77777777" w:rsidR="0054112C" w:rsidRPr="000655FE" w:rsidRDefault="0054112C" w:rsidP="00806AD8">
      <w:pPr>
        <w:spacing w:after="0" w:line="240" w:lineRule="auto"/>
        <w:rPr>
          <w:sz w:val="20"/>
          <w:szCs w:val="20"/>
        </w:rPr>
      </w:pPr>
      <w:r w:rsidRPr="000655FE">
        <w:rPr>
          <w:b/>
          <w:bCs/>
          <w:sz w:val="20"/>
          <w:szCs w:val="20"/>
        </w:rPr>
        <w:t>A11</w:t>
      </w:r>
      <w:r w:rsidRPr="000655FE">
        <w:rPr>
          <w:sz w:val="20"/>
          <w:szCs w:val="20"/>
        </w:rPr>
        <w:t xml:space="preserve">. </w:t>
      </w:r>
      <w:r w:rsidRPr="000655FE">
        <w:rPr>
          <w:b/>
          <w:bCs/>
          <w:sz w:val="20"/>
          <w:szCs w:val="20"/>
        </w:rPr>
        <w:t>Cross-cutting issues</w:t>
      </w:r>
    </w:p>
    <w:p w14:paraId="05917B15" w14:textId="77777777" w:rsidR="0054112C" w:rsidRPr="000655FE" w:rsidRDefault="0054112C" w:rsidP="00806AD8">
      <w:pPr>
        <w:spacing w:after="0" w:line="240" w:lineRule="auto"/>
        <w:rPr>
          <w:sz w:val="20"/>
          <w:szCs w:val="20"/>
        </w:rPr>
      </w:pPr>
    </w:p>
    <w:p w14:paraId="392B9359" w14:textId="77777777" w:rsidR="0054112C" w:rsidRPr="000655FE" w:rsidRDefault="0054112C" w:rsidP="00D25872">
      <w:pPr>
        <w:pStyle w:val="ListParagraph"/>
        <w:numPr>
          <w:ilvl w:val="0"/>
          <w:numId w:val="16"/>
        </w:numPr>
        <w:spacing w:line="240" w:lineRule="auto"/>
        <w:jc w:val="both"/>
        <w:rPr>
          <w:sz w:val="20"/>
          <w:szCs w:val="20"/>
        </w:rPr>
      </w:pPr>
      <w:r w:rsidRPr="000655FE">
        <w:rPr>
          <w:sz w:val="20"/>
          <w:szCs w:val="20"/>
        </w:rPr>
        <w:t>Civil protection in the event of disasters and climate change, land reclamation projects</w:t>
      </w:r>
    </w:p>
    <w:p w14:paraId="57C07D94" w14:textId="77777777" w:rsidR="0054112C" w:rsidRPr="000655FE" w:rsidRDefault="0054112C" w:rsidP="00D25872">
      <w:pPr>
        <w:pStyle w:val="ListParagraph"/>
        <w:numPr>
          <w:ilvl w:val="0"/>
          <w:numId w:val="16"/>
        </w:numPr>
        <w:spacing w:line="240" w:lineRule="auto"/>
        <w:jc w:val="both"/>
        <w:rPr>
          <w:sz w:val="20"/>
          <w:szCs w:val="20"/>
        </w:rPr>
      </w:pPr>
      <w:r w:rsidRPr="000655FE">
        <w:rPr>
          <w:sz w:val="20"/>
          <w:szCs w:val="20"/>
        </w:rPr>
        <w:t>Long-term care, between Divisions 07 and 10</w:t>
      </w:r>
    </w:p>
    <w:p w14:paraId="0E9E72DB" w14:textId="77777777" w:rsidR="0054112C" w:rsidRPr="000655FE" w:rsidRDefault="0054112C" w:rsidP="00D25872">
      <w:pPr>
        <w:pStyle w:val="ListParagraph"/>
        <w:numPr>
          <w:ilvl w:val="0"/>
          <w:numId w:val="16"/>
        </w:numPr>
        <w:spacing w:line="240" w:lineRule="auto"/>
        <w:jc w:val="both"/>
        <w:rPr>
          <w:sz w:val="20"/>
          <w:szCs w:val="20"/>
        </w:rPr>
      </w:pPr>
      <w:r w:rsidRPr="000655FE">
        <w:rPr>
          <w:sz w:val="20"/>
          <w:szCs w:val="20"/>
        </w:rPr>
        <w:t>Activities potentially under 05.4 (Protection of Biodiversity and Landscape) that support forest related intervention and realign them under 04.2.2 (Forestry)</w:t>
      </w:r>
    </w:p>
    <w:p w14:paraId="6FA8F819" w14:textId="77777777" w:rsidR="0054112C" w:rsidRPr="000655FE" w:rsidRDefault="0054112C" w:rsidP="00D25872">
      <w:pPr>
        <w:pStyle w:val="ListParagraph"/>
        <w:numPr>
          <w:ilvl w:val="0"/>
          <w:numId w:val="16"/>
        </w:numPr>
        <w:spacing w:line="240" w:lineRule="auto"/>
        <w:jc w:val="both"/>
        <w:rPr>
          <w:sz w:val="20"/>
          <w:szCs w:val="20"/>
        </w:rPr>
      </w:pPr>
      <w:r w:rsidRPr="000655FE">
        <w:rPr>
          <w:sz w:val="20"/>
          <w:szCs w:val="20"/>
        </w:rPr>
        <w:t>Water-related expenditure, which is split between “housing and community amenities” (water supply), and “environmental protection” (wastewater management)</w:t>
      </w:r>
    </w:p>
    <w:p w14:paraId="4042CE4B" w14:textId="77777777" w:rsidR="0054112C" w:rsidRPr="000655FE" w:rsidRDefault="0054112C" w:rsidP="00D25872">
      <w:pPr>
        <w:pStyle w:val="ListParagraph"/>
        <w:numPr>
          <w:ilvl w:val="0"/>
          <w:numId w:val="16"/>
        </w:numPr>
        <w:spacing w:line="240" w:lineRule="auto"/>
        <w:jc w:val="both"/>
        <w:rPr>
          <w:sz w:val="20"/>
          <w:szCs w:val="20"/>
        </w:rPr>
      </w:pPr>
      <w:r w:rsidRPr="000655FE">
        <w:rPr>
          <w:sz w:val="20"/>
          <w:szCs w:val="20"/>
        </w:rPr>
        <w:t>Net-zero related spending</w:t>
      </w:r>
    </w:p>
    <w:p w14:paraId="5DF0ECC9" w14:textId="77777777" w:rsidR="0054112C" w:rsidRPr="000655FE" w:rsidRDefault="0054112C" w:rsidP="00D25872">
      <w:pPr>
        <w:pStyle w:val="ListParagraph"/>
        <w:numPr>
          <w:ilvl w:val="0"/>
          <w:numId w:val="16"/>
        </w:numPr>
        <w:spacing w:line="240" w:lineRule="auto"/>
        <w:jc w:val="both"/>
        <w:rPr>
          <w:sz w:val="20"/>
          <w:szCs w:val="20"/>
        </w:rPr>
      </w:pPr>
      <w:r w:rsidRPr="000655FE">
        <w:rPr>
          <w:sz w:val="20"/>
          <w:szCs w:val="20"/>
        </w:rPr>
        <w:t>Food security and nutrition</w:t>
      </w:r>
    </w:p>
    <w:p w14:paraId="7EB8B72E" w14:textId="77777777" w:rsidR="0054112C" w:rsidRPr="000655FE" w:rsidRDefault="0054112C" w:rsidP="00806AD8">
      <w:pPr>
        <w:spacing w:after="0" w:line="240" w:lineRule="auto"/>
        <w:rPr>
          <w:sz w:val="20"/>
          <w:szCs w:val="20"/>
        </w:rPr>
      </w:pPr>
    </w:p>
    <w:p w14:paraId="0F584997" w14:textId="77777777" w:rsidR="0054112C" w:rsidRPr="000655FE" w:rsidRDefault="0054112C" w:rsidP="00806AD8">
      <w:pPr>
        <w:spacing w:after="0" w:line="240" w:lineRule="auto"/>
        <w:rPr>
          <w:sz w:val="20"/>
          <w:szCs w:val="20"/>
        </w:rPr>
      </w:pPr>
      <w:r w:rsidRPr="000655FE">
        <w:rPr>
          <w:b/>
          <w:bCs/>
          <w:sz w:val="20"/>
          <w:szCs w:val="20"/>
        </w:rPr>
        <w:t>A12</w:t>
      </w:r>
      <w:r w:rsidRPr="000655FE">
        <w:rPr>
          <w:sz w:val="20"/>
          <w:szCs w:val="20"/>
        </w:rPr>
        <w:t xml:space="preserve">. </w:t>
      </w:r>
      <w:r w:rsidRPr="000655FE">
        <w:rPr>
          <w:b/>
          <w:bCs/>
          <w:sz w:val="20"/>
          <w:szCs w:val="20"/>
        </w:rPr>
        <w:t>Research &amp; Development</w:t>
      </w:r>
    </w:p>
    <w:p w14:paraId="490BCC4B" w14:textId="77777777" w:rsidR="0054112C" w:rsidRPr="000655FE" w:rsidRDefault="0054112C" w:rsidP="00806AD8">
      <w:pPr>
        <w:spacing w:after="0" w:line="240" w:lineRule="auto"/>
        <w:rPr>
          <w:sz w:val="20"/>
          <w:szCs w:val="20"/>
        </w:rPr>
      </w:pPr>
    </w:p>
    <w:p w14:paraId="64A93A0D" w14:textId="77777777" w:rsidR="0054112C" w:rsidRPr="000655FE" w:rsidRDefault="0054112C" w:rsidP="00D25872">
      <w:pPr>
        <w:pStyle w:val="ListParagraph"/>
        <w:numPr>
          <w:ilvl w:val="0"/>
          <w:numId w:val="17"/>
        </w:numPr>
        <w:spacing w:line="240" w:lineRule="auto"/>
        <w:jc w:val="both"/>
        <w:rPr>
          <w:sz w:val="20"/>
          <w:szCs w:val="20"/>
        </w:rPr>
      </w:pPr>
      <w:r w:rsidRPr="000655FE">
        <w:rPr>
          <w:sz w:val="20"/>
          <w:szCs w:val="20"/>
        </w:rPr>
        <w:t>Whether expenditures related to R&amp;D are better grouped into a single COFOG division or stay aligned within their respective divisions</w:t>
      </w:r>
    </w:p>
    <w:p w14:paraId="4B24F8A3" w14:textId="77777777" w:rsidR="0054112C" w:rsidRPr="000655FE" w:rsidRDefault="0054112C" w:rsidP="00D25872">
      <w:pPr>
        <w:pStyle w:val="ListParagraph"/>
        <w:numPr>
          <w:ilvl w:val="0"/>
          <w:numId w:val="17"/>
        </w:numPr>
        <w:spacing w:line="240" w:lineRule="auto"/>
        <w:jc w:val="both"/>
        <w:rPr>
          <w:sz w:val="20"/>
          <w:szCs w:val="20"/>
        </w:rPr>
      </w:pPr>
      <w:r w:rsidRPr="000655FE">
        <w:rPr>
          <w:sz w:val="20"/>
          <w:szCs w:val="20"/>
        </w:rPr>
        <w:t>Whether to include additional breakdowns on R&amp;D expenditures at the lower group or class level</w:t>
      </w:r>
    </w:p>
    <w:p w14:paraId="64635EFA" w14:textId="77777777" w:rsidR="0054112C" w:rsidRPr="000655FE" w:rsidRDefault="0054112C" w:rsidP="00D25872">
      <w:pPr>
        <w:pStyle w:val="ListParagraph"/>
        <w:numPr>
          <w:ilvl w:val="0"/>
          <w:numId w:val="17"/>
        </w:numPr>
        <w:spacing w:after="0" w:line="240" w:lineRule="auto"/>
        <w:jc w:val="both"/>
        <w:rPr>
          <w:sz w:val="20"/>
          <w:szCs w:val="20"/>
        </w:rPr>
      </w:pPr>
      <w:r w:rsidRPr="000655FE">
        <w:rPr>
          <w:sz w:val="20"/>
          <w:szCs w:val="20"/>
        </w:rPr>
        <w:t xml:space="preserve">Improved alignment with the “Nomenclature for the Analysis and Comparison of Scientific Programmes and Budget” (NABS) that is used for the reporting of Government Budgets for R&amp;D </w:t>
      </w:r>
    </w:p>
    <w:p w14:paraId="533F8DE3" w14:textId="77777777" w:rsidR="0054112C" w:rsidRPr="000655FE" w:rsidRDefault="0054112C" w:rsidP="00D25872">
      <w:pPr>
        <w:pStyle w:val="ListParagraph"/>
        <w:numPr>
          <w:ilvl w:val="0"/>
          <w:numId w:val="17"/>
        </w:numPr>
        <w:spacing w:line="240" w:lineRule="auto"/>
        <w:jc w:val="both"/>
        <w:rPr>
          <w:sz w:val="20"/>
          <w:szCs w:val="20"/>
        </w:rPr>
      </w:pPr>
      <w:r w:rsidRPr="000655FE">
        <w:rPr>
          <w:sz w:val="20"/>
          <w:szCs w:val="20"/>
        </w:rPr>
        <w:t>Inclusion of R&amp;D from tertiary educational institutions</w:t>
      </w:r>
    </w:p>
    <w:p w14:paraId="48331AFA" w14:textId="77777777" w:rsidR="0054112C" w:rsidRPr="000655FE" w:rsidRDefault="0054112C" w:rsidP="00806AD8">
      <w:pPr>
        <w:spacing w:after="0" w:line="240" w:lineRule="auto"/>
        <w:rPr>
          <w:b/>
          <w:bCs/>
          <w:sz w:val="20"/>
          <w:szCs w:val="20"/>
        </w:rPr>
      </w:pPr>
    </w:p>
    <w:p w14:paraId="6B9EB6AB" w14:textId="77777777" w:rsidR="0054112C" w:rsidRPr="000655FE" w:rsidRDefault="0054112C" w:rsidP="00806AD8">
      <w:pPr>
        <w:spacing w:after="0" w:line="240" w:lineRule="auto"/>
        <w:rPr>
          <w:sz w:val="20"/>
          <w:szCs w:val="20"/>
        </w:rPr>
      </w:pPr>
      <w:r w:rsidRPr="000655FE">
        <w:rPr>
          <w:b/>
          <w:bCs/>
          <w:sz w:val="20"/>
          <w:szCs w:val="20"/>
        </w:rPr>
        <w:t>A13</w:t>
      </w:r>
      <w:r w:rsidRPr="000655FE">
        <w:rPr>
          <w:sz w:val="20"/>
          <w:szCs w:val="20"/>
        </w:rPr>
        <w:t xml:space="preserve">. </w:t>
      </w:r>
      <w:r w:rsidRPr="000655FE">
        <w:rPr>
          <w:b/>
          <w:bCs/>
          <w:sz w:val="20"/>
          <w:szCs w:val="20"/>
        </w:rPr>
        <w:t>Digitalization</w:t>
      </w:r>
    </w:p>
    <w:p w14:paraId="42D2B3C2" w14:textId="77777777" w:rsidR="0054112C" w:rsidRPr="000655FE" w:rsidRDefault="0054112C" w:rsidP="00806AD8">
      <w:pPr>
        <w:spacing w:after="0" w:line="240" w:lineRule="auto"/>
        <w:rPr>
          <w:sz w:val="20"/>
          <w:szCs w:val="20"/>
        </w:rPr>
      </w:pPr>
    </w:p>
    <w:p w14:paraId="2846FA36" w14:textId="77777777" w:rsidR="0054112C" w:rsidRPr="000655FE" w:rsidRDefault="0054112C" w:rsidP="00D25872">
      <w:pPr>
        <w:pStyle w:val="ListParagraph"/>
        <w:numPr>
          <w:ilvl w:val="0"/>
          <w:numId w:val="18"/>
        </w:numPr>
        <w:spacing w:line="240" w:lineRule="auto"/>
        <w:jc w:val="both"/>
        <w:rPr>
          <w:sz w:val="20"/>
          <w:szCs w:val="20"/>
        </w:rPr>
      </w:pPr>
      <w:r w:rsidRPr="000655FE">
        <w:rPr>
          <w:sz w:val="20"/>
          <w:szCs w:val="20"/>
        </w:rPr>
        <w:t>Further develop guidance on the treatment of expenditures related to digitalization</w:t>
      </w:r>
    </w:p>
    <w:p w14:paraId="45F9B033" w14:textId="77777777" w:rsidR="0054112C" w:rsidRPr="000655FE" w:rsidRDefault="0054112C" w:rsidP="00D25872">
      <w:pPr>
        <w:pStyle w:val="ListParagraph"/>
        <w:numPr>
          <w:ilvl w:val="0"/>
          <w:numId w:val="18"/>
        </w:numPr>
        <w:spacing w:line="240" w:lineRule="auto"/>
        <w:jc w:val="both"/>
        <w:rPr>
          <w:sz w:val="20"/>
          <w:szCs w:val="20"/>
        </w:rPr>
      </w:pPr>
      <w:r w:rsidRPr="000655FE">
        <w:rPr>
          <w:sz w:val="20"/>
          <w:szCs w:val="20"/>
        </w:rPr>
        <w:t>Review priority areas including the digital economy, data, free digital assets and services, and crypto assets</w:t>
      </w:r>
    </w:p>
    <w:p w14:paraId="16E9726A" w14:textId="77777777" w:rsidR="0054112C" w:rsidRPr="000655FE" w:rsidRDefault="0054112C" w:rsidP="00D25872">
      <w:pPr>
        <w:pStyle w:val="ListParagraph"/>
        <w:numPr>
          <w:ilvl w:val="0"/>
          <w:numId w:val="18"/>
        </w:numPr>
        <w:spacing w:line="240" w:lineRule="auto"/>
        <w:jc w:val="both"/>
        <w:rPr>
          <w:sz w:val="20"/>
          <w:szCs w:val="20"/>
        </w:rPr>
      </w:pPr>
      <w:r w:rsidRPr="000655FE">
        <w:rPr>
          <w:sz w:val="20"/>
          <w:szCs w:val="20"/>
        </w:rPr>
        <w:t xml:space="preserve">Explore the feasibility in linking digitalization, which is considered as a tool in providing services to citizens in an efficient way, to the purposes of government expenditure </w:t>
      </w:r>
    </w:p>
    <w:p w14:paraId="14D716D7" w14:textId="77777777" w:rsidR="0054112C" w:rsidRPr="000655FE" w:rsidRDefault="0054112C" w:rsidP="00806AD8">
      <w:pPr>
        <w:spacing w:after="0" w:line="240" w:lineRule="auto"/>
        <w:rPr>
          <w:sz w:val="20"/>
          <w:szCs w:val="20"/>
        </w:rPr>
      </w:pPr>
    </w:p>
    <w:p w14:paraId="1A93F0C7" w14:textId="77777777" w:rsidR="0054112C" w:rsidRPr="000655FE" w:rsidRDefault="0054112C" w:rsidP="00806AD8">
      <w:pPr>
        <w:spacing w:after="0" w:line="240" w:lineRule="auto"/>
        <w:rPr>
          <w:b/>
          <w:bCs/>
          <w:sz w:val="20"/>
          <w:szCs w:val="20"/>
        </w:rPr>
      </w:pPr>
      <w:r w:rsidRPr="000655FE">
        <w:rPr>
          <w:b/>
          <w:bCs/>
          <w:sz w:val="20"/>
          <w:szCs w:val="20"/>
        </w:rPr>
        <w:t>A14</w:t>
      </w:r>
      <w:r w:rsidRPr="000655FE">
        <w:rPr>
          <w:sz w:val="20"/>
          <w:szCs w:val="20"/>
        </w:rPr>
        <w:t xml:space="preserve">. </w:t>
      </w:r>
      <w:r w:rsidRPr="000655FE">
        <w:rPr>
          <w:b/>
          <w:bCs/>
          <w:sz w:val="20"/>
          <w:szCs w:val="20"/>
        </w:rPr>
        <w:t>Gender</w:t>
      </w:r>
    </w:p>
    <w:p w14:paraId="3888BE63" w14:textId="77777777" w:rsidR="0054112C" w:rsidRPr="000655FE" w:rsidRDefault="0054112C" w:rsidP="00806AD8">
      <w:pPr>
        <w:spacing w:after="0" w:line="240" w:lineRule="auto"/>
        <w:rPr>
          <w:b/>
          <w:bCs/>
          <w:sz w:val="20"/>
          <w:szCs w:val="20"/>
        </w:rPr>
      </w:pPr>
    </w:p>
    <w:p w14:paraId="70FCA95D" w14:textId="77777777" w:rsidR="0054112C" w:rsidRPr="000655FE" w:rsidRDefault="0054112C" w:rsidP="00D25872">
      <w:pPr>
        <w:pStyle w:val="ListParagraph"/>
        <w:numPr>
          <w:ilvl w:val="0"/>
          <w:numId w:val="19"/>
        </w:numPr>
        <w:spacing w:line="240" w:lineRule="auto"/>
        <w:rPr>
          <w:sz w:val="20"/>
          <w:szCs w:val="20"/>
        </w:rPr>
      </w:pPr>
      <w:r w:rsidRPr="000655FE">
        <w:rPr>
          <w:sz w:val="20"/>
          <w:szCs w:val="20"/>
        </w:rPr>
        <w:t xml:space="preserve">Incorporate a ‘gender’ group within each division </w:t>
      </w:r>
    </w:p>
    <w:p w14:paraId="27FA46FA" w14:textId="77777777" w:rsidR="0054112C" w:rsidRPr="000655FE" w:rsidRDefault="0054112C" w:rsidP="00D25872">
      <w:pPr>
        <w:pStyle w:val="ListParagraph"/>
        <w:numPr>
          <w:ilvl w:val="0"/>
          <w:numId w:val="19"/>
        </w:numPr>
        <w:spacing w:line="240" w:lineRule="auto"/>
        <w:rPr>
          <w:sz w:val="20"/>
          <w:szCs w:val="20"/>
        </w:rPr>
      </w:pPr>
      <w:r w:rsidRPr="000655FE">
        <w:rPr>
          <w:sz w:val="20"/>
          <w:szCs w:val="20"/>
        </w:rPr>
        <w:t>Consider other dimensions of discrimination such as race and age</w:t>
      </w:r>
    </w:p>
    <w:p w14:paraId="4781B7C4" w14:textId="77777777" w:rsidR="0054112C" w:rsidRPr="000655FE" w:rsidRDefault="0054112C" w:rsidP="00806AD8">
      <w:pPr>
        <w:spacing w:after="0" w:line="240" w:lineRule="auto"/>
        <w:rPr>
          <w:sz w:val="20"/>
          <w:szCs w:val="20"/>
        </w:rPr>
      </w:pPr>
    </w:p>
    <w:p w14:paraId="5673B6F7" w14:textId="77777777" w:rsidR="0054112C" w:rsidRPr="000655FE" w:rsidRDefault="0054112C" w:rsidP="00806AD8">
      <w:pPr>
        <w:spacing w:after="0" w:line="240" w:lineRule="auto"/>
        <w:rPr>
          <w:b/>
          <w:bCs/>
          <w:sz w:val="20"/>
          <w:szCs w:val="20"/>
        </w:rPr>
      </w:pPr>
      <w:r w:rsidRPr="000655FE">
        <w:rPr>
          <w:b/>
          <w:bCs/>
          <w:sz w:val="20"/>
          <w:szCs w:val="20"/>
        </w:rPr>
        <w:t>A15</w:t>
      </w:r>
      <w:r w:rsidRPr="000655FE">
        <w:rPr>
          <w:sz w:val="20"/>
          <w:szCs w:val="20"/>
        </w:rPr>
        <w:t xml:space="preserve">. </w:t>
      </w:r>
      <w:r w:rsidRPr="000655FE">
        <w:rPr>
          <w:b/>
          <w:bCs/>
          <w:sz w:val="20"/>
          <w:szCs w:val="20"/>
        </w:rPr>
        <w:t>Indigenous peoples</w:t>
      </w:r>
    </w:p>
    <w:p w14:paraId="303EF6A0" w14:textId="77777777" w:rsidR="0054112C" w:rsidRPr="000655FE" w:rsidRDefault="0054112C" w:rsidP="00806AD8">
      <w:pPr>
        <w:spacing w:after="0" w:line="240" w:lineRule="auto"/>
        <w:rPr>
          <w:sz w:val="20"/>
          <w:szCs w:val="20"/>
        </w:rPr>
      </w:pPr>
    </w:p>
    <w:p w14:paraId="7A882A3E" w14:textId="77777777" w:rsidR="0054112C" w:rsidRPr="000655FE" w:rsidRDefault="0054112C" w:rsidP="00D25872">
      <w:pPr>
        <w:pStyle w:val="ListParagraph"/>
        <w:numPr>
          <w:ilvl w:val="0"/>
          <w:numId w:val="20"/>
        </w:numPr>
        <w:spacing w:after="240" w:line="240" w:lineRule="auto"/>
        <w:rPr>
          <w:sz w:val="20"/>
          <w:szCs w:val="20"/>
        </w:rPr>
      </w:pPr>
      <w:r w:rsidRPr="000655FE">
        <w:rPr>
          <w:sz w:val="20"/>
          <w:szCs w:val="20"/>
        </w:rPr>
        <w:t xml:space="preserve">There was a proposal to consider further guidance on treatment of expenditures related to indigenous peoples and local communities </w:t>
      </w:r>
    </w:p>
    <w:p w14:paraId="54C98FB9" w14:textId="77777777" w:rsidR="0054112C" w:rsidRPr="000655FE" w:rsidRDefault="0054112C" w:rsidP="00806AD8">
      <w:pPr>
        <w:spacing w:after="0" w:line="240" w:lineRule="auto"/>
        <w:rPr>
          <w:sz w:val="20"/>
          <w:szCs w:val="20"/>
        </w:rPr>
      </w:pPr>
    </w:p>
    <w:p w14:paraId="539B8825" w14:textId="77777777" w:rsidR="0054112C" w:rsidRPr="000655FE" w:rsidRDefault="0054112C" w:rsidP="00D25872">
      <w:pPr>
        <w:pStyle w:val="ListParagraph"/>
        <w:numPr>
          <w:ilvl w:val="0"/>
          <w:numId w:val="21"/>
        </w:numPr>
        <w:spacing w:after="0" w:line="240" w:lineRule="auto"/>
        <w:rPr>
          <w:b/>
          <w:bCs/>
          <w:sz w:val="20"/>
          <w:szCs w:val="20"/>
        </w:rPr>
      </w:pPr>
      <w:r w:rsidRPr="000655FE">
        <w:rPr>
          <w:b/>
          <w:bCs/>
          <w:sz w:val="20"/>
          <w:szCs w:val="20"/>
        </w:rPr>
        <w:t>Structural, Alignment and Other Issues</w:t>
      </w:r>
    </w:p>
    <w:p w14:paraId="10C2C86A" w14:textId="77777777" w:rsidR="0054112C" w:rsidRPr="000655FE" w:rsidRDefault="0054112C" w:rsidP="00806AD8">
      <w:pPr>
        <w:spacing w:after="0" w:line="240" w:lineRule="auto"/>
        <w:rPr>
          <w:b/>
          <w:bCs/>
          <w:sz w:val="20"/>
          <w:szCs w:val="20"/>
        </w:rPr>
      </w:pPr>
    </w:p>
    <w:p w14:paraId="1B8F3D3D" w14:textId="77777777" w:rsidR="0054112C" w:rsidRPr="000655FE" w:rsidRDefault="0054112C" w:rsidP="00806AD8">
      <w:pPr>
        <w:spacing w:after="120" w:line="240" w:lineRule="auto"/>
        <w:rPr>
          <w:sz w:val="20"/>
          <w:szCs w:val="20"/>
        </w:rPr>
      </w:pPr>
      <w:r w:rsidRPr="000655FE">
        <w:rPr>
          <w:sz w:val="20"/>
          <w:szCs w:val="20"/>
        </w:rPr>
        <w:t>A summary of the proposals regarding structural, alignment and other issues under issue Group B is provided below:</w:t>
      </w:r>
    </w:p>
    <w:p w14:paraId="165320D4" w14:textId="77777777" w:rsidR="0054112C" w:rsidRPr="000655FE" w:rsidRDefault="0054112C" w:rsidP="00806AD8">
      <w:pPr>
        <w:spacing w:after="0" w:line="240" w:lineRule="auto"/>
        <w:rPr>
          <w:b/>
          <w:bCs/>
          <w:sz w:val="20"/>
          <w:szCs w:val="20"/>
        </w:rPr>
      </w:pPr>
    </w:p>
    <w:p w14:paraId="0E1F2F7F" w14:textId="77777777" w:rsidR="0054112C" w:rsidRPr="000655FE" w:rsidRDefault="0054112C" w:rsidP="00806AD8">
      <w:pPr>
        <w:spacing w:after="0" w:line="240" w:lineRule="auto"/>
        <w:rPr>
          <w:sz w:val="20"/>
          <w:szCs w:val="20"/>
        </w:rPr>
      </w:pPr>
      <w:r w:rsidRPr="000655FE">
        <w:rPr>
          <w:b/>
          <w:bCs/>
          <w:sz w:val="20"/>
          <w:szCs w:val="20"/>
        </w:rPr>
        <w:t>B1</w:t>
      </w:r>
      <w:r w:rsidRPr="000655FE">
        <w:rPr>
          <w:sz w:val="20"/>
          <w:szCs w:val="20"/>
        </w:rPr>
        <w:t xml:space="preserve">. </w:t>
      </w:r>
      <w:r w:rsidRPr="000655FE">
        <w:rPr>
          <w:b/>
          <w:bCs/>
          <w:sz w:val="20"/>
          <w:szCs w:val="20"/>
        </w:rPr>
        <w:t>COFOG structure/classification principles</w:t>
      </w:r>
    </w:p>
    <w:p w14:paraId="5D6DE3BE" w14:textId="77777777" w:rsidR="0054112C" w:rsidRPr="000655FE" w:rsidRDefault="0054112C" w:rsidP="00806AD8">
      <w:pPr>
        <w:spacing w:after="0" w:line="240" w:lineRule="auto"/>
        <w:rPr>
          <w:sz w:val="20"/>
          <w:szCs w:val="20"/>
        </w:rPr>
      </w:pPr>
    </w:p>
    <w:p w14:paraId="5BC6CA3C" w14:textId="77777777" w:rsidR="0054112C" w:rsidRPr="000655FE" w:rsidRDefault="0054112C" w:rsidP="00806AD8">
      <w:pPr>
        <w:spacing w:line="240" w:lineRule="auto"/>
        <w:rPr>
          <w:sz w:val="20"/>
          <w:szCs w:val="20"/>
        </w:rPr>
      </w:pPr>
      <w:r w:rsidRPr="000655FE">
        <w:rPr>
          <w:sz w:val="20"/>
          <w:szCs w:val="20"/>
        </w:rPr>
        <w:t>The revision of COFOG provides an opportunity to review the underlying scope, principles, concepts and the underlying structure of the classification and to strengthen the alignment with international reporting for relevant statistics and indicators. The revision process would benefit from a clear elaboration on the main COFOG classification principles, including but not limited to the following issues:</w:t>
      </w:r>
    </w:p>
    <w:p w14:paraId="7449544F" w14:textId="77777777" w:rsidR="0054112C" w:rsidRPr="000655FE" w:rsidRDefault="0054112C" w:rsidP="00D25872">
      <w:pPr>
        <w:numPr>
          <w:ilvl w:val="0"/>
          <w:numId w:val="6"/>
        </w:numPr>
        <w:spacing w:after="0" w:line="240" w:lineRule="auto"/>
        <w:jc w:val="both"/>
        <w:rPr>
          <w:sz w:val="20"/>
          <w:szCs w:val="20"/>
        </w:rPr>
      </w:pPr>
      <w:r w:rsidRPr="000655FE">
        <w:rPr>
          <w:sz w:val="20"/>
          <w:szCs w:val="20"/>
        </w:rPr>
        <w:t xml:space="preserve">consistency with the national </w:t>
      </w:r>
      <w:proofErr w:type="gramStart"/>
      <w:r w:rsidRPr="000655FE">
        <w:rPr>
          <w:sz w:val="20"/>
          <w:szCs w:val="20"/>
        </w:rPr>
        <w:t>accounts</w:t>
      </w:r>
      <w:proofErr w:type="gramEnd"/>
      <w:r w:rsidRPr="000655FE">
        <w:rPr>
          <w:sz w:val="20"/>
          <w:szCs w:val="20"/>
        </w:rPr>
        <w:t xml:space="preserve"> framework</w:t>
      </w:r>
    </w:p>
    <w:p w14:paraId="3C3445D9" w14:textId="77777777" w:rsidR="0054112C" w:rsidRPr="000655FE" w:rsidRDefault="0054112C" w:rsidP="00D25872">
      <w:pPr>
        <w:numPr>
          <w:ilvl w:val="0"/>
          <w:numId w:val="6"/>
        </w:numPr>
        <w:spacing w:after="0" w:line="240" w:lineRule="auto"/>
        <w:jc w:val="both"/>
        <w:rPr>
          <w:sz w:val="20"/>
          <w:szCs w:val="20"/>
        </w:rPr>
      </w:pPr>
      <w:r w:rsidRPr="000655FE">
        <w:rPr>
          <w:sz w:val="20"/>
          <w:szCs w:val="20"/>
        </w:rPr>
        <w:t>units of classification</w:t>
      </w:r>
    </w:p>
    <w:p w14:paraId="3C686615" w14:textId="77777777" w:rsidR="0054112C" w:rsidRPr="000655FE" w:rsidRDefault="0054112C" w:rsidP="00D25872">
      <w:pPr>
        <w:numPr>
          <w:ilvl w:val="0"/>
          <w:numId w:val="6"/>
        </w:numPr>
        <w:spacing w:after="0" w:line="240" w:lineRule="auto"/>
        <w:jc w:val="both"/>
        <w:rPr>
          <w:sz w:val="20"/>
          <w:szCs w:val="20"/>
        </w:rPr>
      </w:pPr>
      <w:r w:rsidRPr="000655FE">
        <w:rPr>
          <w:sz w:val="20"/>
          <w:szCs w:val="20"/>
        </w:rPr>
        <w:t xml:space="preserve">principles of mutual exclusive classes and primary purpose </w:t>
      </w:r>
    </w:p>
    <w:p w14:paraId="0C20FBB7" w14:textId="77777777" w:rsidR="0054112C" w:rsidRPr="000655FE" w:rsidRDefault="0054112C" w:rsidP="00D25872">
      <w:pPr>
        <w:numPr>
          <w:ilvl w:val="0"/>
          <w:numId w:val="6"/>
        </w:numPr>
        <w:spacing w:after="0" w:line="240" w:lineRule="auto"/>
        <w:jc w:val="both"/>
        <w:rPr>
          <w:sz w:val="20"/>
          <w:szCs w:val="20"/>
        </w:rPr>
      </w:pPr>
      <w:r w:rsidRPr="000655FE">
        <w:rPr>
          <w:sz w:val="20"/>
          <w:szCs w:val="20"/>
        </w:rPr>
        <w:t>balance in size of main divisions</w:t>
      </w:r>
    </w:p>
    <w:p w14:paraId="686544EA" w14:textId="77777777" w:rsidR="0054112C" w:rsidRPr="000655FE" w:rsidRDefault="0054112C" w:rsidP="00D25872">
      <w:pPr>
        <w:numPr>
          <w:ilvl w:val="0"/>
          <w:numId w:val="6"/>
        </w:numPr>
        <w:spacing w:after="0" w:line="240" w:lineRule="auto"/>
        <w:jc w:val="both"/>
        <w:rPr>
          <w:sz w:val="20"/>
          <w:szCs w:val="20"/>
        </w:rPr>
      </w:pPr>
      <w:r w:rsidRPr="000655FE">
        <w:rPr>
          <w:sz w:val="20"/>
          <w:szCs w:val="20"/>
        </w:rPr>
        <w:t>level of hierarchical classification</w:t>
      </w:r>
    </w:p>
    <w:p w14:paraId="1011B002" w14:textId="77777777" w:rsidR="0054112C" w:rsidRPr="000655FE" w:rsidRDefault="0054112C" w:rsidP="00D25872">
      <w:pPr>
        <w:numPr>
          <w:ilvl w:val="0"/>
          <w:numId w:val="6"/>
        </w:numPr>
        <w:spacing w:after="0" w:line="240" w:lineRule="auto"/>
        <w:jc w:val="both"/>
        <w:rPr>
          <w:sz w:val="20"/>
          <w:szCs w:val="20"/>
        </w:rPr>
      </w:pPr>
      <w:r w:rsidRPr="000655FE">
        <w:rPr>
          <w:sz w:val="20"/>
          <w:szCs w:val="20"/>
        </w:rPr>
        <w:t xml:space="preserve">applicability for state and local government and social security fund sectors in addition to the central government sector </w:t>
      </w:r>
    </w:p>
    <w:p w14:paraId="1199FEE4" w14:textId="77777777" w:rsidR="0054112C" w:rsidRPr="000655FE" w:rsidRDefault="0054112C" w:rsidP="00D25872">
      <w:pPr>
        <w:numPr>
          <w:ilvl w:val="0"/>
          <w:numId w:val="6"/>
        </w:numPr>
        <w:spacing w:after="0" w:line="240" w:lineRule="auto"/>
        <w:jc w:val="both"/>
        <w:rPr>
          <w:sz w:val="20"/>
          <w:szCs w:val="20"/>
        </w:rPr>
      </w:pPr>
      <w:r w:rsidRPr="000655FE">
        <w:rPr>
          <w:sz w:val="20"/>
          <w:szCs w:val="20"/>
        </w:rPr>
        <w:t>treatment of preventative expenditure</w:t>
      </w:r>
    </w:p>
    <w:p w14:paraId="5BD43337" w14:textId="77777777" w:rsidR="0054112C" w:rsidRPr="000655FE" w:rsidRDefault="0054112C" w:rsidP="00D25872">
      <w:pPr>
        <w:numPr>
          <w:ilvl w:val="0"/>
          <w:numId w:val="6"/>
        </w:numPr>
        <w:spacing w:after="0" w:line="240" w:lineRule="auto"/>
        <w:jc w:val="both"/>
        <w:rPr>
          <w:sz w:val="20"/>
          <w:szCs w:val="20"/>
        </w:rPr>
      </w:pPr>
      <w:r w:rsidRPr="000655FE">
        <w:rPr>
          <w:sz w:val="20"/>
          <w:szCs w:val="20"/>
        </w:rPr>
        <w:t>development of official alternative aggregates or indicators along cross-cutting themes</w:t>
      </w:r>
    </w:p>
    <w:p w14:paraId="76BD9C45" w14:textId="77777777" w:rsidR="0054112C" w:rsidRPr="000655FE" w:rsidRDefault="0054112C" w:rsidP="00D25872">
      <w:pPr>
        <w:numPr>
          <w:ilvl w:val="0"/>
          <w:numId w:val="6"/>
        </w:numPr>
        <w:spacing w:after="0" w:line="240" w:lineRule="auto"/>
        <w:jc w:val="both"/>
        <w:rPr>
          <w:sz w:val="20"/>
          <w:szCs w:val="20"/>
        </w:rPr>
      </w:pPr>
      <w:r w:rsidRPr="000655FE">
        <w:rPr>
          <w:sz w:val="20"/>
          <w:szCs w:val="20"/>
        </w:rPr>
        <w:t>development of guidance</w:t>
      </w:r>
    </w:p>
    <w:p w14:paraId="6320F45B" w14:textId="77777777" w:rsidR="0054112C" w:rsidRPr="000655FE" w:rsidRDefault="0054112C" w:rsidP="00D25872">
      <w:pPr>
        <w:numPr>
          <w:ilvl w:val="0"/>
          <w:numId w:val="6"/>
        </w:numPr>
        <w:spacing w:after="0" w:line="240" w:lineRule="auto"/>
        <w:jc w:val="both"/>
        <w:rPr>
          <w:sz w:val="20"/>
          <w:szCs w:val="20"/>
        </w:rPr>
      </w:pPr>
      <w:r w:rsidRPr="000655FE">
        <w:rPr>
          <w:sz w:val="20"/>
          <w:szCs w:val="20"/>
        </w:rPr>
        <w:t>cross-classification of economic transactions and COFOG groups</w:t>
      </w:r>
    </w:p>
    <w:p w14:paraId="024B397A" w14:textId="77777777" w:rsidR="0054112C" w:rsidRPr="000655FE" w:rsidRDefault="0054112C" w:rsidP="00806AD8">
      <w:pPr>
        <w:spacing w:after="0" w:line="240" w:lineRule="auto"/>
        <w:rPr>
          <w:sz w:val="20"/>
          <w:szCs w:val="20"/>
        </w:rPr>
      </w:pPr>
    </w:p>
    <w:p w14:paraId="1AE8BECF" w14:textId="77777777" w:rsidR="0054112C" w:rsidRPr="000655FE" w:rsidRDefault="0054112C" w:rsidP="00806AD8">
      <w:pPr>
        <w:spacing w:after="0" w:line="240" w:lineRule="auto"/>
        <w:rPr>
          <w:sz w:val="20"/>
          <w:szCs w:val="20"/>
        </w:rPr>
      </w:pPr>
    </w:p>
    <w:p w14:paraId="6DECDB99" w14:textId="77777777" w:rsidR="0054112C" w:rsidRPr="000655FE" w:rsidRDefault="0054112C" w:rsidP="00806AD8">
      <w:pPr>
        <w:spacing w:after="0" w:line="240" w:lineRule="auto"/>
        <w:rPr>
          <w:sz w:val="20"/>
          <w:szCs w:val="20"/>
        </w:rPr>
      </w:pPr>
      <w:r w:rsidRPr="000655FE">
        <w:rPr>
          <w:b/>
          <w:bCs/>
          <w:sz w:val="20"/>
          <w:szCs w:val="20"/>
        </w:rPr>
        <w:t>B2</w:t>
      </w:r>
      <w:r w:rsidRPr="000655FE">
        <w:rPr>
          <w:sz w:val="20"/>
          <w:szCs w:val="20"/>
        </w:rPr>
        <w:t xml:space="preserve">. </w:t>
      </w:r>
      <w:r w:rsidRPr="000655FE">
        <w:rPr>
          <w:b/>
          <w:bCs/>
          <w:sz w:val="20"/>
          <w:szCs w:val="20"/>
        </w:rPr>
        <w:t>Primary/secondary purpose</w:t>
      </w:r>
    </w:p>
    <w:p w14:paraId="32B1699B" w14:textId="77777777" w:rsidR="0054112C" w:rsidRPr="000655FE" w:rsidRDefault="0054112C" w:rsidP="00806AD8">
      <w:pPr>
        <w:spacing w:after="0" w:line="240" w:lineRule="auto"/>
        <w:rPr>
          <w:sz w:val="20"/>
          <w:szCs w:val="20"/>
        </w:rPr>
      </w:pPr>
    </w:p>
    <w:p w14:paraId="5B2D1DDF" w14:textId="77777777" w:rsidR="0054112C" w:rsidRPr="000655FE" w:rsidRDefault="0054112C" w:rsidP="00806AD8">
      <w:pPr>
        <w:spacing w:line="240" w:lineRule="auto"/>
        <w:jc w:val="both"/>
        <w:rPr>
          <w:sz w:val="20"/>
          <w:szCs w:val="20"/>
        </w:rPr>
      </w:pPr>
      <w:r w:rsidRPr="000655FE">
        <w:rPr>
          <w:sz w:val="20"/>
          <w:szCs w:val="20"/>
        </w:rPr>
        <w:t xml:space="preserve">The classification criteria of COFOG are based on purpose, where the term “purpose” as described in COFOG 1999 conveys the meaning of social-economic objectives that institutional units aim to achieve through various kinds of outlays. COFOG is currently a classification delineating general government expenditure by main purpose and does not consider multiple purposes or impact. The problem in unambiguously assigned government expenditure to a single function in the classification and the treatment of secondary purpose expenditures/functions of government, for example expenditure on environmental protection and resource management, and treatment of ministries and administrative expenditures, are documented in COFOG 1999. </w:t>
      </w:r>
    </w:p>
    <w:p w14:paraId="6CDFE78C" w14:textId="77777777" w:rsidR="0054112C" w:rsidRPr="000655FE" w:rsidRDefault="0054112C" w:rsidP="00806AD8">
      <w:pPr>
        <w:spacing w:line="240" w:lineRule="auto"/>
        <w:jc w:val="both"/>
        <w:rPr>
          <w:sz w:val="20"/>
          <w:szCs w:val="20"/>
        </w:rPr>
      </w:pPr>
      <w:r w:rsidRPr="000655FE">
        <w:rPr>
          <w:sz w:val="20"/>
          <w:szCs w:val="20"/>
        </w:rPr>
        <w:t xml:space="preserve">More and more economic decisions nowadays are made with a view to </w:t>
      </w:r>
      <w:proofErr w:type="gramStart"/>
      <w:r w:rsidRPr="000655FE">
        <w:rPr>
          <w:sz w:val="20"/>
          <w:szCs w:val="20"/>
        </w:rPr>
        <w:t>fulfil</w:t>
      </w:r>
      <w:proofErr w:type="gramEnd"/>
      <w:r w:rsidRPr="000655FE">
        <w:rPr>
          <w:sz w:val="20"/>
          <w:szCs w:val="20"/>
        </w:rPr>
        <w:t xml:space="preserve"> some secondary goals. By not recognizing secondary purpose (or impacts) of a specific outlay, COFOG seriously limits the information in support of policymakers’ decision making and, above all, impact assessments. This revision issue will explore the feasibility and review various options on addressing expenditure with secondary purposes within the context of the primary purpose criterion, with an objective of finding a solution for the classification of expenditures by secondary purposes in COFOG.</w:t>
      </w:r>
    </w:p>
    <w:p w14:paraId="64C2E982" w14:textId="77777777" w:rsidR="0054112C" w:rsidRPr="000655FE" w:rsidRDefault="0054112C" w:rsidP="00806AD8">
      <w:pPr>
        <w:spacing w:after="0" w:line="240" w:lineRule="auto"/>
        <w:rPr>
          <w:sz w:val="20"/>
          <w:szCs w:val="20"/>
        </w:rPr>
      </w:pPr>
    </w:p>
    <w:p w14:paraId="2484FF9D" w14:textId="77777777" w:rsidR="0054112C" w:rsidRPr="000655FE" w:rsidRDefault="0054112C" w:rsidP="00806AD8">
      <w:pPr>
        <w:spacing w:after="0" w:line="240" w:lineRule="auto"/>
        <w:rPr>
          <w:sz w:val="20"/>
          <w:szCs w:val="20"/>
        </w:rPr>
      </w:pPr>
      <w:r w:rsidRPr="000655FE">
        <w:rPr>
          <w:b/>
          <w:bCs/>
          <w:sz w:val="20"/>
          <w:szCs w:val="20"/>
        </w:rPr>
        <w:t>B3</w:t>
      </w:r>
      <w:r w:rsidRPr="000655FE">
        <w:rPr>
          <w:sz w:val="20"/>
          <w:szCs w:val="20"/>
        </w:rPr>
        <w:t xml:space="preserve">. </w:t>
      </w:r>
      <w:r w:rsidRPr="000655FE">
        <w:rPr>
          <w:b/>
          <w:bCs/>
          <w:sz w:val="20"/>
          <w:szCs w:val="20"/>
        </w:rPr>
        <w:t>Additional uses of COFOG:  GFS; national &amp; satellite accounts; government employment and public sector productivity</w:t>
      </w:r>
    </w:p>
    <w:p w14:paraId="1D4EE648" w14:textId="77777777" w:rsidR="0054112C" w:rsidRPr="000655FE" w:rsidRDefault="0054112C" w:rsidP="00806AD8">
      <w:pPr>
        <w:spacing w:after="0" w:line="240" w:lineRule="auto"/>
        <w:rPr>
          <w:sz w:val="20"/>
          <w:szCs w:val="20"/>
        </w:rPr>
      </w:pPr>
    </w:p>
    <w:p w14:paraId="09217F07" w14:textId="71DFA2EB" w:rsidR="0054112C" w:rsidRPr="000655FE" w:rsidRDefault="0054112C" w:rsidP="00806AD8">
      <w:pPr>
        <w:spacing w:line="240" w:lineRule="auto"/>
        <w:jc w:val="both"/>
        <w:rPr>
          <w:sz w:val="20"/>
          <w:szCs w:val="20"/>
        </w:rPr>
      </w:pPr>
      <w:r w:rsidRPr="000655FE">
        <w:rPr>
          <w:sz w:val="20"/>
          <w:szCs w:val="20"/>
        </w:rPr>
        <w:t xml:space="preserve">These revision issues review </w:t>
      </w:r>
      <w:proofErr w:type="gramStart"/>
      <w:r w:rsidRPr="000655FE">
        <w:rPr>
          <w:sz w:val="20"/>
          <w:szCs w:val="20"/>
        </w:rPr>
        <w:t>uses</w:t>
      </w:r>
      <w:proofErr w:type="gramEnd"/>
      <w:r w:rsidRPr="000655FE">
        <w:rPr>
          <w:sz w:val="20"/>
          <w:szCs w:val="20"/>
        </w:rPr>
        <w:t xml:space="preserve"> of COFOG in the statistical and policy domains. COFOG is now considered primarily a classification of government expenditure. Proposals should be evaluated as to where COFOG are appropriately implemented in the government finance statistics, national accounts and </w:t>
      </w:r>
      <w:proofErr w:type="gramStart"/>
      <w:r w:rsidRPr="000655FE">
        <w:rPr>
          <w:sz w:val="20"/>
          <w:szCs w:val="20"/>
        </w:rPr>
        <w:t>the satellite</w:t>
      </w:r>
      <w:proofErr w:type="gramEnd"/>
      <w:r w:rsidRPr="000655FE">
        <w:rPr>
          <w:sz w:val="20"/>
          <w:szCs w:val="20"/>
        </w:rPr>
        <w:t xml:space="preserve"> accounts. Initial proposals also suggest that there could be further </w:t>
      </w:r>
      <w:proofErr w:type="gramStart"/>
      <w:r w:rsidRPr="000655FE">
        <w:rPr>
          <w:sz w:val="20"/>
          <w:szCs w:val="20"/>
        </w:rPr>
        <w:t>uses</w:t>
      </w:r>
      <w:proofErr w:type="gramEnd"/>
      <w:r w:rsidRPr="000655FE">
        <w:rPr>
          <w:sz w:val="20"/>
          <w:szCs w:val="20"/>
        </w:rPr>
        <w:t xml:space="preserve"> in the domain of government employment and public sector productivity.</w:t>
      </w:r>
      <w:r w:rsidRPr="000655FE">
        <w:rPr>
          <w:sz w:val="20"/>
          <w:szCs w:val="20"/>
        </w:rPr>
        <w:br/>
      </w:r>
    </w:p>
    <w:p w14:paraId="4C3594F0" w14:textId="77777777" w:rsidR="0054112C" w:rsidRPr="000655FE" w:rsidRDefault="0054112C" w:rsidP="00806AD8">
      <w:pPr>
        <w:spacing w:after="0" w:line="240" w:lineRule="auto"/>
        <w:rPr>
          <w:b/>
          <w:bCs/>
          <w:sz w:val="20"/>
          <w:szCs w:val="20"/>
        </w:rPr>
      </w:pPr>
      <w:r w:rsidRPr="000655FE">
        <w:rPr>
          <w:b/>
          <w:bCs/>
          <w:sz w:val="20"/>
          <w:szCs w:val="20"/>
        </w:rPr>
        <w:t>B4</w:t>
      </w:r>
      <w:r w:rsidRPr="000655FE">
        <w:rPr>
          <w:sz w:val="20"/>
          <w:szCs w:val="20"/>
        </w:rPr>
        <w:t xml:space="preserve">. </w:t>
      </w:r>
      <w:r w:rsidRPr="000655FE">
        <w:rPr>
          <w:b/>
          <w:bCs/>
          <w:sz w:val="20"/>
          <w:szCs w:val="20"/>
        </w:rPr>
        <w:t xml:space="preserve">Compilation issues:  improve compilation guidance </w:t>
      </w:r>
      <w:proofErr w:type="gramStart"/>
      <w:r w:rsidRPr="000655FE">
        <w:rPr>
          <w:b/>
          <w:bCs/>
          <w:sz w:val="20"/>
          <w:szCs w:val="20"/>
        </w:rPr>
        <w:t>taking into account</w:t>
      </w:r>
      <w:proofErr w:type="gramEnd"/>
      <w:r w:rsidRPr="000655FE">
        <w:rPr>
          <w:b/>
          <w:bCs/>
          <w:sz w:val="20"/>
          <w:szCs w:val="20"/>
        </w:rPr>
        <w:t xml:space="preserve"> diverse and country-specific differences</w:t>
      </w:r>
    </w:p>
    <w:p w14:paraId="3E9F8F08" w14:textId="77777777" w:rsidR="0054112C" w:rsidRPr="000655FE" w:rsidRDefault="0054112C" w:rsidP="00806AD8">
      <w:pPr>
        <w:spacing w:after="0" w:line="240" w:lineRule="auto"/>
        <w:rPr>
          <w:sz w:val="20"/>
          <w:szCs w:val="20"/>
        </w:rPr>
      </w:pPr>
    </w:p>
    <w:p w14:paraId="0A3F0991" w14:textId="77777777" w:rsidR="0054112C" w:rsidRPr="000655FE" w:rsidRDefault="0054112C" w:rsidP="00806AD8">
      <w:pPr>
        <w:spacing w:line="240" w:lineRule="auto"/>
        <w:jc w:val="both"/>
        <w:rPr>
          <w:sz w:val="20"/>
          <w:szCs w:val="20"/>
          <w:lang w:val="en-GB"/>
        </w:rPr>
      </w:pPr>
      <w:r w:rsidRPr="000655FE">
        <w:rPr>
          <w:sz w:val="20"/>
          <w:szCs w:val="20"/>
        </w:rPr>
        <w:lastRenderedPageBreak/>
        <w:t xml:space="preserve">This revision issue calls for the strengthening of the compilation </w:t>
      </w:r>
      <w:proofErr w:type="gramStart"/>
      <w:r w:rsidRPr="000655FE">
        <w:rPr>
          <w:sz w:val="20"/>
          <w:szCs w:val="20"/>
        </w:rPr>
        <w:t>taking into account</w:t>
      </w:r>
      <w:proofErr w:type="gramEnd"/>
      <w:r w:rsidRPr="000655FE">
        <w:rPr>
          <w:sz w:val="20"/>
          <w:szCs w:val="20"/>
        </w:rPr>
        <w:t xml:space="preserve"> diverse and country-specific differences for the COFOG implementation. The COFOG classification and datasets produced provide rich and useful information that can be of more value if further guidance is provided for users (and compilers) on how to compile and use the data. However, there is a lack of data for COFOG II level in some countries due to difficulties in methodological interpretation or a lack of detailed source data at this level of classification.  </w:t>
      </w:r>
      <w:r w:rsidRPr="000655FE">
        <w:rPr>
          <w:sz w:val="20"/>
          <w:szCs w:val="20"/>
          <w:lang w:val="en-GB"/>
        </w:rPr>
        <w:t xml:space="preserve">Moreover, the analytical usefulness of the COFOG data is severely curtailed if only budgetary units or the central government are captured rather than the whole general government sector. It is therefore important to collect data for the subnational government levels S1312 (for federal countries) and S1313, for S1314 and include extra-budgetary units in the compilation. </w:t>
      </w:r>
    </w:p>
    <w:p w14:paraId="2F5EA31E" w14:textId="77777777" w:rsidR="0054112C" w:rsidRPr="000655FE" w:rsidRDefault="0054112C" w:rsidP="00806AD8">
      <w:pPr>
        <w:spacing w:line="240" w:lineRule="auto"/>
        <w:jc w:val="both"/>
        <w:rPr>
          <w:sz w:val="20"/>
          <w:szCs w:val="20"/>
        </w:rPr>
      </w:pPr>
      <w:r w:rsidRPr="000655FE">
        <w:rPr>
          <w:sz w:val="20"/>
          <w:szCs w:val="20"/>
        </w:rPr>
        <w:t>Compilation guidance should preferably be built starting from the existing Eurostat COFOG manual. The Manual on sources and methods for the compilation of COFOG statistics 2019 is a comprehensive guide to compiling COFOG statistics, which usefully discusses various methodological issues and EU country practices. A gap for non-EU compilers of COFOG statistics is how to practically compile these data. For example, guidance on incorporating COFOG into budgeting frameworks (which is common practice in the EU), or the best ways to cross-classify expenditure between GFSM/SNA with COFOG.  In addition, budget programmes may include spending programmes that have more than one purpose in the sense of COFOG. Guidance on how to classify expenditures from budget programmes that have more than one purpose could be particularly useful. More generally, the COFOG guidance could usefully include more inclusion and exclusion examples across all groups and classes.</w:t>
      </w:r>
    </w:p>
    <w:p w14:paraId="5CA48C84" w14:textId="77777777" w:rsidR="0054112C" w:rsidRPr="000655FE" w:rsidRDefault="0054112C" w:rsidP="00806AD8">
      <w:pPr>
        <w:spacing w:after="0" w:line="240" w:lineRule="auto"/>
        <w:rPr>
          <w:sz w:val="20"/>
          <w:szCs w:val="20"/>
        </w:rPr>
      </w:pPr>
    </w:p>
    <w:p w14:paraId="2FAF7CE5" w14:textId="77777777" w:rsidR="0054112C" w:rsidRPr="000655FE" w:rsidRDefault="0054112C" w:rsidP="00806AD8">
      <w:pPr>
        <w:spacing w:after="0" w:line="240" w:lineRule="auto"/>
        <w:rPr>
          <w:b/>
          <w:bCs/>
          <w:sz w:val="20"/>
          <w:szCs w:val="20"/>
        </w:rPr>
      </w:pPr>
      <w:r w:rsidRPr="000655FE">
        <w:rPr>
          <w:b/>
          <w:bCs/>
          <w:sz w:val="20"/>
          <w:szCs w:val="20"/>
        </w:rPr>
        <w:t>B5. Individual/collective expenditure:  remain as basis to draw borderline between individual and collective goods and services; retain alignment with SNA</w:t>
      </w:r>
    </w:p>
    <w:p w14:paraId="7A5727F7" w14:textId="77777777" w:rsidR="0054112C" w:rsidRPr="000655FE" w:rsidRDefault="0054112C" w:rsidP="00806AD8">
      <w:pPr>
        <w:spacing w:after="0" w:line="240" w:lineRule="auto"/>
        <w:rPr>
          <w:b/>
          <w:bCs/>
          <w:sz w:val="20"/>
          <w:szCs w:val="20"/>
        </w:rPr>
      </w:pPr>
    </w:p>
    <w:p w14:paraId="7CA53992" w14:textId="77777777" w:rsidR="0054112C" w:rsidRPr="000655FE" w:rsidRDefault="0054112C" w:rsidP="00806AD8">
      <w:pPr>
        <w:spacing w:line="240" w:lineRule="auto"/>
        <w:jc w:val="both"/>
        <w:rPr>
          <w:sz w:val="20"/>
          <w:szCs w:val="20"/>
        </w:rPr>
      </w:pPr>
      <w:r w:rsidRPr="000655FE">
        <w:rPr>
          <w:sz w:val="20"/>
          <w:szCs w:val="20"/>
        </w:rPr>
        <w:t xml:space="preserve">COFOG is important in national accounts as the basis to draw the borderline between individual and collective goods and services. Expenditures on a wide range of consumption goods and services are incurred by </w:t>
      </w:r>
      <w:proofErr w:type="gramStart"/>
      <w:r w:rsidRPr="000655FE">
        <w:rPr>
          <w:sz w:val="20"/>
          <w:szCs w:val="20"/>
        </w:rPr>
        <w:t>general</w:t>
      </w:r>
      <w:proofErr w:type="gramEnd"/>
      <w:r w:rsidRPr="000655FE">
        <w:rPr>
          <w:sz w:val="20"/>
          <w:szCs w:val="20"/>
        </w:rPr>
        <w:t xml:space="preserve"> government, either on collective services or on selected individual goods or services. The final consumption expenditures of general government can be classified according to whether the expenditures are on collective services or individual goods or services, or by functions according to COFOG.  In COFOG 1999, all of Divisions 01 to 06 (General public services, defence, public order and safety, economic affairs, environmental protection, housing and community amenities) are collective services, as are Groups 07.5 and 07.6 of health, Groups 08.3 to 08.6 of recreation, culture and religion, Groups 09.7 and 09.8 of education, and Groups 10.8 and 10.9 of social protection. The remaining Groups of health, recreation, culture and religion, education and social protection (which dominate each of the classes) are individual services. This role and consistent integration of COFOG with the SNA is recommended to be maintained. It is important that the revision of COFOG is aware of and </w:t>
      </w:r>
      <w:proofErr w:type="gramStart"/>
      <w:r w:rsidRPr="000655FE">
        <w:rPr>
          <w:sz w:val="20"/>
          <w:szCs w:val="20"/>
        </w:rPr>
        <w:t>takes into account</w:t>
      </w:r>
      <w:proofErr w:type="gramEnd"/>
      <w:r w:rsidRPr="000655FE">
        <w:rPr>
          <w:sz w:val="20"/>
          <w:szCs w:val="20"/>
        </w:rPr>
        <w:t xml:space="preserve"> the SNA revisions in a coherent manner. </w:t>
      </w:r>
      <w:proofErr w:type="gramStart"/>
      <w:r w:rsidRPr="000655FE">
        <w:rPr>
          <w:sz w:val="20"/>
          <w:szCs w:val="20"/>
        </w:rPr>
        <w:t>The discussion</w:t>
      </w:r>
      <w:proofErr w:type="gramEnd"/>
      <w:r w:rsidRPr="000655FE">
        <w:rPr>
          <w:sz w:val="20"/>
          <w:szCs w:val="20"/>
        </w:rPr>
        <w:t xml:space="preserve"> on various issues may have implication to the precise mapping of the COFOG classification to collective and individual services, and such issues can be examined during the revision process.</w:t>
      </w:r>
    </w:p>
    <w:p w14:paraId="353BF950" w14:textId="77777777" w:rsidR="0054112C" w:rsidRPr="000655FE" w:rsidRDefault="0054112C" w:rsidP="00806AD8">
      <w:pPr>
        <w:spacing w:after="0" w:line="240" w:lineRule="auto"/>
        <w:rPr>
          <w:b/>
          <w:bCs/>
          <w:sz w:val="20"/>
          <w:szCs w:val="20"/>
        </w:rPr>
      </w:pPr>
    </w:p>
    <w:p w14:paraId="58D83C2A" w14:textId="77777777" w:rsidR="0054112C" w:rsidRPr="000655FE" w:rsidRDefault="0054112C" w:rsidP="00806AD8">
      <w:pPr>
        <w:spacing w:after="0" w:line="240" w:lineRule="auto"/>
        <w:rPr>
          <w:sz w:val="20"/>
          <w:szCs w:val="20"/>
        </w:rPr>
      </w:pPr>
      <w:r w:rsidRPr="000655FE">
        <w:rPr>
          <w:b/>
          <w:bCs/>
          <w:sz w:val="20"/>
          <w:szCs w:val="20"/>
        </w:rPr>
        <w:t>B6</w:t>
      </w:r>
      <w:r w:rsidRPr="000655FE">
        <w:rPr>
          <w:sz w:val="20"/>
          <w:szCs w:val="20"/>
        </w:rPr>
        <w:t xml:space="preserve">. </w:t>
      </w:r>
      <w:r w:rsidRPr="000655FE">
        <w:rPr>
          <w:b/>
          <w:bCs/>
          <w:sz w:val="20"/>
          <w:szCs w:val="20"/>
        </w:rPr>
        <w:t>Internal consistency with the</w:t>
      </w:r>
      <w:r w:rsidRPr="000655FE">
        <w:rPr>
          <w:sz w:val="20"/>
          <w:szCs w:val="20"/>
        </w:rPr>
        <w:t xml:space="preserve"> </w:t>
      </w:r>
      <w:r w:rsidRPr="000655FE">
        <w:rPr>
          <w:b/>
          <w:bCs/>
          <w:sz w:val="20"/>
          <w:szCs w:val="20"/>
        </w:rPr>
        <w:t>other classifications of expenditure according to purpose</w:t>
      </w:r>
    </w:p>
    <w:p w14:paraId="7A8909BF" w14:textId="77777777" w:rsidR="0054112C" w:rsidRPr="000655FE" w:rsidRDefault="0054112C" w:rsidP="00806AD8">
      <w:pPr>
        <w:spacing w:after="0" w:line="240" w:lineRule="auto"/>
        <w:rPr>
          <w:sz w:val="20"/>
          <w:szCs w:val="20"/>
        </w:rPr>
      </w:pPr>
    </w:p>
    <w:p w14:paraId="7647D334" w14:textId="77777777" w:rsidR="0054112C" w:rsidRPr="000655FE" w:rsidRDefault="0054112C" w:rsidP="00806AD8">
      <w:pPr>
        <w:spacing w:line="240" w:lineRule="auto"/>
        <w:rPr>
          <w:sz w:val="20"/>
          <w:szCs w:val="20"/>
        </w:rPr>
      </w:pPr>
      <w:r w:rsidRPr="000655FE">
        <w:rPr>
          <w:sz w:val="20"/>
          <w:szCs w:val="20"/>
        </w:rPr>
        <w:t>Consider the alignment/consistency of COFOG with the related classifications of expenditure according to purpose:</w:t>
      </w:r>
    </w:p>
    <w:p w14:paraId="3C7E649B" w14:textId="77777777" w:rsidR="0054112C" w:rsidRPr="000655FE" w:rsidRDefault="0054112C" w:rsidP="00D25872">
      <w:pPr>
        <w:pStyle w:val="ListParagraph"/>
        <w:numPr>
          <w:ilvl w:val="1"/>
          <w:numId w:val="22"/>
        </w:numPr>
        <w:spacing w:line="240" w:lineRule="auto"/>
        <w:rPr>
          <w:sz w:val="20"/>
          <w:szCs w:val="20"/>
        </w:rPr>
      </w:pPr>
      <w:r w:rsidRPr="000655FE">
        <w:rPr>
          <w:sz w:val="20"/>
          <w:szCs w:val="20"/>
        </w:rPr>
        <w:t>Classification of Individual Consumption by Purpose (COICOP)</w:t>
      </w:r>
    </w:p>
    <w:p w14:paraId="57E66BBE" w14:textId="77777777" w:rsidR="0054112C" w:rsidRPr="000655FE" w:rsidRDefault="0054112C" w:rsidP="00D25872">
      <w:pPr>
        <w:pStyle w:val="ListParagraph"/>
        <w:numPr>
          <w:ilvl w:val="1"/>
          <w:numId w:val="22"/>
        </w:numPr>
        <w:spacing w:line="240" w:lineRule="auto"/>
        <w:rPr>
          <w:sz w:val="20"/>
          <w:szCs w:val="20"/>
        </w:rPr>
      </w:pPr>
      <w:r w:rsidRPr="000655FE">
        <w:rPr>
          <w:sz w:val="20"/>
          <w:szCs w:val="20"/>
        </w:rPr>
        <w:t>Classification of the Purposes of Non-profit Institutions Serving Households (COPNI)</w:t>
      </w:r>
    </w:p>
    <w:p w14:paraId="3DC04545" w14:textId="77777777" w:rsidR="0054112C" w:rsidRPr="000655FE" w:rsidRDefault="0054112C" w:rsidP="00D25872">
      <w:pPr>
        <w:pStyle w:val="ListParagraph"/>
        <w:numPr>
          <w:ilvl w:val="1"/>
          <w:numId w:val="22"/>
        </w:numPr>
        <w:spacing w:line="240" w:lineRule="auto"/>
        <w:rPr>
          <w:sz w:val="20"/>
          <w:szCs w:val="20"/>
        </w:rPr>
      </w:pPr>
      <w:r w:rsidRPr="000655FE">
        <w:rPr>
          <w:sz w:val="20"/>
          <w:szCs w:val="20"/>
        </w:rPr>
        <w:t>Classification of Outlays of Producers by Purpose (COPP)</w:t>
      </w:r>
    </w:p>
    <w:p w14:paraId="142E3B77" w14:textId="77777777" w:rsidR="0054112C" w:rsidRPr="000655FE" w:rsidRDefault="0054112C" w:rsidP="00806AD8">
      <w:pPr>
        <w:spacing w:after="0" w:line="240" w:lineRule="auto"/>
        <w:rPr>
          <w:sz w:val="20"/>
          <w:szCs w:val="20"/>
        </w:rPr>
      </w:pPr>
      <w:r w:rsidRPr="000655FE">
        <w:rPr>
          <w:sz w:val="20"/>
          <w:szCs w:val="20"/>
        </w:rPr>
        <w:t xml:space="preserve">The original 1999 version of these classifications is available at:  </w:t>
      </w:r>
      <w:hyperlink r:id="rId44" w:history="1">
        <w:r w:rsidRPr="000655FE">
          <w:rPr>
            <w:rStyle w:val="Hyperlink"/>
            <w:sz w:val="20"/>
            <w:szCs w:val="20"/>
          </w:rPr>
          <w:t>https://unstats.un.org/unsd/publication/SeriesM/SeriesM_84E.pdf</w:t>
        </w:r>
      </w:hyperlink>
      <w:r w:rsidRPr="000655FE">
        <w:rPr>
          <w:sz w:val="20"/>
          <w:szCs w:val="20"/>
        </w:rPr>
        <w:t xml:space="preserve"> </w:t>
      </w:r>
    </w:p>
    <w:p w14:paraId="4CABFE13" w14:textId="77777777" w:rsidR="0054112C" w:rsidRPr="000655FE" w:rsidRDefault="0054112C" w:rsidP="00806AD8">
      <w:pPr>
        <w:spacing w:after="0" w:line="240" w:lineRule="auto"/>
        <w:rPr>
          <w:sz w:val="20"/>
          <w:szCs w:val="20"/>
        </w:rPr>
      </w:pPr>
    </w:p>
    <w:p w14:paraId="7D3F016E" w14:textId="77777777" w:rsidR="0054112C" w:rsidRPr="000655FE" w:rsidRDefault="0054112C" w:rsidP="00806AD8">
      <w:pPr>
        <w:spacing w:after="0" w:line="240" w:lineRule="auto"/>
        <w:rPr>
          <w:sz w:val="20"/>
          <w:szCs w:val="20"/>
        </w:rPr>
      </w:pPr>
    </w:p>
    <w:p w14:paraId="7526D3B1" w14:textId="77777777" w:rsidR="0054112C" w:rsidRPr="000655FE" w:rsidRDefault="0054112C" w:rsidP="00806AD8">
      <w:pPr>
        <w:spacing w:after="0" w:line="240" w:lineRule="auto"/>
        <w:rPr>
          <w:sz w:val="20"/>
          <w:szCs w:val="20"/>
        </w:rPr>
      </w:pPr>
      <w:r w:rsidRPr="000655FE">
        <w:rPr>
          <w:b/>
          <w:bCs/>
          <w:sz w:val="20"/>
          <w:szCs w:val="20"/>
        </w:rPr>
        <w:lastRenderedPageBreak/>
        <w:t>B7</w:t>
      </w:r>
      <w:r w:rsidRPr="000655FE">
        <w:rPr>
          <w:sz w:val="20"/>
          <w:szCs w:val="20"/>
        </w:rPr>
        <w:t xml:space="preserve">. </w:t>
      </w:r>
      <w:r w:rsidRPr="000655FE">
        <w:rPr>
          <w:b/>
          <w:bCs/>
          <w:sz w:val="20"/>
          <w:szCs w:val="20"/>
        </w:rPr>
        <w:t xml:space="preserve">Alignment with other classifications/frameworks </w:t>
      </w:r>
    </w:p>
    <w:p w14:paraId="6D941B85" w14:textId="77777777" w:rsidR="0054112C" w:rsidRPr="000655FE" w:rsidRDefault="0054112C" w:rsidP="00806AD8">
      <w:pPr>
        <w:spacing w:after="0" w:line="240" w:lineRule="auto"/>
        <w:rPr>
          <w:sz w:val="20"/>
          <w:szCs w:val="20"/>
        </w:rPr>
      </w:pPr>
    </w:p>
    <w:p w14:paraId="65F09EA5" w14:textId="77777777" w:rsidR="0054112C" w:rsidRPr="000655FE" w:rsidRDefault="0054112C" w:rsidP="00806AD8">
      <w:pPr>
        <w:spacing w:line="240" w:lineRule="auto"/>
        <w:rPr>
          <w:sz w:val="20"/>
          <w:szCs w:val="20"/>
        </w:rPr>
      </w:pPr>
      <w:r w:rsidRPr="000655FE">
        <w:rPr>
          <w:sz w:val="20"/>
          <w:szCs w:val="20"/>
        </w:rPr>
        <w:t xml:space="preserve">Consider the alignment of COFOG with any other relevant classifications/frameworks, (e.g. ISIC, SDGs) </w:t>
      </w:r>
    </w:p>
    <w:p w14:paraId="5B031E58" w14:textId="77777777" w:rsidR="0054112C" w:rsidRPr="000655FE" w:rsidRDefault="0054112C" w:rsidP="00806AD8">
      <w:pPr>
        <w:spacing w:line="240" w:lineRule="auto"/>
        <w:jc w:val="both"/>
        <w:rPr>
          <w:sz w:val="20"/>
          <w:szCs w:val="20"/>
        </w:rPr>
      </w:pPr>
      <w:r w:rsidRPr="000655FE">
        <w:rPr>
          <w:sz w:val="20"/>
          <w:szCs w:val="20"/>
        </w:rPr>
        <w:t xml:space="preserve">Please note that: </w:t>
      </w:r>
    </w:p>
    <w:p w14:paraId="21B00038" w14:textId="77777777" w:rsidR="0054112C" w:rsidRPr="000655FE" w:rsidRDefault="0054112C" w:rsidP="00D25872">
      <w:pPr>
        <w:pStyle w:val="ListParagraph"/>
        <w:numPr>
          <w:ilvl w:val="0"/>
          <w:numId w:val="23"/>
        </w:numPr>
        <w:spacing w:after="0" w:line="240" w:lineRule="auto"/>
        <w:jc w:val="both"/>
        <w:rPr>
          <w:sz w:val="20"/>
          <w:szCs w:val="20"/>
        </w:rPr>
      </w:pPr>
      <w:r w:rsidRPr="000655FE">
        <w:rPr>
          <w:sz w:val="20"/>
          <w:szCs w:val="20"/>
        </w:rPr>
        <w:t>Alignment with the Classification of Environmental Purposes (CEP), System of Environmental-Economic Accounting (SEEA), EU Sustainable Finance Taxonomy and other environmental classifications/frameworks is covered under issue A05 (Environmental protection)</w:t>
      </w:r>
    </w:p>
    <w:p w14:paraId="78052D8C" w14:textId="77777777" w:rsidR="0054112C" w:rsidRPr="000655FE" w:rsidRDefault="0054112C" w:rsidP="00806AD8">
      <w:pPr>
        <w:pStyle w:val="ListParagraph"/>
        <w:spacing w:after="0" w:line="240" w:lineRule="auto"/>
        <w:ind w:left="1440"/>
        <w:jc w:val="both"/>
        <w:rPr>
          <w:sz w:val="20"/>
          <w:szCs w:val="20"/>
        </w:rPr>
      </w:pPr>
    </w:p>
    <w:p w14:paraId="79B13F74" w14:textId="77777777" w:rsidR="0054112C" w:rsidRPr="000655FE" w:rsidRDefault="0054112C" w:rsidP="00D25872">
      <w:pPr>
        <w:pStyle w:val="ListParagraph"/>
        <w:numPr>
          <w:ilvl w:val="0"/>
          <w:numId w:val="23"/>
        </w:numPr>
        <w:spacing w:after="0" w:line="240" w:lineRule="auto"/>
        <w:jc w:val="both"/>
        <w:rPr>
          <w:sz w:val="20"/>
          <w:szCs w:val="20"/>
        </w:rPr>
      </w:pPr>
      <w:r w:rsidRPr="000655FE">
        <w:rPr>
          <w:sz w:val="20"/>
          <w:szCs w:val="20"/>
        </w:rPr>
        <w:t>Alignment with the System of Health Accounts (SHA) is covered under issue A07 (Health)</w:t>
      </w:r>
    </w:p>
    <w:p w14:paraId="1FDC3F0D" w14:textId="77777777" w:rsidR="0054112C" w:rsidRPr="000655FE" w:rsidRDefault="0054112C" w:rsidP="00806AD8">
      <w:pPr>
        <w:pStyle w:val="ListParagraph"/>
        <w:spacing w:after="0" w:line="240" w:lineRule="auto"/>
        <w:ind w:left="1440"/>
        <w:jc w:val="both"/>
        <w:rPr>
          <w:sz w:val="20"/>
          <w:szCs w:val="20"/>
        </w:rPr>
      </w:pPr>
    </w:p>
    <w:p w14:paraId="5F6B9D94" w14:textId="77777777" w:rsidR="0054112C" w:rsidRPr="000655FE" w:rsidRDefault="0054112C" w:rsidP="00D25872">
      <w:pPr>
        <w:pStyle w:val="ListParagraph"/>
        <w:numPr>
          <w:ilvl w:val="0"/>
          <w:numId w:val="23"/>
        </w:numPr>
        <w:spacing w:after="0" w:line="240" w:lineRule="auto"/>
        <w:jc w:val="both"/>
        <w:rPr>
          <w:sz w:val="20"/>
          <w:szCs w:val="20"/>
        </w:rPr>
      </w:pPr>
      <w:r w:rsidRPr="000655FE">
        <w:rPr>
          <w:sz w:val="20"/>
          <w:szCs w:val="20"/>
        </w:rPr>
        <w:t>Alignment with the International Standard Classification of Education (ISCED) and the joint UNESCO-UIS/OECD/EUROSTAT data collection (UOE) is covered under issue A09 (Education)</w:t>
      </w:r>
    </w:p>
    <w:p w14:paraId="3E891806" w14:textId="77777777" w:rsidR="0054112C" w:rsidRPr="000655FE" w:rsidRDefault="0054112C" w:rsidP="00806AD8">
      <w:pPr>
        <w:spacing w:after="0" w:line="240" w:lineRule="auto"/>
        <w:jc w:val="both"/>
        <w:rPr>
          <w:sz w:val="20"/>
          <w:szCs w:val="20"/>
        </w:rPr>
      </w:pPr>
    </w:p>
    <w:p w14:paraId="2C6B6F2E" w14:textId="77777777" w:rsidR="0054112C" w:rsidRPr="000655FE" w:rsidRDefault="0054112C" w:rsidP="00D25872">
      <w:pPr>
        <w:numPr>
          <w:ilvl w:val="0"/>
          <w:numId w:val="23"/>
        </w:numPr>
        <w:spacing w:after="0" w:line="240" w:lineRule="auto"/>
        <w:jc w:val="both"/>
        <w:rPr>
          <w:rFonts w:ascii="Aptos" w:eastAsia="Aptos" w:hAnsi="Aptos" w:cs="Aptos"/>
          <w:sz w:val="20"/>
          <w:szCs w:val="20"/>
        </w:rPr>
      </w:pPr>
      <w:r w:rsidRPr="000655FE">
        <w:rPr>
          <w:sz w:val="20"/>
          <w:szCs w:val="20"/>
        </w:rPr>
        <w:t xml:space="preserve">Alignment with the </w:t>
      </w:r>
      <w:r w:rsidRPr="000655FE">
        <w:rPr>
          <w:rFonts w:ascii="Aptos" w:eastAsia="Aptos" w:hAnsi="Aptos" w:cs="Aptos"/>
          <w:sz w:val="20"/>
          <w:szCs w:val="20"/>
        </w:rPr>
        <w:t>Nomenclature for the Analysis and Comparison of Scientific Programmes and Budget (NABS) is covered under A12 (Research and development)</w:t>
      </w:r>
    </w:p>
    <w:p w14:paraId="3094F8C0" w14:textId="77777777" w:rsidR="0054112C" w:rsidRPr="000655FE" w:rsidRDefault="0054112C" w:rsidP="00806AD8">
      <w:pPr>
        <w:pStyle w:val="ListParagraph"/>
        <w:spacing w:after="0" w:line="240" w:lineRule="auto"/>
        <w:ind w:left="1440"/>
        <w:rPr>
          <w:sz w:val="20"/>
          <w:szCs w:val="20"/>
        </w:rPr>
      </w:pPr>
    </w:p>
    <w:p w14:paraId="5E17AAB3" w14:textId="77777777" w:rsidR="0054112C" w:rsidRPr="009217D0" w:rsidRDefault="0054112C" w:rsidP="0054112C">
      <w:pPr>
        <w:spacing w:after="0" w:line="240" w:lineRule="auto"/>
        <w:rPr>
          <w:sz w:val="22"/>
          <w:szCs w:val="22"/>
        </w:rPr>
      </w:pPr>
    </w:p>
    <w:p w14:paraId="682CFC14" w14:textId="77777777" w:rsidR="00EC1650" w:rsidRPr="009217D0" w:rsidRDefault="00EC1650" w:rsidP="00485B5A">
      <w:pPr>
        <w:spacing w:after="0" w:line="240" w:lineRule="auto"/>
        <w:jc w:val="both"/>
        <w:rPr>
          <w:b/>
          <w:bCs/>
          <w:sz w:val="20"/>
          <w:szCs w:val="20"/>
          <w:u w:val="single"/>
        </w:rPr>
      </w:pPr>
    </w:p>
    <w:p w14:paraId="512CBA0C" w14:textId="77777777" w:rsidR="00EC1650" w:rsidRPr="009217D0" w:rsidRDefault="00EC1650" w:rsidP="00485B5A">
      <w:pPr>
        <w:spacing w:after="0" w:line="240" w:lineRule="auto"/>
        <w:jc w:val="both"/>
        <w:rPr>
          <w:b/>
          <w:bCs/>
          <w:sz w:val="20"/>
          <w:szCs w:val="20"/>
          <w:u w:val="single"/>
        </w:rPr>
      </w:pPr>
    </w:p>
    <w:p w14:paraId="2391CD2B" w14:textId="77777777" w:rsidR="00EC1650" w:rsidRDefault="00EC1650" w:rsidP="00485B5A">
      <w:pPr>
        <w:spacing w:after="0" w:line="240" w:lineRule="auto"/>
        <w:jc w:val="both"/>
        <w:rPr>
          <w:b/>
          <w:bCs/>
          <w:sz w:val="22"/>
          <w:szCs w:val="22"/>
          <w:u w:val="single"/>
        </w:rPr>
      </w:pPr>
    </w:p>
    <w:p w14:paraId="0D6981CE" w14:textId="3D98BA6F" w:rsidR="001C4731" w:rsidRPr="009072F8" w:rsidRDefault="001C4731" w:rsidP="009072F8">
      <w:pPr>
        <w:rPr>
          <w:b/>
          <w:bCs/>
          <w:sz w:val="22"/>
          <w:szCs w:val="22"/>
          <w:u w:val="single"/>
        </w:rPr>
      </w:pPr>
    </w:p>
    <w:p w14:paraId="77DF17E6" w14:textId="6924BD95" w:rsidR="00011398" w:rsidRPr="00011398" w:rsidRDefault="00011398" w:rsidP="0044083C">
      <w:pPr>
        <w:rPr>
          <w:b/>
          <w:bCs/>
          <w:sz w:val="22"/>
          <w:szCs w:val="22"/>
          <w:u w:val="single"/>
        </w:rPr>
      </w:pPr>
    </w:p>
    <w:sectPr w:rsidR="00011398" w:rsidRPr="00011398" w:rsidSect="00254A10">
      <w:headerReference w:type="default"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25607" w14:textId="77777777" w:rsidR="00CC50B5" w:rsidRDefault="00CC50B5" w:rsidP="00642484">
      <w:pPr>
        <w:spacing w:after="0" w:line="240" w:lineRule="auto"/>
      </w:pPr>
      <w:r>
        <w:separator/>
      </w:r>
    </w:p>
  </w:endnote>
  <w:endnote w:type="continuationSeparator" w:id="0">
    <w:p w14:paraId="61C30213" w14:textId="77777777" w:rsidR="00CC50B5" w:rsidRDefault="00CC50B5" w:rsidP="00642484">
      <w:pPr>
        <w:spacing w:after="0" w:line="240" w:lineRule="auto"/>
      </w:pPr>
      <w:r>
        <w:continuationSeparator/>
      </w:r>
    </w:p>
  </w:endnote>
  <w:endnote w:type="continuationNotice" w:id="1">
    <w:p w14:paraId="00747D72" w14:textId="77777777" w:rsidR="00CC50B5" w:rsidRDefault="00CC5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96685913"/>
      <w:docPartObj>
        <w:docPartGallery w:val="Page Numbers (Bottom of Page)"/>
        <w:docPartUnique/>
      </w:docPartObj>
    </w:sdtPr>
    <w:sdtEndPr/>
    <w:sdtContent>
      <w:p w14:paraId="20D20265" w14:textId="70F9D589" w:rsidR="005044AB" w:rsidRPr="005044AB" w:rsidRDefault="005044AB" w:rsidP="005044AB">
        <w:pPr>
          <w:pStyle w:val="Footer"/>
          <w:jc w:val="center"/>
          <w:rPr>
            <w:sz w:val="22"/>
            <w:szCs w:val="22"/>
          </w:rPr>
        </w:pPr>
        <w:r w:rsidRPr="005044AB">
          <w:rPr>
            <w:sz w:val="22"/>
            <w:szCs w:val="22"/>
          </w:rPr>
          <w:t xml:space="preserve">Page | </w:t>
        </w:r>
        <w:r w:rsidRPr="005044AB">
          <w:rPr>
            <w:sz w:val="22"/>
            <w:szCs w:val="22"/>
          </w:rPr>
          <w:fldChar w:fldCharType="begin"/>
        </w:r>
        <w:r w:rsidRPr="005044AB">
          <w:rPr>
            <w:sz w:val="22"/>
            <w:szCs w:val="22"/>
          </w:rPr>
          <w:instrText xml:space="preserve"> PAGE   \* MERGEFORMAT </w:instrText>
        </w:r>
        <w:r w:rsidRPr="005044AB">
          <w:rPr>
            <w:sz w:val="22"/>
            <w:szCs w:val="22"/>
          </w:rPr>
          <w:fldChar w:fldCharType="separate"/>
        </w:r>
        <w:r w:rsidRPr="005044AB">
          <w:rPr>
            <w:noProof/>
            <w:sz w:val="22"/>
            <w:szCs w:val="22"/>
          </w:rPr>
          <w:t>2</w:t>
        </w:r>
        <w:r w:rsidRPr="005044AB">
          <w:rPr>
            <w:noProof/>
            <w:sz w:val="22"/>
            <w:szCs w:val="22"/>
          </w:rPr>
          <w:fldChar w:fldCharType="end"/>
        </w:r>
        <w:r w:rsidRPr="005044AB">
          <w:rPr>
            <w:sz w:val="22"/>
            <w:szCs w:val="22"/>
          </w:rPr>
          <w:t xml:space="preserve"> </w:t>
        </w:r>
      </w:p>
    </w:sdtContent>
  </w:sdt>
  <w:p w14:paraId="089AB35A" w14:textId="77777777" w:rsidR="005044AB" w:rsidRDefault="00504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067483"/>
      <w:docPartObj>
        <w:docPartGallery w:val="Page Numbers (Bottom of Page)"/>
        <w:docPartUnique/>
      </w:docPartObj>
    </w:sdtPr>
    <w:sdtEndPr>
      <w:rPr>
        <w:noProof/>
        <w:sz w:val="22"/>
        <w:szCs w:val="22"/>
      </w:rPr>
    </w:sdtEndPr>
    <w:sdtContent>
      <w:p w14:paraId="7E92330F" w14:textId="722E18E7" w:rsidR="005044AB" w:rsidRPr="005044AB" w:rsidRDefault="005044AB" w:rsidP="005044AB">
        <w:pPr>
          <w:pStyle w:val="Footer"/>
          <w:jc w:val="center"/>
          <w:rPr>
            <w:sz w:val="22"/>
            <w:szCs w:val="22"/>
          </w:rPr>
        </w:pPr>
        <w:r w:rsidRPr="005044AB">
          <w:rPr>
            <w:sz w:val="22"/>
            <w:szCs w:val="22"/>
          </w:rPr>
          <w:t xml:space="preserve">Page | </w:t>
        </w:r>
        <w:r w:rsidRPr="005044AB">
          <w:rPr>
            <w:sz w:val="22"/>
            <w:szCs w:val="22"/>
          </w:rPr>
          <w:fldChar w:fldCharType="begin"/>
        </w:r>
        <w:r w:rsidRPr="005044AB">
          <w:rPr>
            <w:sz w:val="22"/>
            <w:szCs w:val="22"/>
          </w:rPr>
          <w:instrText xml:space="preserve"> PAGE   \* MERGEFORMAT </w:instrText>
        </w:r>
        <w:r w:rsidRPr="005044AB">
          <w:rPr>
            <w:sz w:val="22"/>
            <w:szCs w:val="22"/>
          </w:rPr>
          <w:fldChar w:fldCharType="separate"/>
        </w:r>
        <w:r w:rsidRPr="005044AB">
          <w:rPr>
            <w:noProof/>
            <w:sz w:val="22"/>
            <w:szCs w:val="22"/>
          </w:rPr>
          <w:t>2</w:t>
        </w:r>
        <w:r w:rsidRPr="005044AB">
          <w:rPr>
            <w:noProof/>
            <w:sz w:val="22"/>
            <w:szCs w:val="22"/>
          </w:rPr>
          <w:fldChar w:fldCharType="end"/>
        </w:r>
      </w:p>
    </w:sdtContent>
  </w:sdt>
  <w:p w14:paraId="5F10DBE3" w14:textId="16FCE2B7" w:rsidR="0054112C" w:rsidRDefault="005411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5C9B4" w14:textId="77777777" w:rsidR="00CC50B5" w:rsidRDefault="00CC50B5" w:rsidP="00642484">
      <w:pPr>
        <w:spacing w:after="0" w:line="240" w:lineRule="auto"/>
      </w:pPr>
      <w:r>
        <w:separator/>
      </w:r>
    </w:p>
  </w:footnote>
  <w:footnote w:type="continuationSeparator" w:id="0">
    <w:p w14:paraId="760889B6" w14:textId="77777777" w:rsidR="00CC50B5" w:rsidRDefault="00CC50B5" w:rsidP="00642484">
      <w:pPr>
        <w:spacing w:after="0" w:line="240" w:lineRule="auto"/>
      </w:pPr>
      <w:r>
        <w:continuationSeparator/>
      </w:r>
    </w:p>
  </w:footnote>
  <w:footnote w:type="continuationNotice" w:id="1">
    <w:p w14:paraId="2410F94D" w14:textId="77777777" w:rsidR="00CC50B5" w:rsidRDefault="00CC50B5">
      <w:pPr>
        <w:spacing w:after="0" w:line="240" w:lineRule="auto"/>
      </w:pPr>
    </w:p>
  </w:footnote>
  <w:footnote w:id="2">
    <w:p w14:paraId="4CFC83C5" w14:textId="77777777" w:rsidR="0054112C" w:rsidRPr="000655FE" w:rsidRDefault="0054112C" w:rsidP="0054112C">
      <w:pPr>
        <w:pStyle w:val="FootnoteText"/>
        <w:rPr>
          <w:sz w:val="18"/>
          <w:szCs w:val="18"/>
        </w:rPr>
      </w:pPr>
      <w:r w:rsidRPr="000655FE">
        <w:rPr>
          <w:rStyle w:val="FootnoteReference"/>
          <w:sz w:val="18"/>
          <w:szCs w:val="18"/>
        </w:rPr>
        <w:footnoteRef/>
      </w:r>
      <w:r w:rsidRPr="000655FE">
        <w:rPr>
          <w:sz w:val="18"/>
          <w:szCs w:val="18"/>
        </w:rPr>
        <w:t xml:space="preserve"> ‘Programme budgeting’ </w:t>
      </w:r>
      <w:r w:rsidRPr="000655FE">
        <w:rPr>
          <w:sz w:val="18"/>
          <w:szCs w:val="18"/>
          <w:lang w:val="en-GB"/>
        </w:rPr>
        <w:t>is a type of performance budgeting that allocates funds based on “programmes” trying to identify clear outputs and outcomes with clear objectives, this helps budget offices to improve expenditure prioritization. This approach requires a national “functional” programming classification structure</w:t>
      </w:r>
    </w:p>
  </w:footnote>
  <w:footnote w:id="3">
    <w:p w14:paraId="0E58083E" w14:textId="77777777" w:rsidR="0054112C" w:rsidRDefault="0054112C" w:rsidP="0054112C">
      <w:pPr>
        <w:pStyle w:val="FootnoteText"/>
      </w:pPr>
      <w:r w:rsidRPr="000655FE">
        <w:rPr>
          <w:rStyle w:val="FootnoteReference"/>
          <w:sz w:val="18"/>
          <w:szCs w:val="18"/>
        </w:rPr>
        <w:footnoteRef/>
      </w:r>
      <w:r w:rsidRPr="000655FE">
        <w:rPr>
          <w:sz w:val="18"/>
          <w:szCs w:val="18"/>
        </w:rPr>
        <w:t xml:space="preserve"> Note that no specific proposals regarding A08. Recreation, culture and religion were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E6AC" w14:textId="77777777" w:rsidR="0054112C" w:rsidRDefault="0054112C">
    <w:pPr>
      <w:pStyle w:val="Header"/>
      <w:ind w:left="-8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BF9"/>
    <w:multiLevelType w:val="hybridMultilevel"/>
    <w:tmpl w:val="D54C4804"/>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9065B9C"/>
    <w:multiLevelType w:val="hybridMultilevel"/>
    <w:tmpl w:val="74E6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86765"/>
    <w:multiLevelType w:val="hybridMultilevel"/>
    <w:tmpl w:val="452AB8C8"/>
    <w:lvl w:ilvl="0" w:tplc="5B6A62AE">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FF9"/>
    <w:multiLevelType w:val="hybridMultilevel"/>
    <w:tmpl w:val="216EC2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86521"/>
    <w:multiLevelType w:val="hybridMultilevel"/>
    <w:tmpl w:val="FB0C861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954989"/>
    <w:multiLevelType w:val="hybridMultilevel"/>
    <w:tmpl w:val="4AF4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26E96"/>
    <w:multiLevelType w:val="hybridMultilevel"/>
    <w:tmpl w:val="F190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7426B"/>
    <w:multiLevelType w:val="hybridMultilevel"/>
    <w:tmpl w:val="9DEE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A1BC0"/>
    <w:multiLevelType w:val="hybridMultilevel"/>
    <w:tmpl w:val="B7BE7EA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6C12D4"/>
    <w:multiLevelType w:val="hybridMultilevel"/>
    <w:tmpl w:val="FD7E965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6295AFF"/>
    <w:multiLevelType w:val="hybridMultilevel"/>
    <w:tmpl w:val="4B36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021E4"/>
    <w:multiLevelType w:val="hybridMultilevel"/>
    <w:tmpl w:val="99D4CD7E"/>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E195612"/>
    <w:multiLevelType w:val="hybridMultilevel"/>
    <w:tmpl w:val="9B382F70"/>
    <w:lvl w:ilvl="0" w:tplc="44BE94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702BF"/>
    <w:multiLevelType w:val="hybridMultilevel"/>
    <w:tmpl w:val="30BCFE8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55E2ED3"/>
    <w:multiLevelType w:val="hybridMultilevel"/>
    <w:tmpl w:val="1C6CDD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62483"/>
    <w:multiLevelType w:val="hybridMultilevel"/>
    <w:tmpl w:val="D8B2BFE8"/>
    <w:lvl w:ilvl="0" w:tplc="A300E4E6">
      <w:start w:val="1"/>
      <w:numFmt w:val="upperRoman"/>
      <w:pStyle w:val="Heading1"/>
      <w:lvlText w:val="%1."/>
      <w:lvlJc w:val="righ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BD5E05"/>
    <w:multiLevelType w:val="hybridMultilevel"/>
    <w:tmpl w:val="40DA4452"/>
    <w:lvl w:ilvl="0" w:tplc="C34CCA86">
      <w:start w:val="5"/>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CC2202"/>
    <w:multiLevelType w:val="hybridMultilevel"/>
    <w:tmpl w:val="DADCDFEA"/>
    <w:lvl w:ilvl="0" w:tplc="C01C94D8">
      <w:start w:val="1"/>
      <w:numFmt w:val="lowerRoman"/>
      <w:lvlText w:val="%1."/>
      <w:lvlJc w:val="right"/>
      <w:pPr>
        <w:ind w:left="360" w:hanging="360"/>
      </w:pPr>
      <w:rPr>
        <w:b w:val="0"/>
        <w:bCs w:val="0"/>
        <w:color w:val="156082"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954694"/>
    <w:multiLevelType w:val="hybridMultilevel"/>
    <w:tmpl w:val="A580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D1652"/>
    <w:multiLevelType w:val="hybridMultilevel"/>
    <w:tmpl w:val="1330666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DDE51FB"/>
    <w:multiLevelType w:val="hybridMultilevel"/>
    <w:tmpl w:val="C1B23F4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FC54F0A"/>
    <w:multiLevelType w:val="hybridMultilevel"/>
    <w:tmpl w:val="A378DA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1B0907"/>
    <w:multiLevelType w:val="hybridMultilevel"/>
    <w:tmpl w:val="5F1AC020"/>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1507681"/>
    <w:multiLevelType w:val="hybridMultilevel"/>
    <w:tmpl w:val="DC36A1C2"/>
    <w:lvl w:ilvl="0" w:tplc="98DCD792">
      <w:start w:val="6"/>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842C0E"/>
    <w:multiLevelType w:val="hybridMultilevel"/>
    <w:tmpl w:val="86BECF80"/>
    <w:lvl w:ilvl="0" w:tplc="1AF8E890">
      <w:start w:val="7"/>
      <w:numFmt w:val="decimal"/>
      <w:lvlText w:val="%1."/>
      <w:lvlJc w:val="left"/>
      <w:pPr>
        <w:ind w:left="360" w:hanging="360"/>
      </w:pPr>
      <w:rPr>
        <w:rFonts w:hint="default"/>
        <w:b/>
        <w:bCs/>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F762D5"/>
    <w:multiLevelType w:val="hybridMultilevel"/>
    <w:tmpl w:val="BAC0F18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16C0C12"/>
    <w:multiLevelType w:val="hybridMultilevel"/>
    <w:tmpl w:val="F55A435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43A1565"/>
    <w:multiLevelType w:val="hybridMultilevel"/>
    <w:tmpl w:val="1AD2345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A056C7C"/>
    <w:multiLevelType w:val="hybridMultilevel"/>
    <w:tmpl w:val="A57E7BCC"/>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B676BA4"/>
    <w:multiLevelType w:val="hybridMultilevel"/>
    <w:tmpl w:val="8A4881CE"/>
    <w:lvl w:ilvl="0" w:tplc="FFFFFFFF">
      <w:start w:val="1"/>
      <w:numFmt w:val="upperLetter"/>
      <w:lvlText w:val="%1."/>
      <w:lvlJc w:val="left"/>
      <w:pPr>
        <w:ind w:left="720" w:hanging="360"/>
      </w:pPr>
      <w:rPr>
        <w:rFonts w:hint="default"/>
      </w:rPr>
    </w:lvl>
    <w:lvl w:ilvl="1" w:tplc="04090001">
      <w:start w:val="1"/>
      <w:numFmt w:val="bullet"/>
      <w:lvlText w:val=""/>
      <w:lvlJc w:val="left"/>
      <w:pPr>
        <w:ind w:left="768"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5B485F"/>
    <w:multiLevelType w:val="hybridMultilevel"/>
    <w:tmpl w:val="5DCA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637CA5"/>
    <w:multiLevelType w:val="hybridMultilevel"/>
    <w:tmpl w:val="8B0E24C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21125A"/>
    <w:multiLevelType w:val="hybridMultilevel"/>
    <w:tmpl w:val="D768656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2BB0839"/>
    <w:multiLevelType w:val="hybridMultilevel"/>
    <w:tmpl w:val="3A4CE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EA5693"/>
    <w:multiLevelType w:val="hybridMultilevel"/>
    <w:tmpl w:val="020490D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74E14B8"/>
    <w:multiLevelType w:val="hybridMultilevel"/>
    <w:tmpl w:val="5E92A39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6" w15:restartNumberingAfterBreak="0">
    <w:nsid w:val="63061A4E"/>
    <w:multiLevelType w:val="hybridMultilevel"/>
    <w:tmpl w:val="C968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E7712"/>
    <w:multiLevelType w:val="hybridMultilevel"/>
    <w:tmpl w:val="9778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16B89"/>
    <w:multiLevelType w:val="hybridMultilevel"/>
    <w:tmpl w:val="6F6ACA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8C07F4"/>
    <w:multiLevelType w:val="hybridMultilevel"/>
    <w:tmpl w:val="81E808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76440B"/>
    <w:multiLevelType w:val="hybridMultilevel"/>
    <w:tmpl w:val="2952A7B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D3853F3"/>
    <w:multiLevelType w:val="hybridMultilevel"/>
    <w:tmpl w:val="BF2E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96BBE"/>
    <w:multiLevelType w:val="hybridMultilevel"/>
    <w:tmpl w:val="D6FE5D2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3641B05"/>
    <w:multiLevelType w:val="hybridMultilevel"/>
    <w:tmpl w:val="85047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CA12E4"/>
    <w:multiLevelType w:val="hybridMultilevel"/>
    <w:tmpl w:val="51FA43C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8342756"/>
    <w:multiLevelType w:val="hybridMultilevel"/>
    <w:tmpl w:val="B6486828"/>
    <w:lvl w:ilvl="0" w:tplc="397CBD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466E6"/>
    <w:multiLevelType w:val="hybridMultilevel"/>
    <w:tmpl w:val="80D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961D27"/>
    <w:multiLevelType w:val="hybridMultilevel"/>
    <w:tmpl w:val="DA0C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C05BE7"/>
    <w:multiLevelType w:val="hybridMultilevel"/>
    <w:tmpl w:val="C60EC408"/>
    <w:lvl w:ilvl="0" w:tplc="DC2ABB10">
      <w:start w:val="1"/>
      <w:numFmt w:val="upperLetter"/>
      <w:pStyle w:val="Heading2"/>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5246358">
    <w:abstractNumId w:val="45"/>
  </w:num>
  <w:num w:numId="2" w16cid:durableId="576205022">
    <w:abstractNumId w:val="24"/>
  </w:num>
  <w:num w:numId="3" w16cid:durableId="1196163803">
    <w:abstractNumId w:val="2"/>
  </w:num>
  <w:num w:numId="4" w16cid:durableId="162357161">
    <w:abstractNumId w:val="14"/>
  </w:num>
  <w:num w:numId="5" w16cid:durableId="1368484600">
    <w:abstractNumId w:val="29"/>
  </w:num>
  <w:num w:numId="6" w16cid:durableId="361054606">
    <w:abstractNumId w:val="35"/>
  </w:num>
  <w:num w:numId="7" w16cid:durableId="926570708">
    <w:abstractNumId w:val="10"/>
  </w:num>
  <w:num w:numId="8" w16cid:durableId="684870314">
    <w:abstractNumId w:val="5"/>
  </w:num>
  <w:num w:numId="9" w16cid:durableId="1247568174">
    <w:abstractNumId w:val="41"/>
  </w:num>
  <w:num w:numId="10" w16cid:durableId="387191282">
    <w:abstractNumId w:val="13"/>
  </w:num>
  <w:num w:numId="11" w16cid:durableId="669677922">
    <w:abstractNumId w:val="47"/>
  </w:num>
  <w:num w:numId="12" w16cid:durableId="2083021987">
    <w:abstractNumId w:val="27"/>
  </w:num>
  <w:num w:numId="13" w16cid:durableId="269820434">
    <w:abstractNumId w:val="30"/>
  </w:num>
  <w:num w:numId="14" w16cid:durableId="1978800006">
    <w:abstractNumId w:val="44"/>
  </w:num>
  <w:num w:numId="15" w16cid:durableId="1334337104">
    <w:abstractNumId w:val="36"/>
  </w:num>
  <w:num w:numId="16" w16cid:durableId="638875816">
    <w:abstractNumId w:val="1"/>
  </w:num>
  <w:num w:numId="17" w16cid:durableId="949356890">
    <w:abstractNumId w:val="37"/>
  </w:num>
  <w:num w:numId="18" w16cid:durableId="1901749138">
    <w:abstractNumId w:val="7"/>
  </w:num>
  <w:num w:numId="19" w16cid:durableId="2007050171">
    <w:abstractNumId w:val="46"/>
  </w:num>
  <w:num w:numId="20" w16cid:durableId="328290447">
    <w:abstractNumId w:val="33"/>
  </w:num>
  <w:num w:numId="21" w16cid:durableId="1308589666">
    <w:abstractNumId w:val="21"/>
  </w:num>
  <w:num w:numId="22" w16cid:durableId="1072238394">
    <w:abstractNumId w:val="8"/>
  </w:num>
  <w:num w:numId="23" w16cid:durableId="534655933">
    <w:abstractNumId w:val="18"/>
  </w:num>
  <w:num w:numId="24" w16cid:durableId="1403328432">
    <w:abstractNumId w:val="39"/>
  </w:num>
  <w:num w:numId="25" w16cid:durableId="1553692545">
    <w:abstractNumId w:val="43"/>
  </w:num>
  <w:num w:numId="26" w16cid:durableId="1948729007">
    <w:abstractNumId w:val="6"/>
  </w:num>
  <w:num w:numId="27" w16cid:durableId="12998138">
    <w:abstractNumId w:val="12"/>
  </w:num>
  <w:num w:numId="28" w16cid:durableId="1845315439">
    <w:abstractNumId w:val="15"/>
  </w:num>
  <w:num w:numId="29" w16cid:durableId="1725837628">
    <w:abstractNumId w:val="48"/>
  </w:num>
  <w:num w:numId="30" w16cid:durableId="830028307">
    <w:abstractNumId w:val="17"/>
  </w:num>
  <w:num w:numId="31" w16cid:durableId="1361972145">
    <w:abstractNumId w:val="16"/>
  </w:num>
  <w:num w:numId="32" w16cid:durableId="777524262">
    <w:abstractNumId w:val="23"/>
  </w:num>
  <w:num w:numId="33" w16cid:durableId="2054646617">
    <w:abstractNumId w:val="12"/>
  </w:num>
  <w:num w:numId="34" w16cid:durableId="1776248161">
    <w:abstractNumId w:val="3"/>
  </w:num>
  <w:num w:numId="35" w16cid:durableId="1416854351">
    <w:abstractNumId w:val="20"/>
  </w:num>
  <w:num w:numId="36" w16cid:durableId="772631995">
    <w:abstractNumId w:val="0"/>
  </w:num>
  <w:num w:numId="37" w16cid:durableId="470247154">
    <w:abstractNumId w:val="40"/>
  </w:num>
  <w:num w:numId="38" w16cid:durableId="607540865">
    <w:abstractNumId w:val="42"/>
  </w:num>
  <w:num w:numId="39" w16cid:durableId="1332024760">
    <w:abstractNumId w:val="26"/>
  </w:num>
  <w:num w:numId="40" w16cid:durableId="576787852">
    <w:abstractNumId w:val="31"/>
  </w:num>
  <w:num w:numId="41" w16cid:durableId="1133713718">
    <w:abstractNumId w:val="32"/>
  </w:num>
  <w:num w:numId="42" w16cid:durableId="413475854">
    <w:abstractNumId w:val="38"/>
  </w:num>
  <w:num w:numId="43" w16cid:durableId="2091080092">
    <w:abstractNumId w:val="4"/>
  </w:num>
  <w:num w:numId="44" w16cid:durableId="1824269317">
    <w:abstractNumId w:val="19"/>
  </w:num>
  <w:num w:numId="45" w16cid:durableId="1044990419">
    <w:abstractNumId w:val="25"/>
  </w:num>
  <w:num w:numId="46" w16cid:durableId="141584514">
    <w:abstractNumId w:val="34"/>
  </w:num>
  <w:num w:numId="47" w16cid:durableId="1918322638">
    <w:abstractNumId w:val="9"/>
  </w:num>
  <w:num w:numId="48" w16cid:durableId="597905848">
    <w:abstractNumId w:val="28"/>
  </w:num>
  <w:num w:numId="49" w16cid:durableId="1337424065">
    <w:abstractNumId w:val="11"/>
  </w:num>
  <w:num w:numId="50" w16cid:durableId="2120485182">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B3"/>
    <w:rsid w:val="00000723"/>
    <w:rsid w:val="00001312"/>
    <w:rsid w:val="00002CFA"/>
    <w:rsid w:val="0000425F"/>
    <w:rsid w:val="00004AD7"/>
    <w:rsid w:val="0000503F"/>
    <w:rsid w:val="00005A98"/>
    <w:rsid w:val="00005AC6"/>
    <w:rsid w:val="00005C11"/>
    <w:rsid w:val="00005DC6"/>
    <w:rsid w:val="0000664A"/>
    <w:rsid w:val="00007776"/>
    <w:rsid w:val="00011398"/>
    <w:rsid w:val="00011904"/>
    <w:rsid w:val="00011E07"/>
    <w:rsid w:val="00013ACF"/>
    <w:rsid w:val="0001509B"/>
    <w:rsid w:val="00015EF3"/>
    <w:rsid w:val="00016553"/>
    <w:rsid w:val="00016870"/>
    <w:rsid w:val="00017ABF"/>
    <w:rsid w:val="00017EEE"/>
    <w:rsid w:val="000203AF"/>
    <w:rsid w:val="00020DA8"/>
    <w:rsid w:val="00020DBD"/>
    <w:rsid w:val="00022BB3"/>
    <w:rsid w:val="00022DF9"/>
    <w:rsid w:val="00024874"/>
    <w:rsid w:val="000250E5"/>
    <w:rsid w:val="00030883"/>
    <w:rsid w:val="00030DC6"/>
    <w:rsid w:val="000310A6"/>
    <w:rsid w:val="0003121D"/>
    <w:rsid w:val="0003193B"/>
    <w:rsid w:val="00032357"/>
    <w:rsid w:val="00032BBB"/>
    <w:rsid w:val="00033944"/>
    <w:rsid w:val="00034B1F"/>
    <w:rsid w:val="00035A36"/>
    <w:rsid w:val="0003677A"/>
    <w:rsid w:val="00036A3A"/>
    <w:rsid w:val="00037A49"/>
    <w:rsid w:val="00040960"/>
    <w:rsid w:val="000411EA"/>
    <w:rsid w:val="0004185C"/>
    <w:rsid w:val="00041E51"/>
    <w:rsid w:val="000434E1"/>
    <w:rsid w:val="00043753"/>
    <w:rsid w:val="00043D38"/>
    <w:rsid w:val="0004424D"/>
    <w:rsid w:val="0004454E"/>
    <w:rsid w:val="000447B1"/>
    <w:rsid w:val="00045205"/>
    <w:rsid w:val="00045A13"/>
    <w:rsid w:val="0004610C"/>
    <w:rsid w:val="00046137"/>
    <w:rsid w:val="000502E0"/>
    <w:rsid w:val="00051128"/>
    <w:rsid w:val="000513BE"/>
    <w:rsid w:val="0005280A"/>
    <w:rsid w:val="00053652"/>
    <w:rsid w:val="00053F35"/>
    <w:rsid w:val="000549C7"/>
    <w:rsid w:val="000554DF"/>
    <w:rsid w:val="000557FA"/>
    <w:rsid w:val="000575F7"/>
    <w:rsid w:val="00060EC2"/>
    <w:rsid w:val="00062DCD"/>
    <w:rsid w:val="00064098"/>
    <w:rsid w:val="000643DA"/>
    <w:rsid w:val="00064B9B"/>
    <w:rsid w:val="00064CB1"/>
    <w:rsid w:val="00064DE9"/>
    <w:rsid w:val="000655FE"/>
    <w:rsid w:val="000678E2"/>
    <w:rsid w:val="000719CB"/>
    <w:rsid w:val="00072084"/>
    <w:rsid w:val="000721B1"/>
    <w:rsid w:val="00073CB3"/>
    <w:rsid w:val="000742F1"/>
    <w:rsid w:val="00075093"/>
    <w:rsid w:val="0007527F"/>
    <w:rsid w:val="0007643B"/>
    <w:rsid w:val="0007648E"/>
    <w:rsid w:val="0007665A"/>
    <w:rsid w:val="00076BF6"/>
    <w:rsid w:val="0007770E"/>
    <w:rsid w:val="000779A4"/>
    <w:rsid w:val="000779D7"/>
    <w:rsid w:val="0008030D"/>
    <w:rsid w:val="00080B9A"/>
    <w:rsid w:val="00083AC4"/>
    <w:rsid w:val="00085E8A"/>
    <w:rsid w:val="000861A4"/>
    <w:rsid w:val="000873BB"/>
    <w:rsid w:val="00090BCC"/>
    <w:rsid w:val="000932F4"/>
    <w:rsid w:val="000942B7"/>
    <w:rsid w:val="0009519A"/>
    <w:rsid w:val="0009567B"/>
    <w:rsid w:val="00097CAE"/>
    <w:rsid w:val="000A00DD"/>
    <w:rsid w:val="000A0178"/>
    <w:rsid w:val="000A0B78"/>
    <w:rsid w:val="000A1233"/>
    <w:rsid w:val="000A13AB"/>
    <w:rsid w:val="000A140D"/>
    <w:rsid w:val="000A1FDA"/>
    <w:rsid w:val="000A2237"/>
    <w:rsid w:val="000A2F6E"/>
    <w:rsid w:val="000A445A"/>
    <w:rsid w:val="000A52E0"/>
    <w:rsid w:val="000A7382"/>
    <w:rsid w:val="000A7DA2"/>
    <w:rsid w:val="000B011A"/>
    <w:rsid w:val="000B05D4"/>
    <w:rsid w:val="000B061B"/>
    <w:rsid w:val="000B1390"/>
    <w:rsid w:val="000B21E7"/>
    <w:rsid w:val="000B23B2"/>
    <w:rsid w:val="000B377A"/>
    <w:rsid w:val="000B4A1F"/>
    <w:rsid w:val="000B4CDB"/>
    <w:rsid w:val="000B5208"/>
    <w:rsid w:val="000B59FD"/>
    <w:rsid w:val="000B6A35"/>
    <w:rsid w:val="000B756D"/>
    <w:rsid w:val="000B75F8"/>
    <w:rsid w:val="000C148E"/>
    <w:rsid w:val="000C1A1B"/>
    <w:rsid w:val="000C23CF"/>
    <w:rsid w:val="000C6568"/>
    <w:rsid w:val="000C677E"/>
    <w:rsid w:val="000C67D0"/>
    <w:rsid w:val="000C79AA"/>
    <w:rsid w:val="000D287E"/>
    <w:rsid w:val="000E3E8F"/>
    <w:rsid w:val="000E417A"/>
    <w:rsid w:val="000E5CD0"/>
    <w:rsid w:val="000E5FEB"/>
    <w:rsid w:val="000E7EA0"/>
    <w:rsid w:val="000E7F93"/>
    <w:rsid w:val="000F05AF"/>
    <w:rsid w:val="000F0775"/>
    <w:rsid w:val="000F0F58"/>
    <w:rsid w:val="000F3097"/>
    <w:rsid w:val="000F3A3D"/>
    <w:rsid w:val="000F3DFA"/>
    <w:rsid w:val="000F45C0"/>
    <w:rsid w:val="000F532D"/>
    <w:rsid w:val="000F7324"/>
    <w:rsid w:val="001005F6"/>
    <w:rsid w:val="00100A9B"/>
    <w:rsid w:val="00100F20"/>
    <w:rsid w:val="00102B7B"/>
    <w:rsid w:val="001043AB"/>
    <w:rsid w:val="00104EAE"/>
    <w:rsid w:val="001056E5"/>
    <w:rsid w:val="00106E9D"/>
    <w:rsid w:val="001072ED"/>
    <w:rsid w:val="00107D8D"/>
    <w:rsid w:val="0011116E"/>
    <w:rsid w:val="0011167B"/>
    <w:rsid w:val="0011183D"/>
    <w:rsid w:val="0011232B"/>
    <w:rsid w:val="00113EA0"/>
    <w:rsid w:val="00115604"/>
    <w:rsid w:val="00116CA3"/>
    <w:rsid w:val="00117D17"/>
    <w:rsid w:val="00120E54"/>
    <w:rsid w:val="00121578"/>
    <w:rsid w:val="00121CA4"/>
    <w:rsid w:val="00122990"/>
    <w:rsid w:val="00123C14"/>
    <w:rsid w:val="001253CF"/>
    <w:rsid w:val="00125BA9"/>
    <w:rsid w:val="00127356"/>
    <w:rsid w:val="001275C2"/>
    <w:rsid w:val="00127AA0"/>
    <w:rsid w:val="0013044E"/>
    <w:rsid w:val="001315CE"/>
    <w:rsid w:val="00131805"/>
    <w:rsid w:val="00131C47"/>
    <w:rsid w:val="00131EDA"/>
    <w:rsid w:val="00131FA6"/>
    <w:rsid w:val="00132BDC"/>
    <w:rsid w:val="00133B34"/>
    <w:rsid w:val="0013546E"/>
    <w:rsid w:val="00135AD7"/>
    <w:rsid w:val="00136469"/>
    <w:rsid w:val="00137621"/>
    <w:rsid w:val="001378ED"/>
    <w:rsid w:val="00140B6D"/>
    <w:rsid w:val="0014189B"/>
    <w:rsid w:val="00142634"/>
    <w:rsid w:val="00142CD3"/>
    <w:rsid w:val="00143544"/>
    <w:rsid w:val="00143C82"/>
    <w:rsid w:val="0014424F"/>
    <w:rsid w:val="00145BBD"/>
    <w:rsid w:val="00146E43"/>
    <w:rsid w:val="001470F3"/>
    <w:rsid w:val="001500B0"/>
    <w:rsid w:val="001500C0"/>
    <w:rsid w:val="001514D1"/>
    <w:rsid w:val="00152104"/>
    <w:rsid w:val="00154B45"/>
    <w:rsid w:val="00155054"/>
    <w:rsid w:val="00155EAC"/>
    <w:rsid w:val="001566CD"/>
    <w:rsid w:val="00160576"/>
    <w:rsid w:val="00160F1E"/>
    <w:rsid w:val="001618EF"/>
    <w:rsid w:val="00161DE0"/>
    <w:rsid w:val="0016234F"/>
    <w:rsid w:val="00162470"/>
    <w:rsid w:val="0016282C"/>
    <w:rsid w:val="00163BD4"/>
    <w:rsid w:val="00164229"/>
    <w:rsid w:val="0016499C"/>
    <w:rsid w:val="00164C32"/>
    <w:rsid w:val="00165A92"/>
    <w:rsid w:val="001668CE"/>
    <w:rsid w:val="00170578"/>
    <w:rsid w:val="001707A2"/>
    <w:rsid w:val="00173ECD"/>
    <w:rsid w:val="001752B0"/>
    <w:rsid w:val="001757A0"/>
    <w:rsid w:val="00175A62"/>
    <w:rsid w:val="00175F7C"/>
    <w:rsid w:val="00176D04"/>
    <w:rsid w:val="00180B77"/>
    <w:rsid w:val="00180F33"/>
    <w:rsid w:val="001827BF"/>
    <w:rsid w:val="00183C44"/>
    <w:rsid w:val="00184638"/>
    <w:rsid w:val="00185B3A"/>
    <w:rsid w:val="00186307"/>
    <w:rsid w:val="0018664A"/>
    <w:rsid w:val="001908D5"/>
    <w:rsid w:val="00191643"/>
    <w:rsid w:val="00191C54"/>
    <w:rsid w:val="00191E9E"/>
    <w:rsid w:val="001924C0"/>
    <w:rsid w:val="00193C42"/>
    <w:rsid w:val="00193D8E"/>
    <w:rsid w:val="001941D2"/>
    <w:rsid w:val="00196121"/>
    <w:rsid w:val="0019748D"/>
    <w:rsid w:val="001978EB"/>
    <w:rsid w:val="00197B64"/>
    <w:rsid w:val="001A0378"/>
    <w:rsid w:val="001A1058"/>
    <w:rsid w:val="001A2455"/>
    <w:rsid w:val="001A3832"/>
    <w:rsid w:val="001A4476"/>
    <w:rsid w:val="001A4726"/>
    <w:rsid w:val="001A61B3"/>
    <w:rsid w:val="001A6A00"/>
    <w:rsid w:val="001A71E5"/>
    <w:rsid w:val="001A783D"/>
    <w:rsid w:val="001A7C7B"/>
    <w:rsid w:val="001A7DA7"/>
    <w:rsid w:val="001B0CFC"/>
    <w:rsid w:val="001B0E99"/>
    <w:rsid w:val="001B1243"/>
    <w:rsid w:val="001B3894"/>
    <w:rsid w:val="001B4F84"/>
    <w:rsid w:val="001B53B9"/>
    <w:rsid w:val="001B5D7A"/>
    <w:rsid w:val="001B61E6"/>
    <w:rsid w:val="001B6B61"/>
    <w:rsid w:val="001B6DEE"/>
    <w:rsid w:val="001B7C23"/>
    <w:rsid w:val="001C11DF"/>
    <w:rsid w:val="001C1BC5"/>
    <w:rsid w:val="001C30E7"/>
    <w:rsid w:val="001C3122"/>
    <w:rsid w:val="001C4637"/>
    <w:rsid w:val="001C4731"/>
    <w:rsid w:val="001C5CB2"/>
    <w:rsid w:val="001C68DB"/>
    <w:rsid w:val="001C69DC"/>
    <w:rsid w:val="001C7664"/>
    <w:rsid w:val="001D050D"/>
    <w:rsid w:val="001D0912"/>
    <w:rsid w:val="001D12B5"/>
    <w:rsid w:val="001D350F"/>
    <w:rsid w:val="001D4C05"/>
    <w:rsid w:val="001D4EA0"/>
    <w:rsid w:val="001D5BD7"/>
    <w:rsid w:val="001D65F3"/>
    <w:rsid w:val="001D6633"/>
    <w:rsid w:val="001D6A7D"/>
    <w:rsid w:val="001D709B"/>
    <w:rsid w:val="001E0AD3"/>
    <w:rsid w:val="001E0C4F"/>
    <w:rsid w:val="001E0F3E"/>
    <w:rsid w:val="001E1439"/>
    <w:rsid w:val="001E153F"/>
    <w:rsid w:val="001E2727"/>
    <w:rsid w:val="001E2D86"/>
    <w:rsid w:val="001E3070"/>
    <w:rsid w:val="001E3B53"/>
    <w:rsid w:val="001E4697"/>
    <w:rsid w:val="001E4B3C"/>
    <w:rsid w:val="001E7125"/>
    <w:rsid w:val="001E7CEB"/>
    <w:rsid w:val="001F388A"/>
    <w:rsid w:val="001F4E8F"/>
    <w:rsid w:val="001F58FF"/>
    <w:rsid w:val="001F601E"/>
    <w:rsid w:val="001F65D6"/>
    <w:rsid w:val="001F6783"/>
    <w:rsid w:val="001F6895"/>
    <w:rsid w:val="001F7BC7"/>
    <w:rsid w:val="001F7C9C"/>
    <w:rsid w:val="002010C9"/>
    <w:rsid w:val="00201AE3"/>
    <w:rsid w:val="00205B3E"/>
    <w:rsid w:val="00206DF5"/>
    <w:rsid w:val="0020751E"/>
    <w:rsid w:val="0021007C"/>
    <w:rsid w:val="002101A9"/>
    <w:rsid w:val="00210E04"/>
    <w:rsid w:val="00211430"/>
    <w:rsid w:val="002116D9"/>
    <w:rsid w:val="00211E77"/>
    <w:rsid w:val="0021357D"/>
    <w:rsid w:val="002138B1"/>
    <w:rsid w:val="0021390B"/>
    <w:rsid w:val="0021418C"/>
    <w:rsid w:val="00215D1A"/>
    <w:rsid w:val="00216321"/>
    <w:rsid w:val="002174FC"/>
    <w:rsid w:val="00217732"/>
    <w:rsid w:val="00217BDA"/>
    <w:rsid w:val="002223C7"/>
    <w:rsid w:val="00223269"/>
    <w:rsid w:val="0022391C"/>
    <w:rsid w:val="00224E17"/>
    <w:rsid w:val="0022622E"/>
    <w:rsid w:val="00226409"/>
    <w:rsid w:val="0022712C"/>
    <w:rsid w:val="00231BEA"/>
    <w:rsid w:val="00232379"/>
    <w:rsid w:val="00232E12"/>
    <w:rsid w:val="00234B02"/>
    <w:rsid w:val="002350B2"/>
    <w:rsid w:val="0023514C"/>
    <w:rsid w:val="002354B3"/>
    <w:rsid w:val="00235A5A"/>
    <w:rsid w:val="00236620"/>
    <w:rsid w:val="0023720A"/>
    <w:rsid w:val="002377A3"/>
    <w:rsid w:val="0024028C"/>
    <w:rsid w:val="00240F1B"/>
    <w:rsid w:val="002417E5"/>
    <w:rsid w:val="00242440"/>
    <w:rsid w:val="002430C7"/>
    <w:rsid w:val="00243803"/>
    <w:rsid w:val="00246C33"/>
    <w:rsid w:val="002477BF"/>
    <w:rsid w:val="00247A5C"/>
    <w:rsid w:val="0025007B"/>
    <w:rsid w:val="00250393"/>
    <w:rsid w:val="00250E18"/>
    <w:rsid w:val="00252397"/>
    <w:rsid w:val="00252575"/>
    <w:rsid w:val="00252B26"/>
    <w:rsid w:val="00253D32"/>
    <w:rsid w:val="00254A10"/>
    <w:rsid w:val="00254BD7"/>
    <w:rsid w:val="00254E62"/>
    <w:rsid w:val="00255567"/>
    <w:rsid w:val="00255646"/>
    <w:rsid w:val="00256635"/>
    <w:rsid w:val="00256884"/>
    <w:rsid w:val="00257F6F"/>
    <w:rsid w:val="0026040A"/>
    <w:rsid w:val="00262888"/>
    <w:rsid w:val="00263DA9"/>
    <w:rsid w:val="00264BD1"/>
    <w:rsid w:val="00265064"/>
    <w:rsid w:val="002669BE"/>
    <w:rsid w:val="002678EC"/>
    <w:rsid w:val="00267A36"/>
    <w:rsid w:val="00270BAA"/>
    <w:rsid w:val="00270DD5"/>
    <w:rsid w:val="002717D3"/>
    <w:rsid w:val="0027184F"/>
    <w:rsid w:val="00271E49"/>
    <w:rsid w:val="00271E82"/>
    <w:rsid w:val="00271F07"/>
    <w:rsid w:val="00271FF1"/>
    <w:rsid w:val="002723F6"/>
    <w:rsid w:val="00272F88"/>
    <w:rsid w:val="00273087"/>
    <w:rsid w:val="00274686"/>
    <w:rsid w:val="00275BFD"/>
    <w:rsid w:val="00275CF7"/>
    <w:rsid w:val="002766DA"/>
    <w:rsid w:val="0027741C"/>
    <w:rsid w:val="00280596"/>
    <w:rsid w:val="00280EA6"/>
    <w:rsid w:val="00281FA6"/>
    <w:rsid w:val="002838EA"/>
    <w:rsid w:val="00283F2E"/>
    <w:rsid w:val="00284EAC"/>
    <w:rsid w:val="002851D7"/>
    <w:rsid w:val="00285307"/>
    <w:rsid w:val="00285505"/>
    <w:rsid w:val="00285C86"/>
    <w:rsid w:val="00286240"/>
    <w:rsid w:val="0028640F"/>
    <w:rsid w:val="00286BDC"/>
    <w:rsid w:val="002874E3"/>
    <w:rsid w:val="00287B3F"/>
    <w:rsid w:val="00287C46"/>
    <w:rsid w:val="00287CDF"/>
    <w:rsid w:val="00290286"/>
    <w:rsid w:val="00290965"/>
    <w:rsid w:val="00290D06"/>
    <w:rsid w:val="00291FE0"/>
    <w:rsid w:val="00292199"/>
    <w:rsid w:val="0029391F"/>
    <w:rsid w:val="00293E7F"/>
    <w:rsid w:val="00293F80"/>
    <w:rsid w:val="002941F0"/>
    <w:rsid w:val="00294DA6"/>
    <w:rsid w:val="002959AB"/>
    <w:rsid w:val="00296406"/>
    <w:rsid w:val="00297B68"/>
    <w:rsid w:val="002A0489"/>
    <w:rsid w:val="002A0651"/>
    <w:rsid w:val="002A0C69"/>
    <w:rsid w:val="002A24D1"/>
    <w:rsid w:val="002A2923"/>
    <w:rsid w:val="002A2CE0"/>
    <w:rsid w:val="002A3060"/>
    <w:rsid w:val="002A3DDA"/>
    <w:rsid w:val="002A5063"/>
    <w:rsid w:val="002A5571"/>
    <w:rsid w:val="002A5764"/>
    <w:rsid w:val="002A5B11"/>
    <w:rsid w:val="002A6E55"/>
    <w:rsid w:val="002A71B4"/>
    <w:rsid w:val="002B2457"/>
    <w:rsid w:val="002B2618"/>
    <w:rsid w:val="002B27AE"/>
    <w:rsid w:val="002B37A4"/>
    <w:rsid w:val="002B37AB"/>
    <w:rsid w:val="002B3BEE"/>
    <w:rsid w:val="002B4B70"/>
    <w:rsid w:val="002B5BCA"/>
    <w:rsid w:val="002B6424"/>
    <w:rsid w:val="002C0AAA"/>
    <w:rsid w:val="002C1F19"/>
    <w:rsid w:val="002C2607"/>
    <w:rsid w:val="002C36CC"/>
    <w:rsid w:val="002C412E"/>
    <w:rsid w:val="002C5334"/>
    <w:rsid w:val="002D0217"/>
    <w:rsid w:val="002D1647"/>
    <w:rsid w:val="002D182C"/>
    <w:rsid w:val="002D30B7"/>
    <w:rsid w:val="002D39C3"/>
    <w:rsid w:val="002D3F7E"/>
    <w:rsid w:val="002D4B46"/>
    <w:rsid w:val="002D5145"/>
    <w:rsid w:val="002D5EF8"/>
    <w:rsid w:val="002E2BE8"/>
    <w:rsid w:val="002E2DE2"/>
    <w:rsid w:val="002E378D"/>
    <w:rsid w:val="002E46D2"/>
    <w:rsid w:val="002E504B"/>
    <w:rsid w:val="002E50CB"/>
    <w:rsid w:val="002E6EDD"/>
    <w:rsid w:val="002F051A"/>
    <w:rsid w:val="002F05D4"/>
    <w:rsid w:val="002F0BA7"/>
    <w:rsid w:val="002F12AF"/>
    <w:rsid w:val="002F3844"/>
    <w:rsid w:val="002F4470"/>
    <w:rsid w:val="002F4C4F"/>
    <w:rsid w:val="002F4E86"/>
    <w:rsid w:val="002F596A"/>
    <w:rsid w:val="002F7C0B"/>
    <w:rsid w:val="0030120C"/>
    <w:rsid w:val="00302299"/>
    <w:rsid w:val="0030268E"/>
    <w:rsid w:val="0030299B"/>
    <w:rsid w:val="003029BD"/>
    <w:rsid w:val="00302A8A"/>
    <w:rsid w:val="00302B73"/>
    <w:rsid w:val="00304D22"/>
    <w:rsid w:val="0030523D"/>
    <w:rsid w:val="00307562"/>
    <w:rsid w:val="003101F6"/>
    <w:rsid w:val="00310683"/>
    <w:rsid w:val="0031163D"/>
    <w:rsid w:val="003128D5"/>
    <w:rsid w:val="00314E0E"/>
    <w:rsid w:val="00315C9F"/>
    <w:rsid w:val="00315D85"/>
    <w:rsid w:val="003174CE"/>
    <w:rsid w:val="00317D9D"/>
    <w:rsid w:val="0032134B"/>
    <w:rsid w:val="00322C3C"/>
    <w:rsid w:val="0032353E"/>
    <w:rsid w:val="003244C4"/>
    <w:rsid w:val="00324634"/>
    <w:rsid w:val="00325736"/>
    <w:rsid w:val="00325888"/>
    <w:rsid w:val="00326938"/>
    <w:rsid w:val="00326D7B"/>
    <w:rsid w:val="0032795F"/>
    <w:rsid w:val="003304B4"/>
    <w:rsid w:val="0033202D"/>
    <w:rsid w:val="00333989"/>
    <w:rsid w:val="00333C3F"/>
    <w:rsid w:val="00333F21"/>
    <w:rsid w:val="003364C0"/>
    <w:rsid w:val="003378AB"/>
    <w:rsid w:val="00340B94"/>
    <w:rsid w:val="00340CF3"/>
    <w:rsid w:val="003410E4"/>
    <w:rsid w:val="00343100"/>
    <w:rsid w:val="003443C3"/>
    <w:rsid w:val="003443F3"/>
    <w:rsid w:val="003453E4"/>
    <w:rsid w:val="00345DD4"/>
    <w:rsid w:val="0034614B"/>
    <w:rsid w:val="00347FB5"/>
    <w:rsid w:val="00350421"/>
    <w:rsid w:val="003530A8"/>
    <w:rsid w:val="0035326F"/>
    <w:rsid w:val="00353CAE"/>
    <w:rsid w:val="003551E0"/>
    <w:rsid w:val="00355C17"/>
    <w:rsid w:val="00355C67"/>
    <w:rsid w:val="00356223"/>
    <w:rsid w:val="00360822"/>
    <w:rsid w:val="00360F36"/>
    <w:rsid w:val="00361E54"/>
    <w:rsid w:val="00362117"/>
    <w:rsid w:val="00363949"/>
    <w:rsid w:val="003654E6"/>
    <w:rsid w:val="003655AD"/>
    <w:rsid w:val="003659DC"/>
    <w:rsid w:val="00365A91"/>
    <w:rsid w:val="003667DA"/>
    <w:rsid w:val="00366E64"/>
    <w:rsid w:val="00370376"/>
    <w:rsid w:val="003715C8"/>
    <w:rsid w:val="00372193"/>
    <w:rsid w:val="00372925"/>
    <w:rsid w:val="00372CDF"/>
    <w:rsid w:val="00374DB4"/>
    <w:rsid w:val="003772CE"/>
    <w:rsid w:val="00377C66"/>
    <w:rsid w:val="00381C39"/>
    <w:rsid w:val="003835CF"/>
    <w:rsid w:val="00385877"/>
    <w:rsid w:val="003861C0"/>
    <w:rsid w:val="003869B1"/>
    <w:rsid w:val="0038752C"/>
    <w:rsid w:val="0039008C"/>
    <w:rsid w:val="0039008E"/>
    <w:rsid w:val="0039059C"/>
    <w:rsid w:val="00391B80"/>
    <w:rsid w:val="00391F87"/>
    <w:rsid w:val="0039237E"/>
    <w:rsid w:val="00393266"/>
    <w:rsid w:val="00393DB0"/>
    <w:rsid w:val="003965B7"/>
    <w:rsid w:val="00397412"/>
    <w:rsid w:val="0039745E"/>
    <w:rsid w:val="003A029F"/>
    <w:rsid w:val="003A0ADB"/>
    <w:rsid w:val="003A1EFA"/>
    <w:rsid w:val="003A2959"/>
    <w:rsid w:val="003A2D8A"/>
    <w:rsid w:val="003A32A6"/>
    <w:rsid w:val="003A6DD6"/>
    <w:rsid w:val="003A739A"/>
    <w:rsid w:val="003A7D2D"/>
    <w:rsid w:val="003A7FC4"/>
    <w:rsid w:val="003B09F9"/>
    <w:rsid w:val="003B18FF"/>
    <w:rsid w:val="003B1DF9"/>
    <w:rsid w:val="003B1EEE"/>
    <w:rsid w:val="003B213C"/>
    <w:rsid w:val="003B26C7"/>
    <w:rsid w:val="003B2759"/>
    <w:rsid w:val="003B3469"/>
    <w:rsid w:val="003B5E81"/>
    <w:rsid w:val="003B5F2D"/>
    <w:rsid w:val="003B640F"/>
    <w:rsid w:val="003B68B7"/>
    <w:rsid w:val="003C17F1"/>
    <w:rsid w:val="003C2820"/>
    <w:rsid w:val="003C297B"/>
    <w:rsid w:val="003C38CB"/>
    <w:rsid w:val="003C3CE7"/>
    <w:rsid w:val="003C49BB"/>
    <w:rsid w:val="003C5881"/>
    <w:rsid w:val="003C5A66"/>
    <w:rsid w:val="003C5B38"/>
    <w:rsid w:val="003C6544"/>
    <w:rsid w:val="003C6AF6"/>
    <w:rsid w:val="003C770F"/>
    <w:rsid w:val="003D01AF"/>
    <w:rsid w:val="003D0453"/>
    <w:rsid w:val="003D09A0"/>
    <w:rsid w:val="003D2EF0"/>
    <w:rsid w:val="003D392B"/>
    <w:rsid w:val="003D47C5"/>
    <w:rsid w:val="003D5C6D"/>
    <w:rsid w:val="003D6C63"/>
    <w:rsid w:val="003D70A8"/>
    <w:rsid w:val="003D7193"/>
    <w:rsid w:val="003D7DA2"/>
    <w:rsid w:val="003E02E4"/>
    <w:rsid w:val="003E0BC6"/>
    <w:rsid w:val="003E0FFF"/>
    <w:rsid w:val="003E1526"/>
    <w:rsid w:val="003E307D"/>
    <w:rsid w:val="003E45C2"/>
    <w:rsid w:val="003E4F9A"/>
    <w:rsid w:val="003E526B"/>
    <w:rsid w:val="003E62DB"/>
    <w:rsid w:val="003E6530"/>
    <w:rsid w:val="003E69AE"/>
    <w:rsid w:val="003E6BC8"/>
    <w:rsid w:val="003E6E0C"/>
    <w:rsid w:val="003E7C73"/>
    <w:rsid w:val="003F265A"/>
    <w:rsid w:val="003F2F20"/>
    <w:rsid w:val="003F7123"/>
    <w:rsid w:val="00400130"/>
    <w:rsid w:val="00400BE3"/>
    <w:rsid w:val="0040196D"/>
    <w:rsid w:val="00401D9E"/>
    <w:rsid w:val="004029BC"/>
    <w:rsid w:val="004029E3"/>
    <w:rsid w:val="00402BE1"/>
    <w:rsid w:val="00403284"/>
    <w:rsid w:val="00403F5A"/>
    <w:rsid w:val="0040431E"/>
    <w:rsid w:val="00406369"/>
    <w:rsid w:val="00406424"/>
    <w:rsid w:val="00411CEC"/>
    <w:rsid w:val="004121CF"/>
    <w:rsid w:val="00413E44"/>
    <w:rsid w:val="00414D00"/>
    <w:rsid w:val="00415741"/>
    <w:rsid w:val="00416A08"/>
    <w:rsid w:val="00416BAB"/>
    <w:rsid w:val="00416E4A"/>
    <w:rsid w:val="0042175A"/>
    <w:rsid w:val="004220BB"/>
    <w:rsid w:val="0042322F"/>
    <w:rsid w:val="00423F55"/>
    <w:rsid w:val="00423F70"/>
    <w:rsid w:val="00424753"/>
    <w:rsid w:val="004267E2"/>
    <w:rsid w:val="004276AB"/>
    <w:rsid w:val="00427CAC"/>
    <w:rsid w:val="004304E1"/>
    <w:rsid w:val="00431E1E"/>
    <w:rsid w:val="004337D0"/>
    <w:rsid w:val="0043388B"/>
    <w:rsid w:val="00433C14"/>
    <w:rsid w:val="0043472F"/>
    <w:rsid w:val="00434C95"/>
    <w:rsid w:val="00436177"/>
    <w:rsid w:val="00436987"/>
    <w:rsid w:val="00437EAF"/>
    <w:rsid w:val="0044083C"/>
    <w:rsid w:val="004411C1"/>
    <w:rsid w:val="0044198A"/>
    <w:rsid w:val="0044394E"/>
    <w:rsid w:val="00444630"/>
    <w:rsid w:val="00444763"/>
    <w:rsid w:val="004447A1"/>
    <w:rsid w:val="00444A1F"/>
    <w:rsid w:val="00444F2C"/>
    <w:rsid w:val="00445965"/>
    <w:rsid w:val="00446448"/>
    <w:rsid w:val="00446A29"/>
    <w:rsid w:val="0044728C"/>
    <w:rsid w:val="00450597"/>
    <w:rsid w:val="00450C7E"/>
    <w:rsid w:val="004524E2"/>
    <w:rsid w:val="00452C9C"/>
    <w:rsid w:val="00453D69"/>
    <w:rsid w:val="0045431E"/>
    <w:rsid w:val="004552CB"/>
    <w:rsid w:val="004552E2"/>
    <w:rsid w:val="00460511"/>
    <w:rsid w:val="00460992"/>
    <w:rsid w:val="004637F9"/>
    <w:rsid w:val="00465553"/>
    <w:rsid w:val="00466933"/>
    <w:rsid w:val="00466BCF"/>
    <w:rsid w:val="00466DA1"/>
    <w:rsid w:val="004671D4"/>
    <w:rsid w:val="00467F6B"/>
    <w:rsid w:val="00470813"/>
    <w:rsid w:val="004709C2"/>
    <w:rsid w:val="00471440"/>
    <w:rsid w:val="00472617"/>
    <w:rsid w:val="0047337F"/>
    <w:rsid w:val="004742F9"/>
    <w:rsid w:val="004753B5"/>
    <w:rsid w:val="00475BA3"/>
    <w:rsid w:val="00475E6F"/>
    <w:rsid w:val="0047664C"/>
    <w:rsid w:val="004769B0"/>
    <w:rsid w:val="0047701C"/>
    <w:rsid w:val="0047734B"/>
    <w:rsid w:val="00477DE6"/>
    <w:rsid w:val="0048031A"/>
    <w:rsid w:val="004804AD"/>
    <w:rsid w:val="00480646"/>
    <w:rsid w:val="004807E0"/>
    <w:rsid w:val="00480BA4"/>
    <w:rsid w:val="004826DF"/>
    <w:rsid w:val="00484768"/>
    <w:rsid w:val="004853C6"/>
    <w:rsid w:val="00485B5A"/>
    <w:rsid w:val="004868FD"/>
    <w:rsid w:val="00487156"/>
    <w:rsid w:val="00487195"/>
    <w:rsid w:val="0048782A"/>
    <w:rsid w:val="004912D9"/>
    <w:rsid w:val="004926A0"/>
    <w:rsid w:val="00492A70"/>
    <w:rsid w:val="00494589"/>
    <w:rsid w:val="004974DF"/>
    <w:rsid w:val="004A0A9F"/>
    <w:rsid w:val="004A1351"/>
    <w:rsid w:val="004A237E"/>
    <w:rsid w:val="004A681F"/>
    <w:rsid w:val="004A6835"/>
    <w:rsid w:val="004A69FC"/>
    <w:rsid w:val="004A6BDE"/>
    <w:rsid w:val="004A6F06"/>
    <w:rsid w:val="004A7025"/>
    <w:rsid w:val="004A7B8F"/>
    <w:rsid w:val="004B11FC"/>
    <w:rsid w:val="004B164A"/>
    <w:rsid w:val="004B1D7E"/>
    <w:rsid w:val="004B3DA4"/>
    <w:rsid w:val="004B411A"/>
    <w:rsid w:val="004B4ADF"/>
    <w:rsid w:val="004B626F"/>
    <w:rsid w:val="004B6762"/>
    <w:rsid w:val="004B78DE"/>
    <w:rsid w:val="004C1B2E"/>
    <w:rsid w:val="004C260F"/>
    <w:rsid w:val="004C26AE"/>
    <w:rsid w:val="004C2F34"/>
    <w:rsid w:val="004C488E"/>
    <w:rsid w:val="004C5149"/>
    <w:rsid w:val="004C597A"/>
    <w:rsid w:val="004C663C"/>
    <w:rsid w:val="004C6BFC"/>
    <w:rsid w:val="004C78EF"/>
    <w:rsid w:val="004C7F9E"/>
    <w:rsid w:val="004D3F94"/>
    <w:rsid w:val="004D4396"/>
    <w:rsid w:val="004D5CC7"/>
    <w:rsid w:val="004D669A"/>
    <w:rsid w:val="004D74AC"/>
    <w:rsid w:val="004D752A"/>
    <w:rsid w:val="004E19A8"/>
    <w:rsid w:val="004E1FFA"/>
    <w:rsid w:val="004E2765"/>
    <w:rsid w:val="004E2DD5"/>
    <w:rsid w:val="004E2F21"/>
    <w:rsid w:val="004E30B4"/>
    <w:rsid w:val="004E324C"/>
    <w:rsid w:val="004E3B7B"/>
    <w:rsid w:val="004E4592"/>
    <w:rsid w:val="004E47C4"/>
    <w:rsid w:val="004E48C1"/>
    <w:rsid w:val="004E5BA3"/>
    <w:rsid w:val="004E606A"/>
    <w:rsid w:val="004E636D"/>
    <w:rsid w:val="004E6B2D"/>
    <w:rsid w:val="004F0477"/>
    <w:rsid w:val="004F056F"/>
    <w:rsid w:val="004F1137"/>
    <w:rsid w:val="004F3768"/>
    <w:rsid w:val="004F3BA8"/>
    <w:rsid w:val="004F3E73"/>
    <w:rsid w:val="004F4640"/>
    <w:rsid w:val="004F50EC"/>
    <w:rsid w:val="004F5FEF"/>
    <w:rsid w:val="004F7AA0"/>
    <w:rsid w:val="0050018A"/>
    <w:rsid w:val="00500750"/>
    <w:rsid w:val="00503172"/>
    <w:rsid w:val="005044AB"/>
    <w:rsid w:val="005046AE"/>
    <w:rsid w:val="00506463"/>
    <w:rsid w:val="00506B73"/>
    <w:rsid w:val="00506DEF"/>
    <w:rsid w:val="00507C10"/>
    <w:rsid w:val="00510276"/>
    <w:rsid w:val="005104F6"/>
    <w:rsid w:val="00510C0A"/>
    <w:rsid w:val="00510CF8"/>
    <w:rsid w:val="00510EAC"/>
    <w:rsid w:val="0051168B"/>
    <w:rsid w:val="00512629"/>
    <w:rsid w:val="00513E1C"/>
    <w:rsid w:val="00513FA2"/>
    <w:rsid w:val="00514C16"/>
    <w:rsid w:val="005153ED"/>
    <w:rsid w:val="005154D0"/>
    <w:rsid w:val="00515A2F"/>
    <w:rsid w:val="00515A77"/>
    <w:rsid w:val="00515D69"/>
    <w:rsid w:val="0051616A"/>
    <w:rsid w:val="005163A0"/>
    <w:rsid w:val="00517CCF"/>
    <w:rsid w:val="0052080A"/>
    <w:rsid w:val="00521012"/>
    <w:rsid w:val="0052180D"/>
    <w:rsid w:val="0052291A"/>
    <w:rsid w:val="00522DC2"/>
    <w:rsid w:val="00523951"/>
    <w:rsid w:val="00526615"/>
    <w:rsid w:val="005269F6"/>
    <w:rsid w:val="00526BA1"/>
    <w:rsid w:val="00531AC5"/>
    <w:rsid w:val="00532DFD"/>
    <w:rsid w:val="005338A2"/>
    <w:rsid w:val="005343E7"/>
    <w:rsid w:val="005351C6"/>
    <w:rsid w:val="00536BC7"/>
    <w:rsid w:val="00537058"/>
    <w:rsid w:val="0053790C"/>
    <w:rsid w:val="00537B40"/>
    <w:rsid w:val="00537B92"/>
    <w:rsid w:val="0054078A"/>
    <w:rsid w:val="0054112C"/>
    <w:rsid w:val="005411B6"/>
    <w:rsid w:val="005419F8"/>
    <w:rsid w:val="00542243"/>
    <w:rsid w:val="00542D67"/>
    <w:rsid w:val="005430CB"/>
    <w:rsid w:val="005431AB"/>
    <w:rsid w:val="00543BFA"/>
    <w:rsid w:val="00543E24"/>
    <w:rsid w:val="00544116"/>
    <w:rsid w:val="0054423A"/>
    <w:rsid w:val="005445B7"/>
    <w:rsid w:val="00544A4D"/>
    <w:rsid w:val="00545033"/>
    <w:rsid w:val="005461A5"/>
    <w:rsid w:val="005467E0"/>
    <w:rsid w:val="005477BD"/>
    <w:rsid w:val="00547973"/>
    <w:rsid w:val="005507BB"/>
    <w:rsid w:val="00550A43"/>
    <w:rsid w:val="00551905"/>
    <w:rsid w:val="005519CF"/>
    <w:rsid w:val="00551C5A"/>
    <w:rsid w:val="00552A43"/>
    <w:rsid w:val="00552EBE"/>
    <w:rsid w:val="0055497C"/>
    <w:rsid w:val="00554DEA"/>
    <w:rsid w:val="00557846"/>
    <w:rsid w:val="00557F77"/>
    <w:rsid w:val="00557FE0"/>
    <w:rsid w:val="0056117C"/>
    <w:rsid w:val="005615CD"/>
    <w:rsid w:val="00564FEA"/>
    <w:rsid w:val="005665B3"/>
    <w:rsid w:val="00566ECB"/>
    <w:rsid w:val="00567307"/>
    <w:rsid w:val="00567AAD"/>
    <w:rsid w:val="00567DDD"/>
    <w:rsid w:val="00570DA3"/>
    <w:rsid w:val="00572109"/>
    <w:rsid w:val="005726DD"/>
    <w:rsid w:val="00572DA1"/>
    <w:rsid w:val="00573F76"/>
    <w:rsid w:val="005741D8"/>
    <w:rsid w:val="00574C52"/>
    <w:rsid w:val="00575464"/>
    <w:rsid w:val="005768AE"/>
    <w:rsid w:val="00580713"/>
    <w:rsid w:val="00580ABA"/>
    <w:rsid w:val="00581F81"/>
    <w:rsid w:val="0058360A"/>
    <w:rsid w:val="005837E4"/>
    <w:rsid w:val="00584223"/>
    <w:rsid w:val="005850AE"/>
    <w:rsid w:val="005874BC"/>
    <w:rsid w:val="00587628"/>
    <w:rsid w:val="00587E3D"/>
    <w:rsid w:val="00587EB9"/>
    <w:rsid w:val="00590B0F"/>
    <w:rsid w:val="005911C1"/>
    <w:rsid w:val="0059179A"/>
    <w:rsid w:val="00591EE6"/>
    <w:rsid w:val="0059270E"/>
    <w:rsid w:val="00592FB9"/>
    <w:rsid w:val="005938CA"/>
    <w:rsid w:val="005941C0"/>
    <w:rsid w:val="0059453E"/>
    <w:rsid w:val="00596641"/>
    <w:rsid w:val="00597761"/>
    <w:rsid w:val="005A09D4"/>
    <w:rsid w:val="005A0CA7"/>
    <w:rsid w:val="005A14ED"/>
    <w:rsid w:val="005A2B9D"/>
    <w:rsid w:val="005A437D"/>
    <w:rsid w:val="005A4B39"/>
    <w:rsid w:val="005A6387"/>
    <w:rsid w:val="005A6F77"/>
    <w:rsid w:val="005B0471"/>
    <w:rsid w:val="005B04F2"/>
    <w:rsid w:val="005B0570"/>
    <w:rsid w:val="005B09AA"/>
    <w:rsid w:val="005B0AF5"/>
    <w:rsid w:val="005B14B5"/>
    <w:rsid w:val="005B2421"/>
    <w:rsid w:val="005B3404"/>
    <w:rsid w:val="005B3DF2"/>
    <w:rsid w:val="005B3F8E"/>
    <w:rsid w:val="005B47D3"/>
    <w:rsid w:val="005B4FFB"/>
    <w:rsid w:val="005B5DE5"/>
    <w:rsid w:val="005B60D0"/>
    <w:rsid w:val="005C09F9"/>
    <w:rsid w:val="005C17BB"/>
    <w:rsid w:val="005C1EC6"/>
    <w:rsid w:val="005C3096"/>
    <w:rsid w:val="005C31B1"/>
    <w:rsid w:val="005C3229"/>
    <w:rsid w:val="005C5710"/>
    <w:rsid w:val="005C5A4D"/>
    <w:rsid w:val="005C6A05"/>
    <w:rsid w:val="005D0B7A"/>
    <w:rsid w:val="005D1196"/>
    <w:rsid w:val="005D1749"/>
    <w:rsid w:val="005D2CD8"/>
    <w:rsid w:val="005D3F5C"/>
    <w:rsid w:val="005D41B3"/>
    <w:rsid w:val="005D43B2"/>
    <w:rsid w:val="005D49F6"/>
    <w:rsid w:val="005D5B50"/>
    <w:rsid w:val="005D5BD8"/>
    <w:rsid w:val="005D5E5D"/>
    <w:rsid w:val="005D607C"/>
    <w:rsid w:val="005D6F7F"/>
    <w:rsid w:val="005D71B6"/>
    <w:rsid w:val="005E0B3C"/>
    <w:rsid w:val="005E2411"/>
    <w:rsid w:val="005E370C"/>
    <w:rsid w:val="005E37D9"/>
    <w:rsid w:val="005E43F1"/>
    <w:rsid w:val="005E46F9"/>
    <w:rsid w:val="005E4BA7"/>
    <w:rsid w:val="005E50CF"/>
    <w:rsid w:val="005E5204"/>
    <w:rsid w:val="005E6469"/>
    <w:rsid w:val="005E6554"/>
    <w:rsid w:val="005E6FBB"/>
    <w:rsid w:val="005E7A32"/>
    <w:rsid w:val="005F0799"/>
    <w:rsid w:val="005F091F"/>
    <w:rsid w:val="005F2063"/>
    <w:rsid w:val="005F20E1"/>
    <w:rsid w:val="005F2223"/>
    <w:rsid w:val="005F3DFD"/>
    <w:rsid w:val="005F4195"/>
    <w:rsid w:val="005F692F"/>
    <w:rsid w:val="005F6DE8"/>
    <w:rsid w:val="005F74C5"/>
    <w:rsid w:val="005F7F6D"/>
    <w:rsid w:val="00600154"/>
    <w:rsid w:val="0060033D"/>
    <w:rsid w:val="00600A1B"/>
    <w:rsid w:val="00600C29"/>
    <w:rsid w:val="006029A4"/>
    <w:rsid w:val="00604310"/>
    <w:rsid w:val="00604C4E"/>
    <w:rsid w:val="006052EA"/>
    <w:rsid w:val="00605C3F"/>
    <w:rsid w:val="00606A26"/>
    <w:rsid w:val="00606BD6"/>
    <w:rsid w:val="00610315"/>
    <w:rsid w:val="0061129D"/>
    <w:rsid w:val="00612EDE"/>
    <w:rsid w:val="00613A50"/>
    <w:rsid w:val="00613CEE"/>
    <w:rsid w:val="0061496D"/>
    <w:rsid w:val="00615AB2"/>
    <w:rsid w:val="00616191"/>
    <w:rsid w:val="00617564"/>
    <w:rsid w:val="0061776A"/>
    <w:rsid w:val="006200E0"/>
    <w:rsid w:val="006209BC"/>
    <w:rsid w:val="00621653"/>
    <w:rsid w:val="0062341D"/>
    <w:rsid w:val="00623EBD"/>
    <w:rsid w:val="00623F66"/>
    <w:rsid w:val="0062723B"/>
    <w:rsid w:val="00627CF9"/>
    <w:rsid w:val="00630F00"/>
    <w:rsid w:val="006310D5"/>
    <w:rsid w:val="00632030"/>
    <w:rsid w:val="00633494"/>
    <w:rsid w:val="00634842"/>
    <w:rsid w:val="00634ABF"/>
    <w:rsid w:val="006355BE"/>
    <w:rsid w:val="006355EA"/>
    <w:rsid w:val="0063563E"/>
    <w:rsid w:val="00636858"/>
    <w:rsid w:val="0063776C"/>
    <w:rsid w:val="006400E0"/>
    <w:rsid w:val="00641425"/>
    <w:rsid w:val="00642484"/>
    <w:rsid w:val="00643E8F"/>
    <w:rsid w:val="0064475B"/>
    <w:rsid w:val="00644B3D"/>
    <w:rsid w:val="00644FD3"/>
    <w:rsid w:val="00645B54"/>
    <w:rsid w:val="00645DA6"/>
    <w:rsid w:val="00647A7F"/>
    <w:rsid w:val="00647F1B"/>
    <w:rsid w:val="00650D30"/>
    <w:rsid w:val="006524AC"/>
    <w:rsid w:val="00652D10"/>
    <w:rsid w:val="0065320C"/>
    <w:rsid w:val="0065338D"/>
    <w:rsid w:val="00654C89"/>
    <w:rsid w:val="0065535A"/>
    <w:rsid w:val="006569F7"/>
    <w:rsid w:val="00656D54"/>
    <w:rsid w:val="0065780D"/>
    <w:rsid w:val="006602F3"/>
    <w:rsid w:val="00662349"/>
    <w:rsid w:val="00663D50"/>
    <w:rsid w:val="00665E58"/>
    <w:rsid w:val="00666127"/>
    <w:rsid w:val="00666863"/>
    <w:rsid w:val="0066698E"/>
    <w:rsid w:val="00667473"/>
    <w:rsid w:val="00671399"/>
    <w:rsid w:val="00672F05"/>
    <w:rsid w:val="006733A1"/>
    <w:rsid w:val="00673A01"/>
    <w:rsid w:val="00674491"/>
    <w:rsid w:val="00675615"/>
    <w:rsid w:val="006779B5"/>
    <w:rsid w:val="00677BD8"/>
    <w:rsid w:val="00677F95"/>
    <w:rsid w:val="006804B1"/>
    <w:rsid w:val="00680BAD"/>
    <w:rsid w:val="006811D0"/>
    <w:rsid w:val="006816F2"/>
    <w:rsid w:val="0068254A"/>
    <w:rsid w:val="0068406D"/>
    <w:rsid w:val="006844CD"/>
    <w:rsid w:val="0068454D"/>
    <w:rsid w:val="00685722"/>
    <w:rsid w:val="006868BC"/>
    <w:rsid w:val="00690540"/>
    <w:rsid w:val="00690EC2"/>
    <w:rsid w:val="00691B63"/>
    <w:rsid w:val="00691B91"/>
    <w:rsid w:val="0069242B"/>
    <w:rsid w:val="006927A5"/>
    <w:rsid w:val="006930BE"/>
    <w:rsid w:val="0069383E"/>
    <w:rsid w:val="00693C83"/>
    <w:rsid w:val="00694224"/>
    <w:rsid w:val="0069446A"/>
    <w:rsid w:val="00695440"/>
    <w:rsid w:val="00697097"/>
    <w:rsid w:val="0069774F"/>
    <w:rsid w:val="006978F9"/>
    <w:rsid w:val="006A11CE"/>
    <w:rsid w:val="006A3696"/>
    <w:rsid w:val="006A49E8"/>
    <w:rsid w:val="006A4ADF"/>
    <w:rsid w:val="006A4E38"/>
    <w:rsid w:val="006B08C6"/>
    <w:rsid w:val="006B0940"/>
    <w:rsid w:val="006B1581"/>
    <w:rsid w:val="006B33D0"/>
    <w:rsid w:val="006B3DC4"/>
    <w:rsid w:val="006B6131"/>
    <w:rsid w:val="006B69B9"/>
    <w:rsid w:val="006B7DA7"/>
    <w:rsid w:val="006B7E38"/>
    <w:rsid w:val="006C03FC"/>
    <w:rsid w:val="006C0EAA"/>
    <w:rsid w:val="006C14E0"/>
    <w:rsid w:val="006C1B16"/>
    <w:rsid w:val="006C1C72"/>
    <w:rsid w:val="006C1E54"/>
    <w:rsid w:val="006C2455"/>
    <w:rsid w:val="006C4BD7"/>
    <w:rsid w:val="006C4E11"/>
    <w:rsid w:val="006C5220"/>
    <w:rsid w:val="006C667E"/>
    <w:rsid w:val="006C67A1"/>
    <w:rsid w:val="006C7CC6"/>
    <w:rsid w:val="006C7FD6"/>
    <w:rsid w:val="006D0CB1"/>
    <w:rsid w:val="006D1A2A"/>
    <w:rsid w:val="006D4976"/>
    <w:rsid w:val="006D4C1D"/>
    <w:rsid w:val="006D56A9"/>
    <w:rsid w:val="006D5BDA"/>
    <w:rsid w:val="006D5EF6"/>
    <w:rsid w:val="006D6CC0"/>
    <w:rsid w:val="006D76FB"/>
    <w:rsid w:val="006E0A30"/>
    <w:rsid w:val="006E0EFE"/>
    <w:rsid w:val="006E1DD8"/>
    <w:rsid w:val="006E2E32"/>
    <w:rsid w:val="006E3275"/>
    <w:rsid w:val="006E49C7"/>
    <w:rsid w:val="006E4C24"/>
    <w:rsid w:val="006E58A8"/>
    <w:rsid w:val="006E640B"/>
    <w:rsid w:val="006E6B4D"/>
    <w:rsid w:val="006F0038"/>
    <w:rsid w:val="006F10F5"/>
    <w:rsid w:val="006F1181"/>
    <w:rsid w:val="006F1816"/>
    <w:rsid w:val="006F26E6"/>
    <w:rsid w:val="006F2DC2"/>
    <w:rsid w:val="006F3621"/>
    <w:rsid w:val="006F48DA"/>
    <w:rsid w:val="006F53B4"/>
    <w:rsid w:val="006F5C95"/>
    <w:rsid w:val="006F697D"/>
    <w:rsid w:val="006F70A0"/>
    <w:rsid w:val="006F7247"/>
    <w:rsid w:val="006F7305"/>
    <w:rsid w:val="0070042D"/>
    <w:rsid w:val="00701826"/>
    <w:rsid w:val="00701899"/>
    <w:rsid w:val="00702DCA"/>
    <w:rsid w:val="0070352D"/>
    <w:rsid w:val="0070367E"/>
    <w:rsid w:val="00703FAD"/>
    <w:rsid w:val="00704564"/>
    <w:rsid w:val="00705B13"/>
    <w:rsid w:val="0070627F"/>
    <w:rsid w:val="007062B3"/>
    <w:rsid w:val="00706F34"/>
    <w:rsid w:val="0071036B"/>
    <w:rsid w:val="0071072E"/>
    <w:rsid w:val="00710849"/>
    <w:rsid w:val="00710D62"/>
    <w:rsid w:val="00711105"/>
    <w:rsid w:val="00711779"/>
    <w:rsid w:val="0071178B"/>
    <w:rsid w:val="00712445"/>
    <w:rsid w:val="00712F5B"/>
    <w:rsid w:val="00713D4C"/>
    <w:rsid w:val="0071419E"/>
    <w:rsid w:val="0071481F"/>
    <w:rsid w:val="00714C47"/>
    <w:rsid w:val="007151F6"/>
    <w:rsid w:val="00715267"/>
    <w:rsid w:val="00716DEF"/>
    <w:rsid w:val="0071793E"/>
    <w:rsid w:val="00717C4A"/>
    <w:rsid w:val="00720919"/>
    <w:rsid w:val="00720B49"/>
    <w:rsid w:val="0072113B"/>
    <w:rsid w:val="00721433"/>
    <w:rsid w:val="00721721"/>
    <w:rsid w:val="0072286E"/>
    <w:rsid w:val="0072389D"/>
    <w:rsid w:val="0072426B"/>
    <w:rsid w:val="00726DA9"/>
    <w:rsid w:val="00726E52"/>
    <w:rsid w:val="00726E7D"/>
    <w:rsid w:val="00726E88"/>
    <w:rsid w:val="00727BAB"/>
    <w:rsid w:val="00730B1E"/>
    <w:rsid w:val="00730F66"/>
    <w:rsid w:val="00732694"/>
    <w:rsid w:val="007340F8"/>
    <w:rsid w:val="00736715"/>
    <w:rsid w:val="00736EDD"/>
    <w:rsid w:val="00737E01"/>
    <w:rsid w:val="0074082F"/>
    <w:rsid w:val="00740CD2"/>
    <w:rsid w:val="00741A47"/>
    <w:rsid w:val="00742409"/>
    <w:rsid w:val="00742700"/>
    <w:rsid w:val="007428BF"/>
    <w:rsid w:val="007441C2"/>
    <w:rsid w:val="007457FE"/>
    <w:rsid w:val="00745BBD"/>
    <w:rsid w:val="007460C4"/>
    <w:rsid w:val="007462B1"/>
    <w:rsid w:val="00746D41"/>
    <w:rsid w:val="0075077D"/>
    <w:rsid w:val="00750D14"/>
    <w:rsid w:val="00751432"/>
    <w:rsid w:val="00752B80"/>
    <w:rsid w:val="00752FC0"/>
    <w:rsid w:val="00753554"/>
    <w:rsid w:val="00753AD4"/>
    <w:rsid w:val="0075457C"/>
    <w:rsid w:val="007559F6"/>
    <w:rsid w:val="0075633B"/>
    <w:rsid w:val="0075712B"/>
    <w:rsid w:val="0075780A"/>
    <w:rsid w:val="00757D97"/>
    <w:rsid w:val="007600F6"/>
    <w:rsid w:val="00760728"/>
    <w:rsid w:val="0076143F"/>
    <w:rsid w:val="0076167F"/>
    <w:rsid w:val="00761D46"/>
    <w:rsid w:val="00763C99"/>
    <w:rsid w:val="0076403C"/>
    <w:rsid w:val="0076444C"/>
    <w:rsid w:val="00764AC6"/>
    <w:rsid w:val="00767975"/>
    <w:rsid w:val="00770465"/>
    <w:rsid w:val="007718FD"/>
    <w:rsid w:val="007730C6"/>
    <w:rsid w:val="007730DE"/>
    <w:rsid w:val="00774118"/>
    <w:rsid w:val="00776784"/>
    <w:rsid w:val="00776F3C"/>
    <w:rsid w:val="00776F97"/>
    <w:rsid w:val="00777A58"/>
    <w:rsid w:val="00780955"/>
    <w:rsid w:val="00780A6B"/>
    <w:rsid w:val="007816C9"/>
    <w:rsid w:val="00783213"/>
    <w:rsid w:val="0078431B"/>
    <w:rsid w:val="007846A8"/>
    <w:rsid w:val="007848AA"/>
    <w:rsid w:val="00784CA8"/>
    <w:rsid w:val="0078575B"/>
    <w:rsid w:val="00785B4A"/>
    <w:rsid w:val="00785EDB"/>
    <w:rsid w:val="00786D1C"/>
    <w:rsid w:val="00787B5E"/>
    <w:rsid w:val="00787D84"/>
    <w:rsid w:val="00790ACB"/>
    <w:rsid w:val="00791F3A"/>
    <w:rsid w:val="00792601"/>
    <w:rsid w:val="00795588"/>
    <w:rsid w:val="007974DD"/>
    <w:rsid w:val="007A23F1"/>
    <w:rsid w:val="007A25F5"/>
    <w:rsid w:val="007A2C7F"/>
    <w:rsid w:val="007A2F22"/>
    <w:rsid w:val="007A3393"/>
    <w:rsid w:val="007A3BD8"/>
    <w:rsid w:val="007A4A67"/>
    <w:rsid w:val="007A6015"/>
    <w:rsid w:val="007A6135"/>
    <w:rsid w:val="007A6AA0"/>
    <w:rsid w:val="007A6B9E"/>
    <w:rsid w:val="007A6E2D"/>
    <w:rsid w:val="007B0713"/>
    <w:rsid w:val="007B07C5"/>
    <w:rsid w:val="007B0FFB"/>
    <w:rsid w:val="007B1764"/>
    <w:rsid w:val="007B6E5F"/>
    <w:rsid w:val="007B777B"/>
    <w:rsid w:val="007C01E1"/>
    <w:rsid w:val="007C03A9"/>
    <w:rsid w:val="007C064A"/>
    <w:rsid w:val="007C10A5"/>
    <w:rsid w:val="007C387D"/>
    <w:rsid w:val="007C3D83"/>
    <w:rsid w:val="007C3FA2"/>
    <w:rsid w:val="007C5333"/>
    <w:rsid w:val="007C53E0"/>
    <w:rsid w:val="007C5D92"/>
    <w:rsid w:val="007C620B"/>
    <w:rsid w:val="007C7527"/>
    <w:rsid w:val="007C7F81"/>
    <w:rsid w:val="007D1302"/>
    <w:rsid w:val="007D132F"/>
    <w:rsid w:val="007D1CDA"/>
    <w:rsid w:val="007D2CE1"/>
    <w:rsid w:val="007D4E66"/>
    <w:rsid w:val="007D650F"/>
    <w:rsid w:val="007D6D25"/>
    <w:rsid w:val="007D6EFB"/>
    <w:rsid w:val="007D756D"/>
    <w:rsid w:val="007D7B29"/>
    <w:rsid w:val="007E012B"/>
    <w:rsid w:val="007E0420"/>
    <w:rsid w:val="007E0F7A"/>
    <w:rsid w:val="007E1949"/>
    <w:rsid w:val="007E1AB3"/>
    <w:rsid w:val="007E255F"/>
    <w:rsid w:val="007E31FD"/>
    <w:rsid w:val="007E3A8A"/>
    <w:rsid w:val="007E4AE4"/>
    <w:rsid w:val="007E51E6"/>
    <w:rsid w:val="007E59DA"/>
    <w:rsid w:val="007E77EE"/>
    <w:rsid w:val="007F034A"/>
    <w:rsid w:val="007F05B4"/>
    <w:rsid w:val="007F24D0"/>
    <w:rsid w:val="007F3A82"/>
    <w:rsid w:val="007F3CE9"/>
    <w:rsid w:val="007F5806"/>
    <w:rsid w:val="007F5960"/>
    <w:rsid w:val="007F76A4"/>
    <w:rsid w:val="007F7785"/>
    <w:rsid w:val="00800397"/>
    <w:rsid w:val="0080079E"/>
    <w:rsid w:val="00801F20"/>
    <w:rsid w:val="00802058"/>
    <w:rsid w:val="00803491"/>
    <w:rsid w:val="008036CA"/>
    <w:rsid w:val="00803DF7"/>
    <w:rsid w:val="008045DE"/>
    <w:rsid w:val="008046CF"/>
    <w:rsid w:val="008054E0"/>
    <w:rsid w:val="008055CD"/>
    <w:rsid w:val="00805633"/>
    <w:rsid w:val="00806272"/>
    <w:rsid w:val="00806AD8"/>
    <w:rsid w:val="0081145C"/>
    <w:rsid w:val="00811D21"/>
    <w:rsid w:val="008131D6"/>
    <w:rsid w:val="00814F28"/>
    <w:rsid w:val="00815022"/>
    <w:rsid w:val="00815662"/>
    <w:rsid w:val="00816557"/>
    <w:rsid w:val="0082229E"/>
    <w:rsid w:val="00822486"/>
    <w:rsid w:val="008225F7"/>
    <w:rsid w:val="008242A3"/>
    <w:rsid w:val="008254B9"/>
    <w:rsid w:val="00825839"/>
    <w:rsid w:val="008259F9"/>
    <w:rsid w:val="00825D1B"/>
    <w:rsid w:val="00826E4B"/>
    <w:rsid w:val="0082771C"/>
    <w:rsid w:val="00827A98"/>
    <w:rsid w:val="008311C9"/>
    <w:rsid w:val="008314C0"/>
    <w:rsid w:val="0083223A"/>
    <w:rsid w:val="00840346"/>
    <w:rsid w:val="008408EF"/>
    <w:rsid w:val="0084091E"/>
    <w:rsid w:val="00842B9B"/>
    <w:rsid w:val="008434EE"/>
    <w:rsid w:val="00843984"/>
    <w:rsid w:val="00844665"/>
    <w:rsid w:val="00844855"/>
    <w:rsid w:val="00844CAF"/>
    <w:rsid w:val="00845E8E"/>
    <w:rsid w:val="008466B8"/>
    <w:rsid w:val="00846964"/>
    <w:rsid w:val="008470CA"/>
    <w:rsid w:val="00847296"/>
    <w:rsid w:val="00850E27"/>
    <w:rsid w:val="00851DF2"/>
    <w:rsid w:val="00852C41"/>
    <w:rsid w:val="008532C1"/>
    <w:rsid w:val="008537A6"/>
    <w:rsid w:val="00853F9A"/>
    <w:rsid w:val="00855358"/>
    <w:rsid w:val="0085558C"/>
    <w:rsid w:val="00855EB9"/>
    <w:rsid w:val="0085699A"/>
    <w:rsid w:val="00857AF2"/>
    <w:rsid w:val="00857DBD"/>
    <w:rsid w:val="00857F91"/>
    <w:rsid w:val="00860A78"/>
    <w:rsid w:val="00861E8C"/>
    <w:rsid w:val="00862187"/>
    <w:rsid w:val="00862196"/>
    <w:rsid w:val="008629BC"/>
    <w:rsid w:val="00862CBD"/>
    <w:rsid w:val="00862F76"/>
    <w:rsid w:val="00863C58"/>
    <w:rsid w:val="00864ED9"/>
    <w:rsid w:val="0086562E"/>
    <w:rsid w:val="0086575E"/>
    <w:rsid w:val="00866371"/>
    <w:rsid w:val="00866A65"/>
    <w:rsid w:val="00867119"/>
    <w:rsid w:val="008678A5"/>
    <w:rsid w:val="008679C5"/>
    <w:rsid w:val="00867E52"/>
    <w:rsid w:val="00867E68"/>
    <w:rsid w:val="00870B56"/>
    <w:rsid w:val="008720A3"/>
    <w:rsid w:val="008720E0"/>
    <w:rsid w:val="00873987"/>
    <w:rsid w:val="008753CD"/>
    <w:rsid w:val="00875758"/>
    <w:rsid w:val="008772F9"/>
    <w:rsid w:val="0087741F"/>
    <w:rsid w:val="00877A3F"/>
    <w:rsid w:val="00880972"/>
    <w:rsid w:val="00882123"/>
    <w:rsid w:val="00882239"/>
    <w:rsid w:val="008832EE"/>
    <w:rsid w:val="0088384A"/>
    <w:rsid w:val="00883EB9"/>
    <w:rsid w:val="00884BC3"/>
    <w:rsid w:val="00885800"/>
    <w:rsid w:val="00886450"/>
    <w:rsid w:val="00887E51"/>
    <w:rsid w:val="008901EC"/>
    <w:rsid w:val="00890D9F"/>
    <w:rsid w:val="008912A8"/>
    <w:rsid w:val="00892E05"/>
    <w:rsid w:val="00893794"/>
    <w:rsid w:val="008945E7"/>
    <w:rsid w:val="008950FD"/>
    <w:rsid w:val="00895421"/>
    <w:rsid w:val="008A04DC"/>
    <w:rsid w:val="008A09FD"/>
    <w:rsid w:val="008A0B3D"/>
    <w:rsid w:val="008A0E6D"/>
    <w:rsid w:val="008A1964"/>
    <w:rsid w:val="008A1BFC"/>
    <w:rsid w:val="008A1D1A"/>
    <w:rsid w:val="008A20C0"/>
    <w:rsid w:val="008A2184"/>
    <w:rsid w:val="008A3A44"/>
    <w:rsid w:val="008A402F"/>
    <w:rsid w:val="008A456B"/>
    <w:rsid w:val="008A54A5"/>
    <w:rsid w:val="008A6001"/>
    <w:rsid w:val="008A6453"/>
    <w:rsid w:val="008A66E4"/>
    <w:rsid w:val="008A7295"/>
    <w:rsid w:val="008A783C"/>
    <w:rsid w:val="008A78AA"/>
    <w:rsid w:val="008A79B7"/>
    <w:rsid w:val="008B0382"/>
    <w:rsid w:val="008B07AF"/>
    <w:rsid w:val="008B0F3B"/>
    <w:rsid w:val="008B1F84"/>
    <w:rsid w:val="008B2C1C"/>
    <w:rsid w:val="008B44BC"/>
    <w:rsid w:val="008B4994"/>
    <w:rsid w:val="008B70E9"/>
    <w:rsid w:val="008B75B2"/>
    <w:rsid w:val="008B7818"/>
    <w:rsid w:val="008C05AD"/>
    <w:rsid w:val="008C0DFF"/>
    <w:rsid w:val="008C1D8F"/>
    <w:rsid w:val="008C24E4"/>
    <w:rsid w:val="008C2D37"/>
    <w:rsid w:val="008C38C8"/>
    <w:rsid w:val="008C4B56"/>
    <w:rsid w:val="008C620E"/>
    <w:rsid w:val="008C7822"/>
    <w:rsid w:val="008D096A"/>
    <w:rsid w:val="008D0B4D"/>
    <w:rsid w:val="008D16D6"/>
    <w:rsid w:val="008D19B0"/>
    <w:rsid w:val="008D2EA8"/>
    <w:rsid w:val="008D35CE"/>
    <w:rsid w:val="008D3E49"/>
    <w:rsid w:val="008D3EBC"/>
    <w:rsid w:val="008D52CF"/>
    <w:rsid w:val="008D5B5C"/>
    <w:rsid w:val="008D5D59"/>
    <w:rsid w:val="008D5EE5"/>
    <w:rsid w:val="008D6888"/>
    <w:rsid w:val="008D78A4"/>
    <w:rsid w:val="008D7AF1"/>
    <w:rsid w:val="008D7F38"/>
    <w:rsid w:val="008D7FED"/>
    <w:rsid w:val="008E1436"/>
    <w:rsid w:val="008E3653"/>
    <w:rsid w:val="008E52CB"/>
    <w:rsid w:val="008E5B07"/>
    <w:rsid w:val="008E63BB"/>
    <w:rsid w:val="008E63ED"/>
    <w:rsid w:val="008E6F3A"/>
    <w:rsid w:val="008E7006"/>
    <w:rsid w:val="008F00A0"/>
    <w:rsid w:val="008F08F0"/>
    <w:rsid w:val="008F1041"/>
    <w:rsid w:val="008F10C6"/>
    <w:rsid w:val="008F29A2"/>
    <w:rsid w:val="008F3D5A"/>
    <w:rsid w:val="008F4923"/>
    <w:rsid w:val="008F5C9B"/>
    <w:rsid w:val="008F5E52"/>
    <w:rsid w:val="008F61AB"/>
    <w:rsid w:val="008F7901"/>
    <w:rsid w:val="0090098B"/>
    <w:rsid w:val="009011C6"/>
    <w:rsid w:val="00901806"/>
    <w:rsid w:val="00904A9A"/>
    <w:rsid w:val="00904D88"/>
    <w:rsid w:val="00905271"/>
    <w:rsid w:val="00906834"/>
    <w:rsid w:val="00906884"/>
    <w:rsid w:val="009072F8"/>
    <w:rsid w:val="00910141"/>
    <w:rsid w:val="00910673"/>
    <w:rsid w:val="00911E2B"/>
    <w:rsid w:val="0091243D"/>
    <w:rsid w:val="009128AA"/>
    <w:rsid w:val="00912C42"/>
    <w:rsid w:val="00913040"/>
    <w:rsid w:val="009135F1"/>
    <w:rsid w:val="0091375C"/>
    <w:rsid w:val="00915224"/>
    <w:rsid w:val="00915287"/>
    <w:rsid w:val="00915737"/>
    <w:rsid w:val="00915DAA"/>
    <w:rsid w:val="009161DB"/>
    <w:rsid w:val="0091622D"/>
    <w:rsid w:val="009176A3"/>
    <w:rsid w:val="0092030F"/>
    <w:rsid w:val="00920629"/>
    <w:rsid w:val="00920E96"/>
    <w:rsid w:val="00921332"/>
    <w:rsid w:val="009217D0"/>
    <w:rsid w:val="0092189E"/>
    <w:rsid w:val="009229FA"/>
    <w:rsid w:val="009234A9"/>
    <w:rsid w:val="0092508D"/>
    <w:rsid w:val="009267AD"/>
    <w:rsid w:val="00926F21"/>
    <w:rsid w:val="00927477"/>
    <w:rsid w:val="009275F7"/>
    <w:rsid w:val="00927850"/>
    <w:rsid w:val="00932374"/>
    <w:rsid w:val="00933335"/>
    <w:rsid w:val="00933BDA"/>
    <w:rsid w:val="00933FB6"/>
    <w:rsid w:val="0093465F"/>
    <w:rsid w:val="00934675"/>
    <w:rsid w:val="0093472A"/>
    <w:rsid w:val="0093550A"/>
    <w:rsid w:val="00935BB2"/>
    <w:rsid w:val="00935D5B"/>
    <w:rsid w:val="00935E88"/>
    <w:rsid w:val="009363A2"/>
    <w:rsid w:val="00936E12"/>
    <w:rsid w:val="009376B3"/>
    <w:rsid w:val="00937793"/>
    <w:rsid w:val="009407C2"/>
    <w:rsid w:val="00941A6D"/>
    <w:rsid w:val="00943F82"/>
    <w:rsid w:val="0094430A"/>
    <w:rsid w:val="00944CAD"/>
    <w:rsid w:val="00945A1E"/>
    <w:rsid w:val="00945D26"/>
    <w:rsid w:val="0094656C"/>
    <w:rsid w:val="0094685E"/>
    <w:rsid w:val="00947902"/>
    <w:rsid w:val="00947B12"/>
    <w:rsid w:val="00951953"/>
    <w:rsid w:val="0095274B"/>
    <w:rsid w:val="00953047"/>
    <w:rsid w:val="009541FB"/>
    <w:rsid w:val="0095432C"/>
    <w:rsid w:val="00954F7C"/>
    <w:rsid w:val="009551B8"/>
    <w:rsid w:val="00956583"/>
    <w:rsid w:val="009567DE"/>
    <w:rsid w:val="00956CBC"/>
    <w:rsid w:val="00957B76"/>
    <w:rsid w:val="009606C2"/>
    <w:rsid w:val="00960A67"/>
    <w:rsid w:val="00960AEA"/>
    <w:rsid w:val="0096180E"/>
    <w:rsid w:val="009624A4"/>
    <w:rsid w:val="009641D1"/>
    <w:rsid w:val="00964CC3"/>
    <w:rsid w:val="00965415"/>
    <w:rsid w:val="00966635"/>
    <w:rsid w:val="009666BB"/>
    <w:rsid w:val="00967A16"/>
    <w:rsid w:val="009701ED"/>
    <w:rsid w:val="00970289"/>
    <w:rsid w:val="00972255"/>
    <w:rsid w:val="00972D8D"/>
    <w:rsid w:val="00973338"/>
    <w:rsid w:val="009733A3"/>
    <w:rsid w:val="00973875"/>
    <w:rsid w:val="00973A2B"/>
    <w:rsid w:val="00974EFF"/>
    <w:rsid w:val="00981E19"/>
    <w:rsid w:val="009820D9"/>
    <w:rsid w:val="00982BD6"/>
    <w:rsid w:val="00982D4C"/>
    <w:rsid w:val="00984FCF"/>
    <w:rsid w:val="00985579"/>
    <w:rsid w:val="00985D48"/>
    <w:rsid w:val="00986854"/>
    <w:rsid w:val="00986D44"/>
    <w:rsid w:val="00986EF6"/>
    <w:rsid w:val="00987CAF"/>
    <w:rsid w:val="009907D4"/>
    <w:rsid w:val="00990BDE"/>
    <w:rsid w:val="00990E01"/>
    <w:rsid w:val="00992098"/>
    <w:rsid w:val="00992441"/>
    <w:rsid w:val="00992CAE"/>
    <w:rsid w:val="00993E08"/>
    <w:rsid w:val="009948CA"/>
    <w:rsid w:val="00994AC2"/>
    <w:rsid w:val="00994B75"/>
    <w:rsid w:val="00996320"/>
    <w:rsid w:val="0099647A"/>
    <w:rsid w:val="009964C7"/>
    <w:rsid w:val="009967EF"/>
    <w:rsid w:val="00996C93"/>
    <w:rsid w:val="0099772C"/>
    <w:rsid w:val="009A0A9F"/>
    <w:rsid w:val="009A107B"/>
    <w:rsid w:val="009A187A"/>
    <w:rsid w:val="009A1984"/>
    <w:rsid w:val="009A20F7"/>
    <w:rsid w:val="009A214F"/>
    <w:rsid w:val="009A22BC"/>
    <w:rsid w:val="009A2803"/>
    <w:rsid w:val="009A3D48"/>
    <w:rsid w:val="009A46AC"/>
    <w:rsid w:val="009A4899"/>
    <w:rsid w:val="009A513F"/>
    <w:rsid w:val="009A6D3E"/>
    <w:rsid w:val="009A778D"/>
    <w:rsid w:val="009B294D"/>
    <w:rsid w:val="009B2F5C"/>
    <w:rsid w:val="009B308E"/>
    <w:rsid w:val="009B3323"/>
    <w:rsid w:val="009B4408"/>
    <w:rsid w:val="009B4508"/>
    <w:rsid w:val="009B4794"/>
    <w:rsid w:val="009B4C0B"/>
    <w:rsid w:val="009B5382"/>
    <w:rsid w:val="009B5E9B"/>
    <w:rsid w:val="009B5EB4"/>
    <w:rsid w:val="009B62D2"/>
    <w:rsid w:val="009B73F5"/>
    <w:rsid w:val="009B7776"/>
    <w:rsid w:val="009C073A"/>
    <w:rsid w:val="009C087F"/>
    <w:rsid w:val="009C0B2B"/>
    <w:rsid w:val="009C13DD"/>
    <w:rsid w:val="009C234C"/>
    <w:rsid w:val="009C32EC"/>
    <w:rsid w:val="009C35AF"/>
    <w:rsid w:val="009C3D06"/>
    <w:rsid w:val="009C4096"/>
    <w:rsid w:val="009C591A"/>
    <w:rsid w:val="009C6380"/>
    <w:rsid w:val="009C79B9"/>
    <w:rsid w:val="009C7A15"/>
    <w:rsid w:val="009D04B5"/>
    <w:rsid w:val="009D0C4B"/>
    <w:rsid w:val="009D1538"/>
    <w:rsid w:val="009D20D8"/>
    <w:rsid w:val="009D2103"/>
    <w:rsid w:val="009D3339"/>
    <w:rsid w:val="009D4438"/>
    <w:rsid w:val="009D46A1"/>
    <w:rsid w:val="009D5082"/>
    <w:rsid w:val="009D5E00"/>
    <w:rsid w:val="009D5F81"/>
    <w:rsid w:val="009D6EDB"/>
    <w:rsid w:val="009D7197"/>
    <w:rsid w:val="009D7D67"/>
    <w:rsid w:val="009D7EFA"/>
    <w:rsid w:val="009E0371"/>
    <w:rsid w:val="009E0BC2"/>
    <w:rsid w:val="009E0F1F"/>
    <w:rsid w:val="009E1B18"/>
    <w:rsid w:val="009E1F1C"/>
    <w:rsid w:val="009E2ABC"/>
    <w:rsid w:val="009E3676"/>
    <w:rsid w:val="009E4ED5"/>
    <w:rsid w:val="009E6E29"/>
    <w:rsid w:val="009E71EF"/>
    <w:rsid w:val="009E7B0B"/>
    <w:rsid w:val="009F0D9E"/>
    <w:rsid w:val="009F1634"/>
    <w:rsid w:val="009F2AE5"/>
    <w:rsid w:val="009F316F"/>
    <w:rsid w:val="009F33D2"/>
    <w:rsid w:val="009F3B3E"/>
    <w:rsid w:val="009F44E8"/>
    <w:rsid w:val="009F4518"/>
    <w:rsid w:val="009F4C18"/>
    <w:rsid w:val="00A00888"/>
    <w:rsid w:val="00A00BA5"/>
    <w:rsid w:val="00A01B17"/>
    <w:rsid w:val="00A01D83"/>
    <w:rsid w:val="00A02209"/>
    <w:rsid w:val="00A023D3"/>
    <w:rsid w:val="00A02D17"/>
    <w:rsid w:val="00A038F6"/>
    <w:rsid w:val="00A03A65"/>
    <w:rsid w:val="00A05133"/>
    <w:rsid w:val="00A05912"/>
    <w:rsid w:val="00A05BAA"/>
    <w:rsid w:val="00A0727A"/>
    <w:rsid w:val="00A07615"/>
    <w:rsid w:val="00A07901"/>
    <w:rsid w:val="00A10C41"/>
    <w:rsid w:val="00A11989"/>
    <w:rsid w:val="00A12516"/>
    <w:rsid w:val="00A130ED"/>
    <w:rsid w:val="00A139F6"/>
    <w:rsid w:val="00A13F75"/>
    <w:rsid w:val="00A14990"/>
    <w:rsid w:val="00A15CBE"/>
    <w:rsid w:val="00A161C2"/>
    <w:rsid w:val="00A1642F"/>
    <w:rsid w:val="00A17FAB"/>
    <w:rsid w:val="00A2019A"/>
    <w:rsid w:val="00A21F92"/>
    <w:rsid w:val="00A2209B"/>
    <w:rsid w:val="00A22412"/>
    <w:rsid w:val="00A23750"/>
    <w:rsid w:val="00A242AC"/>
    <w:rsid w:val="00A2460D"/>
    <w:rsid w:val="00A2469B"/>
    <w:rsid w:val="00A25522"/>
    <w:rsid w:val="00A25CA4"/>
    <w:rsid w:val="00A25E62"/>
    <w:rsid w:val="00A26FF6"/>
    <w:rsid w:val="00A27469"/>
    <w:rsid w:val="00A30186"/>
    <w:rsid w:val="00A31B39"/>
    <w:rsid w:val="00A320AB"/>
    <w:rsid w:val="00A32C7F"/>
    <w:rsid w:val="00A33CD4"/>
    <w:rsid w:val="00A33FDC"/>
    <w:rsid w:val="00A35548"/>
    <w:rsid w:val="00A36991"/>
    <w:rsid w:val="00A375D8"/>
    <w:rsid w:val="00A41AD0"/>
    <w:rsid w:val="00A41AF0"/>
    <w:rsid w:val="00A42231"/>
    <w:rsid w:val="00A42CEA"/>
    <w:rsid w:val="00A43F9C"/>
    <w:rsid w:val="00A44C43"/>
    <w:rsid w:val="00A45083"/>
    <w:rsid w:val="00A45A4D"/>
    <w:rsid w:val="00A46036"/>
    <w:rsid w:val="00A46235"/>
    <w:rsid w:val="00A468AD"/>
    <w:rsid w:val="00A47203"/>
    <w:rsid w:val="00A47445"/>
    <w:rsid w:val="00A50683"/>
    <w:rsid w:val="00A508C3"/>
    <w:rsid w:val="00A51EC4"/>
    <w:rsid w:val="00A52C26"/>
    <w:rsid w:val="00A52F36"/>
    <w:rsid w:val="00A5347D"/>
    <w:rsid w:val="00A545AA"/>
    <w:rsid w:val="00A54898"/>
    <w:rsid w:val="00A55842"/>
    <w:rsid w:val="00A559C2"/>
    <w:rsid w:val="00A56017"/>
    <w:rsid w:val="00A56DF9"/>
    <w:rsid w:val="00A57144"/>
    <w:rsid w:val="00A5714B"/>
    <w:rsid w:val="00A57421"/>
    <w:rsid w:val="00A57FAD"/>
    <w:rsid w:val="00A617C9"/>
    <w:rsid w:val="00A61F7F"/>
    <w:rsid w:val="00A62005"/>
    <w:rsid w:val="00A636D8"/>
    <w:rsid w:val="00A6375A"/>
    <w:rsid w:val="00A6511C"/>
    <w:rsid w:val="00A65317"/>
    <w:rsid w:val="00A65958"/>
    <w:rsid w:val="00A66E44"/>
    <w:rsid w:val="00A67CB2"/>
    <w:rsid w:val="00A72197"/>
    <w:rsid w:val="00A72760"/>
    <w:rsid w:val="00A73326"/>
    <w:rsid w:val="00A758BD"/>
    <w:rsid w:val="00A75ABF"/>
    <w:rsid w:val="00A76F62"/>
    <w:rsid w:val="00A800B4"/>
    <w:rsid w:val="00A80174"/>
    <w:rsid w:val="00A81596"/>
    <w:rsid w:val="00A8208C"/>
    <w:rsid w:val="00A832C7"/>
    <w:rsid w:val="00A837FF"/>
    <w:rsid w:val="00A84474"/>
    <w:rsid w:val="00A84504"/>
    <w:rsid w:val="00A84F6E"/>
    <w:rsid w:val="00A852D2"/>
    <w:rsid w:val="00A86EC0"/>
    <w:rsid w:val="00A90258"/>
    <w:rsid w:val="00A90AF7"/>
    <w:rsid w:val="00A915AF"/>
    <w:rsid w:val="00A9220E"/>
    <w:rsid w:val="00A9542B"/>
    <w:rsid w:val="00A959A4"/>
    <w:rsid w:val="00A965C7"/>
    <w:rsid w:val="00A9729A"/>
    <w:rsid w:val="00AA26CC"/>
    <w:rsid w:val="00AA2B40"/>
    <w:rsid w:val="00AA42A8"/>
    <w:rsid w:val="00AA4466"/>
    <w:rsid w:val="00AA57CD"/>
    <w:rsid w:val="00AB074E"/>
    <w:rsid w:val="00AB08D3"/>
    <w:rsid w:val="00AB2589"/>
    <w:rsid w:val="00AB2F1F"/>
    <w:rsid w:val="00AB3909"/>
    <w:rsid w:val="00AB3CDF"/>
    <w:rsid w:val="00AB4109"/>
    <w:rsid w:val="00AB412A"/>
    <w:rsid w:val="00AB4DE8"/>
    <w:rsid w:val="00AB505A"/>
    <w:rsid w:val="00AB5CC4"/>
    <w:rsid w:val="00AB5EAA"/>
    <w:rsid w:val="00AB5ECF"/>
    <w:rsid w:val="00AB7CC8"/>
    <w:rsid w:val="00AC0DBD"/>
    <w:rsid w:val="00AC1390"/>
    <w:rsid w:val="00AC4B7E"/>
    <w:rsid w:val="00AC683A"/>
    <w:rsid w:val="00AC699D"/>
    <w:rsid w:val="00AD1DB6"/>
    <w:rsid w:val="00AD1E03"/>
    <w:rsid w:val="00AD1FE8"/>
    <w:rsid w:val="00AD310A"/>
    <w:rsid w:val="00AD4274"/>
    <w:rsid w:val="00AD566F"/>
    <w:rsid w:val="00AD5FFE"/>
    <w:rsid w:val="00AD6083"/>
    <w:rsid w:val="00AD6854"/>
    <w:rsid w:val="00AD6FD4"/>
    <w:rsid w:val="00AD75AB"/>
    <w:rsid w:val="00AE0915"/>
    <w:rsid w:val="00AE0B33"/>
    <w:rsid w:val="00AE1622"/>
    <w:rsid w:val="00AE1A21"/>
    <w:rsid w:val="00AE243C"/>
    <w:rsid w:val="00AE36A7"/>
    <w:rsid w:val="00AE43CB"/>
    <w:rsid w:val="00AE49AD"/>
    <w:rsid w:val="00AE57D4"/>
    <w:rsid w:val="00AE6D5B"/>
    <w:rsid w:val="00AE6F35"/>
    <w:rsid w:val="00AE7C4A"/>
    <w:rsid w:val="00AF0FA0"/>
    <w:rsid w:val="00AF1DBE"/>
    <w:rsid w:val="00AF211A"/>
    <w:rsid w:val="00AF2FE0"/>
    <w:rsid w:val="00AF3C4D"/>
    <w:rsid w:val="00AF3EC4"/>
    <w:rsid w:val="00AF434E"/>
    <w:rsid w:val="00AF6148"/>
    <w:rsid w:val="00AF66DC"/>
    <w:rsid w:val="00AF6B2B"/>
    <w:rsid w:val="00AF74D4"/>
    <w:rsid w:val="00AF7902"/>
    <w:rsid w:val="00B0074F"/>
    <w:rsid w:val="00B0119B"/>
    <w:rsid w:val="00B01C89"/>
    <w:rsid w:val="00B01D3D"/>
    <w:rsid w:val="00B02852"/>
    <w:rsid w:val="00B03A99"/>
    <w:rsid w:val="00B03DE7"/>
    <w:rsid w:val="00B045FE"/>
    <w:rsid w:val="00B04D96"/>
    <w:rsid w:val="00B05490"/>
    <w:rsid w:val="00B05790"/>
    <w:rsid w:val="00B05F6E"/>
    <w:rsid w:val="00B06BDB"/>
    <w:rsid w:val="00B07A32"/>
    <w:rsid w:val="00B07C66"/>
    <w:rsid w:val="00B07D43"/>
    <w:rsid w:val="00B07E2F"/>
    <w:rsid w:val="00B10270"/>
    <w:rsid w:val="00B1300C"/>
    <w:rsid w:val="00B13495"/>
    <w:rsid w:val="00B14C5D"/>
    <w:rsid w:val="00B162CE"/>
    <w:rsid w:val="00B16B50"/>
    <w:rsid w:val="00B17330"/>
    <w:rsid w:val="00B17F83"/>
    <w:rsid w:val="00B20971"/>
    <w:rsid w:val="00B21C35"/>
    <w:rsid w:val="00B21D20"/>
    <w:rsid w:val="00B21E72"/>
    <w:rsid w:val="00B22B0F"/>
    <w:rsid w:val="00B22E80"/>
    <w:rsid w:val="00B23298"/>
    <w:rsid w:val="00B2339F"/>
    <w:rsid w:val="00B2410C"/>
    <w:rsid w:val="00B24ED2"/>
    <w:rsid w:val="00B27049"/>
    <w:rsid w:val="00B31CD0"/>
    <w:rsid w:val="00B324B7"/>
    <w:rsid w:val="00B32A91"/>
    <w:rsid w:val="00B32ACE"/>
    <w:rsid w:val="00B33A6C"/>
    <w:rsid w:val="00B34B01"/>
    <w:rsid w:val="00B35454"/>
    <w:rsid w:val="00B3787B"/>
    <w:rsid w:val="00B40EF2"/>
    <w:rsid w:val="00B4158A"/>
    <w:rsid w:val="00B41EB5"/>
    <w:rsid w:val="00B4239D"/>
    <w:rsid w:val="00B43E96"/>
    <w:rsid w:val="00B44121"/>
    <w:rsid w:val="00B44C88"/>
    <w:rsid w:val="00B4505E"/>
    <w:rsid w:val="00B4540F"/>
    <w:rsid w:val="00B45D4D"/>
    <w:rsid w:val="00B470F6"/>
    <w:rsid w:val="00B50124"/>
    <w:rsid w:val="00B5135B"/>
    <w:rsid w:val="00B5235B"/>
    <w:rsid w:val="00B52D26"/>
    <w:rsid w:val="00B53384"/>
    <w:rsid w:val="00B54F65"/>
    <w:rsid w:val="00B562D5"/>
    <w:rsid w:val="00B56A2B"/>
    <w:rsid w:val="00B61310"/>
    <w:rsid w:val="00B63ADA"/>
    <w:rsid w:val="00B642C8"/>
    <w:rsid w:val="00B64EE6"/>
    <w:rsid w:val="00B64F5B"/>
    <w:rsid w:val="00B65286"/>
    <w:rsid w:val="00B66B7B"/>
    <w:rsid w:val="00B66D64"/>
    <w:rsid w:val="00B71578"/>
    <w:rsid w:val="00B72D2A"/>
    <w:rsid w:val="00B7424E"/>
    <w:rsid w:val="00B744EA"/>
    <w:rsid w:val="00B74D86"/>
    <w:rsid w:val="00B7531D"/>
    <w:rsid w:val="00B75CB0"/>
    <w:rsid w:val="00B77691"/>
    <w:rsid w:val="00B802CF"/>
    <w:rsid w:val="00B812EC"/>
    <w:rsid w:val="00B81718"/>
    <w:rsid w:val="00B81A05"/>
    <w:rsid w:val="00B85DF4"/>
    <w:rsid w:val="00B86066"/>
    <w:rsid w:val="00B86BA3"/>
    <w:rsid w:val="00B870F5"/>
    <w:rsid w:val="00B878CA"/>
    <w:rsid w:val="00B87917"/>
    <w:rsid w:val="00B90625"/>
    <w:rsid w:val="00B90C51"/>
    <w:rsid w:val="00B91942"/>
    <w:rsid w:val="00B9348D"/>
    <w:rsid w:val="00B93AC9"/>
    <w:rsid w:val="00B93E09"/>
    <w:rsid w:val="00B953A6"/>
    <w:rsid w:val="00B9553E"/>
    <w:rsid w:val="00B95F5F"/>
    <w:rsid w:val="00B9613B"/>
    <w:rsid w:val="00BA1A6F"/>
    <w:rsid w:val="00BA293B"/>
    <w:rsid w:val="00BA32BC"/>
    <w:rsid w:val="00BA404A"/>
    <w:rsid w:val="00BA5043"/>
    <w:rsid w:val="00BA6251"/>
    <w:rsid w:val="00BA6589"/>
    <w:rsid w:val="00BA72DC"/>
    <w:rsid w:val="00BB0346"/>
    <w:rsid w:val="00BB1744"/>
    <w:rsid w:val="00BB5E84"/>
    <w:rsid w:val="00BB7133"/>
    <w:rsid w:val="00BC02B7"/>
    <w:rsid w:val="00BC1BAB"/>
    <w:rsid w:val="00BC3010"/>
    <w:rsid w:val="00BC5A83"/>
    <w:rsid w:val="00BC6A33"/>
    <w:rsid w:val="00BC7803"/>
    <w:rsid w:val="00BD1567"/>
    <w:rsid w:val="00BD15BF"/>
    <w:rsid w:val="00BD2422"/>
    <w:rsid w:val="00BD2B1C"/>
    <w:rsid w:val="00BD32D9"/>
    <w:rsid w:val="00BD5545"/>
    <w:rsid w:val="00BD56D4"/>
    <w:rsid w:val="00BD7889"/>
    <w:rsid w:val="00BE035D"/>
    <w:rsid w:val="00BE52DC"/>
    <w:rsid w:val="00BE645E"/>
    <w:rsid w:val="00BE6EBC"/>
    <w:rsid w:val="00BE7AFC"/>
    <w:rsid w:val="00BE7C72"/>
    <w:rsid w:val="00BE7E1E"/>
    <w:rsid w:val="00BE7F0C"/>
    <w:rsid w:val="00BF1BD0"/>
    <w:rsid w:val="00BF2D5B"/>
    <w:rsid w:val="00BF4EF9"/>
    <w:rsid w:val="00BF510E"/>
    <w:rsid w:val="00BF536D"/>
    <w:rsid w:val="00BF5652"/>
    <w:rsid w:val="00BF581B"/>
    <w:rsid w:val="00BF5A43"/>
    <w:rsid w:val="00BF5D2B"/>
    <w:rsid w:val="00BF5D61"/>
    <w:rsid w:val="00BF61E3"/>
    <w:rsid w:val="00BF62D6"/>
    <w:rsid w:val="00BF76F8"/>
    <w:rsid w:val="00C01AC2"/>
    <w:rsid w:val="00C01DCF"/>
    <w:rsid w:val="00C01E20"/>
    <w:rsid w:val="00C0226B"/>
    <w:rsid w:val="00C025F4"/>
    <w:rsid w:val="00C039EC"/>
    <w:rsid w:val="00C04673"/>
    <w:rsid w:val="00C06BEE"/>
    <w:rsid w:val="00C070E9"/>
    <w:rsid w:val="00C0789F"/>
    <w:rsid w:val="00C101DD"/>
    <w:rsid w:val="00C10462"/>
    <w:rsid w:val="00C11F86"/>
    <w:rsid w:val="00C1321C"/>
    <w:rsid w:val="00C138F1"/>
    <w:rsid w:val="00C13B68"/>
    <w:rsid w:val="00C143B2"/>
    <w:rsid w:val="00C15573"/>
    <w:rsid w:val="00C1571E"/>
    <w:rsid w:val="00C162AE"/>
    <w:rsid w:val="00C164B2"/>
    <w:rsid w:val="00C20CB9"/>
    <w:rsid w:val="00C20CD0"/>
    <w:rsid w:val="00C23255"/>
    <w:rsid w:val="00C234B9"/>
    <w:rsid w:val="00C23AAA"/>
    <w:rsid w:val="00C23EB9"/>
    <w:rsid w:val="00C258A7"/>
    <w:rsid w:val="00C263EB"/>
    <w:rsid w:val="00C266A5"/>
    <w:rsid w:val="00C26C02"/>
    <w:rsid w:val="00C27A0E"/>
    <w:rsid w:val="00C30FDD"/>
    <w:rsid w:val="00C316A9"/>
    <w:rsid w:val="00C3314F"/>
    <w:rsid w:val="00C35142"/>
    <w:rsid w:val="00C35933"/>
    <w:rsid w:val="00C361B0"/>
    <w:rsid w:val="00C4111A"/>
    <w:rsid w:val="00C4170D"/>
    <w:rsid w:val="00C41AB4"/>
    <w:rsid w:val="00C4394B"/>
    <w:rsid w:val="00C43A82"/>
    <w:rsid w:val="00C46469"/>
    <w:rsid w:val="00C464CC"/>
    <w:rsid w:val="00C4662C"/>
    <w:rsid w:val="00C47085"/>
    <w:rsid w:val="00C478C7"/>
    <w:rsid w:val="00C50CEF"/>
    <w:rsid w:val="00C5113F"/>
    <w:rsid w:val="00C513BA"/>
    <w:rsid w:val="00C51713"/>
    <w:rsid w:val="00C520E0"/>
    <w:rsid w:val="00C52292"/>
    <w:rsid w:val="00C535EC"/>
    <w:rsid w:val="00C53A3B"/>
    <w:rsid w:val="00C53AAC"/>
    <w:rsid w:val="00C5577A"/>
    <w:rsid w:val="00C55825"/>
    <w:rsid w:val="00C57481"/>
    <w:rsid w:val="00C60231"/>
    <w:rsid w:val="00C61027"/>
    <w:rsid w:val="00C612A1"/>
    <w:rsid w:val="00C6144E"/>
    <w:rsid w:val="00C61A41"/>
    <w:rsid w:val="00C62211"/>
    <w:rsid w:val="00C65271"/>
    <w:rsid w:val="00C656D6"/>
    <w:rsid w:val="00C662E0"/>
    <w:rsid w:val="00C67BA0"/>
    <w:rsid w:val="00C7235D"/>
    <w:rsid w:val="00C72E7F"/>
    <w:rsid w:val="00C73962"/>
    <w:rsid w:val="00C749DD"/>
    <w:rsid w:val="00C75BDA"/>
    <w:rsid w:val="00C76121"/>
    <w:rsid w:val="00C76788"/>
    <w:rsid w:val="00C77050"/>
    <w:rsid w:val="00C77391"/>
    <w:rsid w:val="00C7799A"/>
    <w:rsid w:val="00C77B5B"/>
    <w:rsid w:val="00C80EDC"/>
    <w:rsid w:val="00C81DFA"/>
    <w:rsid w:val="00C82370"/>
    <w:rsid w:val="00C823F8"/>
    <w:rsid w:val="00C84910"/>
    <w:rsid w:val="00C849FE"/>
    <w:rsid w:val="00C84EE1"/>
    <w:rsid w:val="00C852B0"/>
    <w:rsid w:val="00C8581C"/>
    <w:rsid w:val="00C868D9"/>
    <w:rsid w:val="00C8744E"/>
    <w:rsid w:val="00C87CC4"/>
    <w:rsid w:val="00C9058F"/>
    <w:rsid w:val="00C9069C"/>
    <w:rsid w:val="00C9199B"/>
    <w:rsid w:val="00C925D7"/>
    <w:rsid w:val="00C92660"/>
    <w:rsid w:val="00C92A6B"/>
    <w:rsid w:val="00C92F48"/>
    <w:rsid w:val="00C94201"/>
    <w:rsid w:val="00C94C10"/>
    <w:rsid w:val="00C94E6B"/>
    <w:rsid w:val="00C95251"/>
    <w:rsid w:val="00C95C6F"/>
    <w:rsid w:val="00C964EC"/>
    <w:rsid w:val="00C972FE"/>
    <w:rsid w:val="00C979C9"/>
    <w:rsid w:val="00CA02A7"/>
    <w:rsid w:val="00CA0611"/>
    <w:rsid w:val="00CA0BC0"/>
    <w:rsid w:val="00CA0DF0"/>
    <w:rsid w:val="00CA18E4"/>
    <w:rsid w:val="00CA19D1"/>
    <w:rsid w:val="00CA1F24"/>
    <w:rsid w:val="00CA222D"/>
    <w:rsid w:val="00CA4735"/>
    <w:rsid w:val="00CA4950"/>
    <w:rsid w:val="00CA5588"/>
    <w:rsid w:val="00CA7112"/>
    <w:rsid w:val="00CA7326"/>
    <w:rsid w:val="00CA75AA"/>
    <w:rsid w:val="00CA7890"/>
    <w:rsid w:val="00CB1C3A"/>
    <w:rsid w:val="00CB2E98"/>
    <w:rsid w:val="00CB2F54"/>
    <w:rsid w:val="00CB2F7D"/>
    <w:rsid w:val="00CB3088"/>
    <w:rsid w:val="00CB419D"/>
    <w:rsid w:val="00CB57CB"/>
    <w:rsid w:val="00CB5D0C"/>
    <w:rsid w:val="00CB700A"/>
    <w:rsid w:val="00CB73C5"/>
    <w:rsid w:val="00CC0CE9"/>
    <w:rsid w:val="00CC1ABF"/>
    <w:rsid w:val="00CC1E3B"/>
    <w:rsid w:val="00CC35CD"/>
    <w:rsid w:val="00CC3B74"/>
    <w:rsid w:val="00CC50B5"/>
    <w:rsid w:val="00CC66A0"/>
    <w:rsid w:val="00CC6D5D"/>
    <w:rsid w:val="00CD11C6"/>
    <w:rsid w:val="00CD15B8"/>
    <w:rsid w:val="00CD1757"/>
    <w:rsid w:val="00CD1A3A"/>
    <w:rsid w:val="00CD3F79"/>
    <w:rsid w:val="00CD60C4"/>
    <w:rsid w:val="00CD6BE1"/>
    <w:rsid w:val="00CE00E5"/>
    <w:rsid w:val="00CE0F12"/>
    <w:rsid w:val="00CE316F"/>
    <w:rsid w:val="00CE588F"/>
    <w:rsid w:val="00CE5D4C"/>
    <w:rsid w:val="00CE5FA4"/>
    <w:rsid w:val="00CE64FC"/>
    <w:rsid w:val="00CF0178"/>
    <w:rsid w:val="00CF0262"/>
    <w:rsid w:val="00CF0387"/>
    <w:rsid w:val="00CF0411"/>
    <w:rsid w:val="00CF092C"/>
    <w:rsid w:val="00CF0CB6"/>
    <w:rsid w:val="00CF0E50"/>
    <w:rsid w:val="00CF1C48"/>
    <w:rsid w:val="00CF22A3"/>
    <w:rsid w:val="00CF2F4A"/>
    <w:rsid w:val="00CF3265"/>
    <w:rsid w:val="00CF405C"/>
    <w:rsid w:val="00CF4638"/>
    <w:rsid w:val="00CF47A6"/>
    <w:rsid w:val="00CF6EAD"/>
    <w:rsid w:val="00CF70E5"/>
    <w:rsid w:val="00CF76C5"/>
    <w:rsid w:val="00CF7BF0"/>
    <w:rsid w:val="00D004D1"/>
    <w:rsid w:val="00D00606"/>
    <w:rsid w:val="00D00A33"/>
    <w:rsid w:val="00D01B6B"/>
    <w:rsid w:val="00D02B67"/>
    <w:rsid w:val="00D03E60"/>
    <w:rsid w:val="00D04599"/>
    <w:rsid w:val="00D05707"/>
    <w:rsid w:val="00D10041"/>
    <w:rsid w:val="00D10066"/>
    <w:rsid w:val="00D103A8"/>
    <w:rsid w:val="00D13BB2"/>
    <w:rsid w:val="00D14EED"/>
    <w:rsid w:val="00D14F3D"/>
    <w:rsid w:val="00D15163"/>
    <w:rsid w:val="00D1540B"/>
    <w:rsid w:val="00D1563C"/>
    <w:rsid w:val="00D16CD3"/>
    <w:rsid w:val="00D176D0"/>
    <w:rsid w:val="00D17900"/>
    <w:rsid w:val="00D17970"/>
    <w:rsid w:val="00D20C59"/>
    <w:rsid w:val="00D22464"/>
    <w:rsid w:val="00D228AD"/>
    <w:rsid w:val="00D23DC8"/>
    <w:rsid w:val="00D246DB"/>
    <w:rsid w:val="00D25872"/>
    <w:rsid w:val="00D25E62"/>
    <w:rsid w:val="00D2681C"/>
    <w:rsid w:val="00D2710A"/>
    <w:rsid w:val="00D30593"/>
    <w:rsid w:val="00D30971"/>
    <w:rsid w:val="00D3129A"/>
    <w:rsid w:val="00D3133F"/>
    <w:rsid w:val="00D318DD"/>
    <w:rsid w:val="00D3273F"/>
    <w:rsid w:val="00D32C00"/>
    <w:rsid w:val="00D33602"/>
    <w:rsid w:val="00D35124"/>
    <w:rsid w:val="00D36DBD"/>
    <w:rsid w:val="00D37E3E"/>
    <w:rsid w:val="00D410E0"/>
    <w:rsid w:val="00D413D6"/>
    <w:rsid w:val="00D415D9"/>
    <w:rsid w:val="00D417E1"/>
    <w:rsid w:val="00D42229"/>
    <w:rsid w:val="00D426C2"/>
    <w:rsid w:val="00D436F7"/>
    <w:rsid w:val="00D439A8"/>
    <w:rsid w:val="00D43C7A"/>
    <w:rsid w:val="00D44869"/>
    <w:rsid w:val="00D44CFF"/>
    <w:rsid w:val="00D453DC"/>
    <w:rsid w:val="00D5012D"/>
    <w:rsid w:val="00D508D1"/>
    <w:rsid w:val="00D50DED"/>
    <w:rsid w:val="00D53CA7"/>
    <w:rsid w:val="00D53D49"/>
    <w:rsid w:val="00D54468"/>
    <w:rsid w:val="00D54616"/>
    <w:rsid w:val="00D54A88"/>
    <w:rsid w:val="00D54FF5"/>
    <w:rsid w:val="00D551BD"/>
    <w:rsid w:val="00D5638A"/>
    <w:rsid w:val="00D56CC7"/>
    <w:rsid w:val="00D6044C"/>
    <w:rsid w:val="00D6179A"/>
    <w:rsid w:val="00D62009"/>
    <w:rsid w:val="00D65EB7"/>
    <w:rsid w:val="00D67742"/>
    <w:rsid w:val="00D70B49"/>
    <w:rsid w:val="00D71938"/>
    <w:rsid w:val="00D71BEB"/>
    <w:rsid w:val="00D72F6D"/>
    <w:rsid w:val="00D738FB"/>
    <w:rsid w:val="00D74185"/>
    <w:rsid w:val="00D74A9A"/>
    <w:rsid w:val="00D75FBF"/>
    <w:rsid w:val="00D80B18"/>
    <w:rsid w:val="00D81710"/>
    <w:rsid w:val="00D82DD4"/>
    <w:rsid w:val="00D83F63"/>
    <w:rsid w:val="00D853F7"/>
    <w:rsid w:val="00D8588A"/>
    <w:rsid w:val="00D90615"/>
    <w:rsid w:val="00D907A7"/>
    <w:rsid w:val="00D9391B"/>
    <w:rsid w:val="00D93F99"/>
    <w:rsid w:val="00D95EDE"/>
    <w:rsid w:val="00DA0610"/>
    <w:rsid w:val="00DA09C9"/>
    <w:rsid w:val="00DA0EF2"/>
    <w:rsid w:val="00DA2151"/>
    <w:rsid w:val="00DA2486"/>
    <w:rsid w:val="00DA273B"/>
    <w:rsid w:val="00DA4296"/>
    <w:rsid w:val="00DA5E7B"/>
    <w:rsid w:val="00DA601F"/>
    <w:rsid w:val="00DA7468"/>
    <w:rsid w:val="00DA781D"/>
    <w:rsid w:val="00DB1052"/>
    <w:rsid w:val="00DB2751"/>
    <w:rsid w:val="00DB3911"/>
    <w:rsid w:val="00DB4D8A"/>
    <w:rsid w:val="00DB513A"/>
    <w:rsid w:val="00DB595A"/>
    <w:rsid w:val="00DB634E"/>
    <w:rsid w:val="00DB6C9F"/>
    <w:rsid w:val="00DB6E67"/>
    <w:rsid w:val="00DB6FED"/>
    <w:rsid w:val="00DB748F"/>
    <w:rsid w:val="00DB75B0"/>
    <w:rsid w:val="00DC0BBC"/>
    <w:rsid w:val="00DC1428"/>
    <w:rsid w:val="00DC1625"/>
    <w:rsid w:val="00DC1C43"/>
    <w:rsid w:val="00DC2782"/>
    <w:rsid w:val="00DC2F0A"/>
    <w:rsid w:val="00DC363C"/>
    <w:rsid w:val="00DC3B1A"/>
    <w:rsid w:val="00DC4910"/>
    <w:rsid w:val="00DC618B"/>
    <w:rsid w:val="00DC652B"/>
    <w:rsid w:val="00DC6C0F"/>
    <w:rsid w:val="00DC7441"/>
    <w:rsid w:val="00DC7B89"/>
    <w:rsid w:val="00DC7C90"/>
    <w:rsid w:val="00DD1673"/>
    <w:rsid w:val="00DD38CB"/>
    <w:rsid w:val="00DD45C8"/>
    <w:rsid w:val="00DD4E6D"/>
    <w:rsid w:val="00DD5554"/>
    <w:rsid w:val="00DD5FF0"/>
    <w:rsid w:val="00DD643B"/>
    <w:rsid w:val="00DD7682"/>
    <w:rsid w:val="00DD793B"/>
    <w:rsid w:val="00DE0592"/>
    <w:rsid w:val="00DE1CCD"/>
    <w:rsid w:val="00DE219D"/>
    <w:rsid w:val="00DE340C"/>
    <w:rsid w:val="00DE3793"/>
    <w:rsid w:val="00DE3832"/>
    <w:rsid w:val="00DE3918"/>
    <w:rsid w:val="00DE3EBC"/>
    <w:rsid w:val="00DE53F2"/>
    <w:rsid w:val="00DE5683"/>
    <w:rsid w:val="00DE56F7"/>
    <w:rsid w:val="00DE6093"/>
    <w:rsid w:val="00DF0D2E"/>
    <w:rsid w:val="00DF1E28"/>
    <w:rsid w:val="00DF35C3"/>
    <w:rsid w:val="00DF38BA"/>
    <w:rsid w:val="00DF4622"/>
    <w:rsid w:val="00DF4E43"/>
    <w:rsid w:val="00DF5043"/>
    <w:rsid w:val="00E00041"/>
    <w:rsid w:val="00E0031E"/>
    <w:rsid w:val="00E01067"/>
    <w:rsid w:val="00E0176C"/>
    <w:rsid w:val="00E03367"/>
    <w:rsid w:val="00E035DD"/>
    <w:rsid w:val="00E04B5E"/>
    <w:rsid w:val="00E04D3C"/>
    <w:rsid w:val="00E0577F"/>
    <w:rsid w:val="00E0772B"/>
    <w:rsid w:val="00E07CEA"/>
    <w:rsid w:val="00E10949"/>
    <w:rsid w:val="00E11ECF"/>
    <w:rsid w:val="00E12942"/>
    <w:rsid w:val="00E14F66"/>
    <w:rsid w:val="00E151B4"/>
    <w:rsid w:val="00E15571"/>
    <w:rsid w:val="00E16E14"/>
    <w:rsid w:val="00E2055D"/>
    <w:rsid w:val="00E20958"/>
    <w:rsid w:val="00E222AC"/>
    <w:rsid w:val="00E224CB"/>
    <w:rsid w:val="00E232E9"/>
    <w:rsid w:val="00E23E3C"/>
    <w:rsid w:val="00E23F37"/>
    <w:rsid w:val="00E24591"/>
    <w:rsid w:val="00E24963"/>
    <w:rsid w:val="00E266C7"/>
    <w:rsid w:val="00E27348"/>
    <w:rsid w:val="00E3326F"/>
    <w:rsid w:val="00E335C6"/>
    <w:rsid w:val="00E356C8"/>
    <w:rsid w:val="00E3596B"/>
    <w:rsid w:val="00E35EED"/>
    <w:rsid w:val="00E35F66"/>
    <w:rsid w:val="00E36514"/>
    <w:rsid w:val="00E37560"/>
    <w:rsid w:val="00E406F0"/>
    <w:rsid w:val="00E40994"/>
    <w:rsid w:val="00E40CC8"/>
    <w:rsid w:val="00E40E3E"/>
    <w:rsid w:val="00E41CFC"/>
    <w:rsid w:val="00E426D3"/>
    <w:rsid w:val="00E44841"/>
    <w:rsid w:val="00E45707"/>
    <w:rsid w:val="00E45B1F"/>
    <w:rsid w:val="00E464E7"/>
    <w:rsid w:val="00E46D4B"/>
    <w:rsid w:val="00E47C05"/>
    <w:rsid w:val="00E50114"/>
    <w:rsid w:val="00E5060A"/>
    <w:rsid w:val="00E51EB6"/>
    <w:rsid w:val="00E521CE"/>
    <w:rsid w:val="00E52FB1"/>
    <w:rsid w:val="00E53568"/>
    <w:rsid w:val="00E54994"/>
    <w:rsid w:val="00E57ADA"/>
    <w:rsid w:val="00E600F7"/>
    <w:rsid w:val="00E63532"/>
    <w:rsid w:val="00E63F5D"/>
    <w:rsid w:val="00E64156"/>
    <w:rsid w:val="00E641DB"/>
    <w:rsid w:val="00E64D90"/>
    <w:rsid w:val="00E64E2D"/>
    <w:rsid w:val="00E6732F"/>
    <w:rsid w:val="00E67B14"/>
    <w:rsid w:val="00E70B6A"/>
    <w:rsid w:val="00E711CE"/>
    <w:rsid w:val="00E711FA"/>
    <w:rsid w:val="00E71C31"/>
    <w:rsid w:val="00E71EB9"/>
    <w:rsid w:val="00E72356"/>
    <w:rsid w:val="00E74771"/>
    <w:rsid w:val="00E74ACD"/>
    <w:rsid w:val="00E756D3"/>
    <w:rsid w:val="00E77299"/>
    <w:rsid w:val="00E81160"/>
    <w:rsid w:val="00E8222F"/>
    <w:rsid w:val="00E83101"/>
    <w:rsid w:val="00E8327C"/>
    <w:rsid w:val="00E83E50"/>
    <w:rsid w:val="00E85558"/>
    <w:rsid w:val="00E85FF2"/>
    <w:rsid w:val="00E866E7"/>
    <w:rsid w:val="00E902F5"/>
    <w:rsid w:val="00E91FF0"/>
    <w:rsid w:val="00E95B52"/>
    <w:rsid w:val="00E96A3C"/>
    <w:rsid w:val="00E971C5"/>
    <w:rsid w:val="00EA13CB"/>
    <w:rsid w:val="00EA2023"/>
    <w:rsid w:val="00EA2E49"/>
    <w:rsid w:val="00EA48E9"/>
    <w:rsid w:val="00EA4EF7"/>
    <w:rsid w:val="00EA70F1"/>
    <w:rsid w:val="00EA7E8F"/>
    <w:rsid w:val="00EA7EA3"/>
    <w:rsid w:val="00EB0DC8"/>
    <w:rsid w:val="00EB12F7"/>
    <w:rsid w:val="00EB30C1"/>
    <w:rsid w:val="00EB32A3"/>
    <w:rsid w:val="00EB517E"/>
    <w:rsid w:val="00EB68B8"/>
    <w:rsid w:val="00EB6C5F"/>
    <w:rsid w:val="00EB6D38"/>
    <w:rsid w:val="00EB7373"/>
    <w:rsid w:val="00EC05F6"/>
    <w:rsid w:val="00EC1131"/>
    <w:rsid w:val="00EC1650"/>
    <w:rsid w:val="00EC22A0"/>
    <w:rsid w:val="00EC2F06"/>
    <w:rsid w:val="00EC3B02"/>
    <w:rsid w:val="00EC4929"/>
    <w:rsid w:val="00EC59C4"/>
    <w:rsid w:val="00EC7CA4"/>
    <w:rsid w:val="00ED013C"/>
    <w:rsid w:val="00ED1182"/>
    <w:rsid w:val="00ED211D"/>
    <w:rsid w:val="00ED287E"/>
    <w:rsid w:val="00ED2945"/>
    <w:rsid w:val="00ED2ECB"/>
    <w:rsid w:val="00ED3E53"/>
    <w:rsid w:val="00ED448A"/>
    <w:rsid w:val="00ED48B2"/>
    <w:rsid w:val="00ED4ADD"/>
    <w:rsid w:val="00ED4E69"/>
    <w:rsid w:val="00ED59C6"/>
    <w:rsid w:val="00ED65E4"/>
    <w:rsid w:val="00ED770E"/>
    <w:rsid w:val="00EE130D"/>
    <w:rsid w:val="00EE19F7"/>
    <w:rsid w:val="00EE1F6B"/>
    <w:rsid w:val="00EE40D0"/>
    <w:rsid w:val="00EE44AF"/>
    <w:rsid w:val="00EE4BCD"/>
    <w:rsid w:val="00EE6B9B"/>
    <w:rsid w:val="00EE6FDB"/>
    <w:rsid w:val="00EF0ED9"/>
    <w:rsid w:val="00EF1836"/>
    <w:rsid w:val="00EF1E78"/>
    <w:rsid w:val="00EF2A0B"/>
    <w:rsid w:val="00EF2D3D"/>
    <w:rsid w:val="00EF3384"/>
    <w:rsid w:val="00EF3CD8"/>
    <w:rsid w:val="00EF3D5C"/>
    <w:rsid w:val="00EF48F9"/>
    <w:rsid w:val="00EF4B49"/>
    <w:rsid w:val="00EF4CF0"/>
    <w:rsid w:val="00EF76CE"/>
    <w:rsid w:val="00EF798D"/>
    <w:rsid w:val="00EF7E21"/>
    <w:rsid w:val="00F01174"/>
    <w:rsid w:val="00F01E4A"/>
    <w:rsid w:val="00F07643"/>
    <w:rsid w:val="00F10A2C"/>
    <w:rsid w:val="00F10E90"/>
    <w:rsid w:val="00F11574"/>
    <w:rsid w:val="00F12FDE"/>
    <w:rsid w:val="00F13699"/>
    <w:rsid w:val="00F141A3"/>
    <w:rsid w:val="00F16A54"/>
    <w:rsid w:val="00F16F5C"/>
    <w:rsid w:val="00F17EF5"/>
    <w:rsid w:val="00F17FA1"/>
    <w:rsid w:val="00F21D29"/>
    <w:rsid w:val="00F226E0"/>
    <w:rsid w:val="00F23D57"/>
    <w:rsid w:val="00F23FEF"/>
    <w:rsid w:val="00F245EE"/>
    <w:rsid w:val="00F24EE4"/>
    <w:rsid w:val="00F25398"/>
    <w:rsid w:val="00F259D0"/>
    <w:rsid w:val="00F26109"/>
    <w:rsid w:val="00F265AE"/>
    <w:rsid w:val="00F3062E"/>
    <w:rsid w:val="00F3100D"/>
    <w:rsid w:val="00F31DA2"/>
    <w:rsid w:val="00F31DF7"/>
    <w:rsid w:val="00F341A6"/>
    <w:rsid w:val="00F363AE"/>
    <w:rsid w:val="00F37749"/>
    <w:rsid w:val="00F40A42"/>
    <w:rsid w:val="00F42E60"/>
    <w:rsid w:val="00F42E7A"/>
    <w:rsid w:val="00F42F7D"/>
    <w:rsid w:val="00F441E6"/>
    <w:rsid w:val="00F44713"/>
    <w:rsid w:val="00F44E21"/>
    <w:rsid w:val="00F456F9"/>
    <w:rsid w:val="00F458B7"/>
    <w:rsid w:val="00F46535"/>
    <w:rsid w:val="00F4764C"/>
    <w:rsid w:val="00F47D15"/>
    <w:rsid w:val="00F50110"/>
    <w:rsid w:val="00F501A2"/>
    <w:rsid w:val="00F50C16"/>
    <w:rsid w:val="00F51311"/>
    <w:rsid w:val="00F52F85"/>
    <w:rsid w:val="00F53ED3"/>
    <w:rsid w:val="00F54FFB"/>
    <w:rsid w:val="00F551B1"/>
    <w:rsid w:val="00F558D3"/>
    <w:rsid w:val="00F55BE4"/>
    <w:rsid w:val="00F56D3D"/>
    <w:rsid w:val="00F56D3E"/>
    <w:rsid w:val="00F6017B"/>
    <w:rsid w:val="00F60377"/>
    <w:rsid w:val="00F60722"/>
    <w:rsid w:val="00F619E9"/>
    <w:rsid w:val="00F61CDF"/>
    <w:rsid w:val="00F63719"/>
    <w:rsid w:val="00F64261"/>
    <w:rsid w:val="00F646D3"/>
    <w:rsid w:val="00F6607A"/>
    <w:rsid w:val="00F664CF"/>
    <w:rsid w:val="00F67176"/>
    <w:rsid w:val="00F71514"/>
    <w:rsid w:val="00F725D7"/>
    <w:rsid w:val="00F727FD"/>
    <w:rsid w:val="00F72951"/>
    <w:rsid w:val="00F73B1E"/>
    <w:rsid w:val="00F73B6C"/>
    <w:rsid w:val="00F73C80"/>
    <w:rsid w:val="00F741B9"/>
    <w:rsid w:val="00F74A90"/>
    <w:rsid w:val="00F74BB8"/>
    <w:rsid w:val="00F74C08"/>
    <w:rsid w:val="00F75EBB"/>
    <w:rsid w:val="00F800D7"/>
    <w:rsid w:val="00F8053D"/>
    <w:rsid w:val="00F806D1"/>
    <w:rsid w:val="00F8176C"/>
    <w:rsid w:val="00F81F0C"/>
    <w:rsid w:val="00F84254"/>
    <w:rsid w:val="00F85A37"/>
    <w:rsid w:val="00F85F1E"/>
    <w:rsid w:val="00F8620B"/>
    <w:rsid w:val="00F86A18"/>
    <w:rsid w:val="00F86A83"/>
    <w:rsid w:val="00F86AE4"/>
    <w:rsid w:val="00F86C17"/>
    <w:rsid w:val="00F90165"/>
    <w:rsid w:val="00F90CD6"/>
    <w:rsid w:val="00F91414"/>
    <w:rsid w:val="00F917AD"/>
    <w:rsid w:val="00F91D16"/>
    <w:rsid w:val="00F91D86"/>
    <w:rsid w:val="00F92936"/>
    <w:rsid w:val="00F92A76"/>
    <w:rsid w:val="00F9302C"/>
    <w:rsid w:val="00F935AF"/>
    <w:rsid w:val="00F948E5"/>
    <w:rsid w:val="00F95783"/>
    <w:rsid w:val="00F96B56"/>
    <w:rsid w:val="00F97D25"/>
    <w:rsid w:val="00FA00F0"/>
    <w:rsid w:val="00FA1670"/>
    <w:rsid w:val="00FA1782"/>
    <w:rsid w:val="00FA1BDB"/>
    <w:rsid w:val="00FA2275"/>
    <w:rsid w:val="00FA30C0"/>
    <w:rsid w:val="00FA3883"/>
    <w:rsid w:val="00FA7AB9"/>
    <w:rsid w:val="00FB07FB"/>
    <w:rsid w:val="00FB08C3"/>
    <w:rsid w:val="00FB2679"/>
    <w:rsid w:val="00FB2A1A"/>
    <w:rsid w:val="00FB2F11"/>
    <w:rsid w:val="00FB41FC"/>
    <w:rsid w:val="00FB4E0F"/>
    <w:rsid w:val="00FB57A4"/>
    <w:rsid w:val="00FB5D53"/>
    <w:rsid w:val="00FB796D"/>
    <w:rsid w:val="00FB7992"/>
    <w:rsid w:val="00FB7E33"/>
    <w:rsid w:val="00FC02E4"/>
    <w:rsid w:val="00FC07E6"/>
    <w:rsid w:val="00FC1257"/>
    <w:rsid w:val="00FC23EE"/>
    <w:rsid w:val="00FC2737"/>
    <w:rsid w:val="00FC2E7C"/>
    <w:rsid w:val="00FC3F3E"/>
    <w:rsid w:val="00FC5AFF"/>
    <w:rsid w:val="00FC62F7"/>
    <w:rsid w:val="00FC64E6"/>
    <w:rsid w:val="00FC77F7"/>
    <w:rsid w:val="00FC7A9F"/>
    <w:rsid w:val="00FD059B"/>
    <w:rsid w:val="00FD0902"/>
    <w:rsid w:val="00FD093B"/>
    <w:rsid w:val="00FD1752"/>
    <w:rsid w:val="00FD2840"/>
    <w:rsid w:val="00FD3F0C"/>
    <w:rsid w:val="00FD6A39"/>
    <w:rsid w:val="00FE144C"/>
    <w:rsid w:val="00FE4EA0"/>
    <w:rsid w:val="00FE51E5"/>
    <w:rsid w:val="00FE537A"/>
    <w:rsid w:val="00FE5851"/>
    <w:rsid w:val="00FE77C6"/>
    <w:rsid w:val="00FF215F"/>
    <w:rsid w:val="00FF4677"/>
    <w:rsid w:val="00FF48EB"/>
    <w:rsid w:val="00FF65EE"/>
    <w:rsid w:val="00FF6A04"/>
    <w:rsid w:val="00FF7188"/>
    <w:rsid w:val="00FF7429"/>
    <w:rsid w:val="00FF7A02"/>
    <w:rsid w:val="00FF7DAC"/>
    <w:rsid w:val="02D3CA01"/>
    <w:rsid w:val="03637084"/>
    <w:rsid w:val="0F1E8621"/>
    <w:rsid w:val="23F2667B"/>
    <w:rsid w:val="3209EC98"/>
    <w:rsid w:val="351ECB96"/>
    <w:rsid w:val="3B36D978"/>
    <w:rsid w:val="3CEABAF8"/>
    <w:rsid w:val="3D744879"/>
    <w:rsid w:val="4012DE42"/>
    <w:rsid w:val="65AB26D7"/>
    <w:rsid w:val="66253038"/>
    <w:rsid w:val="66A78625"/>
    <w:rsid w:val="6800DCB6"/>
    <w:rsid w:val="6BDF345A"/>
    <w:rsid w:val="70F82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2DA5"/>
  <w15:chartTrackingRefBased/>
  <w15:docId w15:val="{EE0AF562-0880-419D-A33D-A831D19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32C"/>
    <w:pPr>
      <w:keepNext/>
      <w:keepLines/>
      <w:numPr>
        <w:numId w:val="28"/>
      </w:numPr>
      <w:spacing w:before="360" w:after="80"/>
      <w:ind w:left="144" w:hanging="144"/>
      <w:outlineLvl w:val="0"/>
    </w:pPr>
    <w:rPr>
      <w:rFonts w:asciiTheme="majorHAnsi" w:eastAsiaTheme="majorEastAsia" w:hAnsiTheme="majorHAnsi" w:cstheme="majorBidi"/>
      <w:color w:val="0F4761" w:themeColor="accent1" w:themeShade="BF"/>
      <w:sz w:val="28"/>
      <w:szCs w:val="28"/>
    </w:rPr>
  </w:style>
  <w:style w:type="paragraph" w:styleId="Heading2">
    <w:name w:val="heading 2"/>
    <w:basedOn w:val="Normal"/>
    <w:next w:val="Normal"/>
    <w:link w:val="Heading2Char"/>
    <w:uiPriority w:val="9"/>
    <w:unhideWhenUsed/>
    <w:qFormat/>
    <w:rsid w:val="00254BD7"/>
    <w:pPr>
      <w:keepNext/>
      <w:keepLines/>
      <w:numPr>
        <w:numId w:val="29"/>
      </w:numPr>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unhideWhenUsed/>
    <w:qFormat/>
    <w:rsid w:val="00BB0346"/>
    <w:pPr>
      <w:keepNext/>
      <w:keepLines/>
      <w:spacing w:before="160" w:after="80"/>
      <w:outlineLvl w:val="2"/>
    </w:pPr>
    <w:rPr>
      <w:rFonts w:eastAsiaTheme="majorEastAsia" w:cstheme="majorBidi"/>
      <w:color w:val="0F4761" w:themeColor="accent1" w:themeShade="BF"/>
      <w:sz w:val="22"/>
      <w:szCs w:val="22"/>
    </w:rPr>
  </w:style>
  <w:style w:type="paragraph" w:styleId="Heading4">
    <w:name w:val="heading 4"/>
    <w:basedOn w:val="Normal"/>
    <w:next w:val="Normal"/>
    <w:link w:val="Heading4Char"/>
    <w:uiPriority w:val="9"/>
    <w:semiHidden/>
    <w:unhideWhenUsed/>
    <w:qFormat/>
    <w:rsid w:val="007E1A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A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A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A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A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A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32C"/>
    <w:rPr>
      <w:rFonts w:asciiTheme="majorHAnsi" w:eastAsiaTheme="majorEastAsia" w:hAnsiTheme="majorHAnsi" w:cstheme="majorBidi"/>
      <w:color w:val="0F4761" w:themeColor="accent1" w:themeShade="BF"/>
      <w:sz w:val="28"/>
      <w:szCs w:val="28"/>
    </w:rPr>
  </w:style>
  <w:style w:type="character" w:customStyle="1" w:styleId="Heading2Char">
    <w:name w:val="Heading 2 Char"/>
    <w:basedOn w:val="DefaultParagraphFont"/>
    <w:link w:val="Heading2"/>
    <w:uiPriority w:val="9"/>
    <w:rsid w:val="00254BD7"/>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rsid w:val="00BB0346"/>
    <w:rPr>
      <w:rFonts w:eastAsiaTheme="majorEastAsia" w:cstheme="majorBidi"/>
      <w:color w:val="0F4761" w:themeColor="accent1" w:themeShade="BF"/>
      <w:sz w:val="22"/>
      <w:szCs w:val="22"/>
    </w:rPr>
  </w:style>
  <w:style w:type="character" w:customStyle="1" w:styleId="Heading4Char">
    <w:name w:val="Heading 4 Char"/>
    <w:basedOn w:val="DefaultParagraphFont"/>
    <w:link w:val="Heading4"/>
    <w:uiPriority w:val="9"/>
    <w:semiHidden/>
    <w:rsid w:val="007E1A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A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AB3"/>
    <w:rPr>
      <w:rFonts w:eastAsiaTheme="majorEastAsia" w:cstheme="majorBidi"/>
      <w:color w:val="272727" w:themeColor="text1" w:themeTint="D8"/>
    </w:rPr>
  </w:style>
  <w:style w:type="paragraph" w:styleId="Title">
    <w:name w:val="Title"/>
    <w:basedOn w:val="Normal"/>
    <w:next w:val="Normal"/>
    <w:link w:val="TitleChar"/>
    <w:uiPriority w:val="10"/>
    <w:qFormat/>
    <w:rsid w:val="007E1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A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AB3"/>
    <w:pPr>
      <w:spacing w:before="160"/>
      <w:jc w:val="center"/>
    </w:pPr>
    <w:rPr>
      <w:i/>
      <w:iCs/>
      <w:color w:val="404040" w:themeColor="text1" w:themeTint="BF"/>
    </w:rPr>
  </w:style>
  <w:style w:type="character" w:customStyle="1" w:styleId="QuoteChar">
    <w:name w:val="Quote Char"/>
    <w:basedOn w:val="DefaultParagraphFont"/>
    <w:link w:val="Quote"/>
    <w:uiPriority w:val="29"/>
    <w:rsid w:val="007E1AB3"/>
    <w:rPr>
      <w:i/>
      <w:iCs/>
      <w:color w:val="404040" w:themeColor="text1" w:themeTint="BF"/>
    </w:rPr>
  </w:style>
  <w:style w:type="paragraph" w:styleId="ListParagraph">
    <w:name w:val="List Paragraph"/>
    <w:basedOn w:val="Normal"/>
    <w:uiPriority w:val="34"/>
    <w:qFormat/>
    <w:rsid w:val="007E1AB3"/>
    <w:pPr>
      <w:ind w:left="720"/>
      <w:contextualSpacing/>
    </w:pPr>
  </w:style>
  <w:style w:type="character" w:styleId="IntenseEmphasis">
    <w:name w:val="Intense Emphasis"/>
    <w:basedOn w:val="DefaultParagraphFont"/>
    <w:uiPriority w:val="21"/>
    <w:qFormat/>
    <w:rsid w:val="007E1AB3"/>
    <w:rPr>
      <w:i/>
      <w:iCs/>
      <w:color w:val="0F4761" w:themeColor="accent1" w:themeShade="BF"/>
    </w:rPr>
  </w:style>
  <w:style w:type="paragraph" w:styleId="IntenseQuote">
    <w:name w:val="Intense Quote"/>
    <w:basedOn w:val="Normal"/>
    <w:next w:val="Normal"/>
    <w:link w:val="IntenseQuoteChar"/>
    <w:uiPriority w:val="30"/>
    <w:qFormat/>
    <w:rsid w:val="007E1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AB3"/>
    <w:rPr>
      <w:i/>
      <w:iCs/>
      <w:color w:val="0F4761" w:themeColor="accent1" w:themeShade="BF"/>
    </w:rPr>
  </w:style>
  <w:style w:type="character" w:styleId="IntenseReference">
    <w:name w:val="Intense Reference"/>
    <w:basedOn w:val="DefaultParagraphFont"/>
    <w:uiPriority w:val="32"/>
    <w:qFormat/>
    <w:rsid w:val="007E1AB3"/>
    <w:rPr>
      <w:b/>
      <w:bCs/>
      <w:smallCaps/>
      <w:color w:val="0F4761" w:themeColor="accent1" w:themeShade="BF"/>
      <w:spacing w:val="5"/>
    </w:rPr>
  </w:style>
  <w:style w:type="paragraph" w:styleId="Date">
    <w:name w:val="Date"/>
    <w:basedOn w:val="Normal"/>
    <w:next w:val="Normal"/>
    <w:link w:val="DateChar"/>
    <w:uiPriority w:val="99"/>
    <w:semiHidden/>
    <w:unhideWhenUsed/>
    <w:rsid w:val="007E1AB3"/>
  </w:style>
  <w:style w:type="character" w:customStyle="1" w:styleId="DateChar">
    <w:name w:val="Date Char"/>
    <w:basedOn w:val="DefaultParagraphFont"/>
    <w:link w:val="Date"/>
    <w:uiPriority w:val="99"/>
    <w:semiHidden/>
    <w:rsid w:val="007E1AB3"/>
  </w:style>
  <w:style w:type="paragraph" w:styleId="Header">
    <w:name w:val="header"/>
    <w:basedOn w:val="Normal"/>
    <w:link w:val="HeaderChar"/>
    <w:uiPriority w:val="99"/>
    <w:unhideWhenUsed/>
    <w:rsid w:val="00642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484"/>
  </w:style>
  <w:style w:type="paragraph" w:styleId="Footer">
    <w:name w:val="footer"/>
    <w:basedOn w:val="Normal"/>
    <w:link w:val="FooterChar"/>
    <w:uiPriority w:val="99"/>
    <w:unhideWhenUsed/>
    <w:rsid w:val="00642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484"/>
  </w:style>
  <w:style w:type="table" w:styleId="TableGrid">
    <w:name w:val="Table Grid"/>
    <w:basedOn w:val="TableNormal"/>
    <w:uiPriority w:val="39"/>
    <w:rsid w:val="006B7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74F"/>
    <w:rPr>
      <w:sz w:val="16"/>
      <w:szCs w:val="16"/>
    </w:rPr>
  </w:style>
  <w:style w:type="paragraph" w:styleId="CommentText">
    <w:name w:val="annotation text"/>
    <w:basedOn w:val="Normal"/>
    <w:link w:val="CommentTextChar"/>
    <w:uiPriority w:val="99"/>
    <w:unhideWhenUsed/>
    <w:rsid w:val="0069774F"/>
    <w:pPr>
      <w:spacing w:line="240" w:lineRule="auto"/>
    </w:pPr>
    <w:rPr>
      <w:sz w:val="20"/>
      <w:szCs w:val="20"/>
    </w:rPr>
  </w:style>
  <w:style w:type="character" w:customStyle="1" w:styleId="CommentTextChar">
    <w:name w:val="Comment Text Char"/>
    <w:basedOn w:val="DefaultParagraphFont"/>
    <w:link w:val="CommentText"/>
    <w:uiPriority w:val="99"/>
    <w:rsid w:val="0069774F"/>
    <w:rPr>
      <w:sz w:val="20"/>
      <w:szCs w:val="20"/>
    </w:rPr>
  </w:style>
  <w:style w:type="paragraph" w:styleId="CommentSubject">
    <w:name w:val="annotation subject"/>
    <w:basedOn w:val="CommentText"/>
    <w:next w:val="CommentText"/>
    <w:link w:val="CommentSubjectChar"/>
    <w:uiPriority w:val="99"/>
    <w:semiHidden/>
    <w:unhideWhenUsed/>
    <w:rsid w:val="0069774F"/>
    <w:rPr>
      <w:b/>
      <w:bCs/>
    </w:rPr>
  </w:style>
  <w:style w:type="character" w:customStyle="1" w:styleId="CommentSubjectChar">
    <w:name w:val="Comment Subject Char"/>
    <w:basedOn w:val="CommentTextChar"/>
    <w:link w:val="CommentSubject"/>
    <w:uiPriority w:val="99"/>
    <w:semiHidden/>
    <w:rsid w:val="0069774F"/>
    <w:rPr>
      <w:b/>
      <w:bCs/>
      <w:sz w:val="20"/>
      <w:szCs w:val="20"/>
    </w:rPr>
  </w:style>
  <w:style w:type="paragraph" w:styleId="TOCHeading">
    <w:name w:val="TOC Heading"/>
    <w:basedOn w:val="Heading1"/>
    <w:next w:val="Normal"/>
    <w:uiPriority w:val="39"/>
    <w:unhideWhenUsed/>
    <w:qFormat/>
    <w:rsid w:val="00630F00"/>
    <w:pPr>
      <w:spacing w:before="240" w:after="0" w:line="259" w:lineRule="auto"/>
      <w:outlineLvl w:val="9"/>
    </w:pPr>
    <w:rPr>
      <w:kern w:val="0"/>
      <w:sz w:val="32"/>
      <w:szCs w:val="32"/>
      <w:lang w:eastAsia="en-US"/>
      <w14:ligatures w14:val="none"/>
    </w:rPr>
  </w:style>
  <w:style w:type="paragraph" w:styleId="TOC1">
    <w:name w:val="toc 1"/>
    <w:basedOn w:val="Normal"/>
    <w:next w:val="Normal"/>
    <w:autoRedefine/>
    <w:uiPriority w:val="39"/>
    <w:unhideWhenUsed/>
    <w:rsid w:val="00630F00"/>
    <w:pPr>
      <w:spacing w:after="100"/>
    </w:pPr>
  </w:style>
  <w:style w:type="character" w:styleId="Hyperlink">
    <w:name w:val="Hyperlink"/>
    <w:basedOn w:val="DefaultParagraphFont"/>
    <w:uiPriority w:val="99"/>
    <w:unhideWhenUsed/>
    <w:rsid w:val="00630F00"/>
    <w:rPr>
      <w:color w:val="467886" w:themeColor="hyperlink"/>
      <w:u w:val="single"/>
    </w:rPr>
  </w:style>
  <w:style w:type="paragraph" w:styleId="NormalWeb">
    <w:name w:val="Normal (Web)"/>
    <w:basedOn w:val="Normal"/>
    <w:uiPriority w:val="99"/>
    <w:unhideWhenUsed/>
    <w:rsid w:val="0054112C"/>
    <w:pPr>
      <w:spacing w:before="100" w:beforeAutospacing="1" w:after="100" w:afterAutospacing="1" w:line="240" w:lineRule="auto"/>
    </w:pPr>
    <w:rPr>
      <w:rFonts w:ascii="Times New Roman" w:eastAsia="Times New Roman" w:hAnsi="Times New Roman" w:cs="Times New Roman"/>
      <w:kern w:val="0"/>
      <w:lang w:eastAsia="en-US"/>
      <w14:ligatures w14:val="none"/>
    </w:rPr>
  </w:style>
  <w:style w:type="character" w:styleId="PlaceholderText">
    <w:name w:val="Placeholder Text"/>
    <w:basedOn w:val="DefaultParagraphFont"/>
    <w:uiPriority w:val="99"/>
    <w:semiHidden/>
    <w:rsid w:val="0054112C"/>
    <w:rPr>
      <w:color w:val="808080"/>
    </w:rPr>
  </w:style>
  <w:style w:type="character" w:styleId="UnresolvedMention">
    <w:name w:val="Unresolved Mention"/>
    <w:basedOn w:val="DefaultParagraphFont"/>
    <w:uiPriority w:val="99"/>
    <w:semiHidden/>
    <w:unhideWhenUsed/>
    <w:rsid w:val="0054112C"/>
    <w:rPr>
      <w:color w:val="605E5C"/>
      <w:shd w:val="clear" w:color="auto" w:fill="E1DFDD"/>
    </w:rPr>
  </w:style>
  <w:style w:type="paragraph" w:styleId="Revision">
    <w:name w:val="Revision"/>
    <w:hidden/>
    <w:uiPriority w:val="99"/>
    <w:semiHidden/>
    <w:rsid w:val="0054112C"/>
    <w:pPr>
      <w:spacing w:after="0" w:line="240" w:lineRule="auto"/>
    </w:pPr>
    <w:rPr>
      <w:kern w:val="0"/>
      <w:sz w:val="22"/>
      <w:szCs w:val="22"/>
      <w14:ligatures w14:val="none"/>
    </w:rPr>
  </w:style>
  <w:style w:type="paragraph" w:styleId="FootnoteText">
    <w:name w:val="footnote text"/>
    <w:basedOn w:val="Normal"/>
    <w:link w:val="FootnoteTextChar"/>
    <w:uiPriority w:val="99"/>
    <w:semiHidden/>
    <w:unhideWhenUsed/>
    <w:rsid w:val="0054112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54112C"/>
    <w:rPr>
      <w:kern w:val="0"/>
      <w:sz w:val="20"/>
      <w:szCs w:val="20"/>
      <w14:ligatures w14:val="none"/>
    </w:rPr>
  </w:style>
  <w:style w:type="character" w:styleId="FootnoteReference">
    <w:name w:val="footnote reference"/>
    <w:basedOn w:val="DefaultParagraphFont"/>
    <w:uiPriority w:val="99"/>
    <w:semiHidden/>
    <w:unhideWhenUsed/>
    <w:rsid w:val="0054112C"/>
    <w:rPr>
      <w:vertAlign w:val="superscript"/>
    </w:rPr>
  </w:style>
  <w:style w:type="paragraph" w:styleId="TOC2">
    <w:name w:val="toc 2"/>
    <w:basedOn w:val="Normal"/>
    <w:next w:val="Normal"/>
    <w:autoRedefine/>
    <w:uiPriority w:val="39"/>
    <w:unhideWhenUsed/>
    <w:rsid w:val="00A90AF7"/>
    <w:pPr>
      <w:spacing w:after="100"/>
      <w:ind w:left="240"/>
    </w:pPr>
  </w:style>
  <w:style w:type="paragraph" w:styleId="TOC3">
    <w:name w:val="toc 3"/>
    <w:basedOn w:val="Normal"/>
    <w:next w:val="Normal"/>
    <w:autoRedefine/>
    <w:uiPriority w:val="39"/>
    <w:unhideWhenUsed/>
    <w:rsid w:val="00F1157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3647">
      <w:bodyDiv w:val="1"/>
      <w:marLeft w:val="0"/>
      <w:marRight w:val="0"/>
      <w:marTop w:val="0"/>
      <w:marBottom w:val="0"/>
      <w:divBdr>
        <w:top w:val="none" w:sz="0" w:space="0" w:color="auto"/>
        <w:left w:val="none" w:sz="0" w:space="0" w:color="auto"/>
        <w:bottom w:val="none" w:sz="0" w:space="0" w:color="auto"/>
        <w:right w:val="none" w:sz="0" w:space="0" w:color="auto"/>
      </w:divBdr>
    </w:div>
    <w:div w:id="39090449">
      <w:bodyDiv w:val="1"/>
      <w:marLeft w:val="0"/>
      <w:marRight w:val="0"/>
      <w:marTop w:val="0"/>
      <w:marBottom w:val="0"/>
      <w:divBdr>
        <w:top w:val="none" w:sz="0" w:space="0" w:color="auto"/>
        <w:left w:val="none" w:sz="0" w:space="0" w:color="auto"/>
        <w:bottom w:val="none" w:sz="0" w:space="0" w:color="auto"/>
        <w:right w:val="none" w:sz="0" w:space="0" w:color="auto"/>
      </w:divBdr>
    </w:div>
    <w:div w:id="258872224">
      <w:bodyDiv w:val="1"/>
      <w:marLeft w:val="0"/>
      <w:marRight w:val="0"/>
      <w:marTop w:val="0"/>
      <w:marBottom w:val="0"/>
      <w:divBdr>
        <w:top w:val="none" w:sz="0" w:space="0" w:color="auto"/>
        <w:left w:val="none" w:sz="0" w:space="0" w:color="auto"/>
        <w:bottom w:val="none" w:sz="0" w:space="0" w:color="auto"/>
        <w:right w:val="none" w:sz="0" w:space="0" w:color="auto"/>
      </w:divBdr>
    </w:div>
    <w:div w:id="357514128">
      <w:bodyDiv w:val="1"/>
      <w:marLeft w:val="0"/>
      <w:marRight w:val="0"/>
      <w:marTop w:val="0"/>
      <w:marBottom w:val="0"/>
      <w:divBdr>
        <w:top w:val="none" w:sz="0" w:space="0" w:color="auto"/>
        <w:left w:val="none" w:sz="0" w:space="0" w:color="auto"/>
        <w:bottom w:val="none" w:sz="0" w:space="0" w:color="auto"/>
        <w:right w:val="none" w:sz="0" w:space="0" w:color="auto"/>
      </w:divBdr>
    </w:div>
    <w:div w:id="413477005">
      <w:bodyDiv w:val="1"/>
      <w:marLeft w:val="0"/>
      <w:marRight w:val="0"/>
      <w:marTop w:val="0"/>
      <w:marBottom w:val="0"/>
      <w:divBdr>
        <w:top w:val="none" w:sz="0" w:space="0" w:color="auto"/>
        <w:left w:val="none" w:sz="0" w:space="0" w:color="auto"/>
        <w:bottom w:val="none" w:sz="0" w:space="0" w:color="auto"/>
        <w:right w:val="none" w:sz="0" w:space="0" w:color="auto"/>
      </w:divBdr>
    </w:div>
    <w:div w:id="580062470">
      <w:bodyDiv w:val="1"/>
      <w:marLeft w:val="0"/>
      <w:marRight w:val="0"/>
      <w:marTop w:val="0"/>
      <w:marBottom w:val="0"/>
      <w:divBdr>
        <w:top w:val="none" w:sz="0" w:space="0" w:color="auto"/>
        <w:left w:val="none" w:sz="0" w:space="0" w:color="auto"/>
        <w:bottom w:val="none" w:sz="0" w:space="0" w:color="auto"/>
        <w:right w:val="none" w:sz="0" w:space="0" w:color="auto"/>
      </w:divBdr>
    </w:div>
    <w:div w:id="660276850">
      <w:bodyDiv w:val="1"/>
      <w:marLeft w:val="0"/>
      <w:marRight w:val="0"/>
      <w:marTop w:val="0"/>
      <w:marBottom w:val="0"/>
      <w:divBdr>
        <w:top w:val="none" w:sz="0" w:space="0" w:color="auto"/>
        <w:left w:val="none" w:sz="0" w:space="0" w:color="auto"/>
        <w:bottom w:val="none" w:sz="0" w:space="0" w:color="auto"/>
        <w:right w:val="none" w:sz="0" w:space="0" w:color="auto"/>
      </w:divBdr>
    </w:div>
    <w:div w:id="719018956">
      <w:bodyDiv w:val="1"/>
      <w:marLeft w:val="0"/>
      <w:marRight w:val="0"/>
      <w:marTop w:val="0"/>
      <w:marBottom w:val="0"/>
      <w:divBdr>
        <w:top w:val="none" w:sz="0" w:space="0" w:color="auto"/>
        <w:left w:val="none" w:sz="0" w:space="0" w:color="auto"/>
        <w:bottom w:val="none" w:sz="0" w:space="0" w:color="auto"/>
        <w:right w:val="none" w:sz="0" w:space="0" w:color="auto"/>
      </w:divBdr>
    </w:div>
    <w:div w:id="776801464">
      <w:bodyDiv w:val="1"/>
      <w:marLeft w:val="0"/>
      <w:marRight w:val="0"/>
      <w:marTop w:val="0"/>
      <w:marBottom w:val="0"/>
      <w:divBdr>
        <w:top w:val="none" w:sz="0" w:space="0" w:color="auto"/>
        <w:left w:val="none" w:sz="0" w:space="0" w:color="auto"/>
        <w:bottom w:val="none" w:sz="0" w:space="0" w:color="auto"/>
        <w:right w:val="none" w:sz="0" w:space="0" w:color="auto"/>
      </w:divBdr>
    </w:div>
    <w:div w:id="806123652">
      <w:bodyDiv w:val="1"/>
      <w:marLeft w:val="0"/>
      <w:marRight w:val="0"/>
      <w:marTop w:val="0"/>
      <w:marBottom w:val="0"/>
      <w:divBdr>
        <w:top w:val="none" w:sz="0" w:space="0" w:color="auto"/>
        <w:left w:val="none" w:sz="0" w:space="0" w:color="auto"/>
        <w:bottom w:val="none" w:sz="0" w:space="0" w:color="auto"/>
        <w:right w:val="none" w:sz="0" w:space="0" w:color="auto"/>
      </w:divBdr>
    </w:div>
    <w:div w:id="883255236">
      <w:bodyDiv w:val="1"/>
      <w:marLeft w:val="0"/>
      <w:marRight w:val="0"/>
      <w:marTop w:val="0"/>
      <w:marBottom w:val="0"/>
      <w:divBdr>
        <w:top w:val="none" w:sz="0" w:space="0" w:color="auto"/>
        <w:left w:val="none" w:sz="0" w:space="0" w:color="auto"/>
        <w:bottom w:val="none" w:sz="0" w:space="0" w:color="auto"/>
        <w:right w:val="none" w:sz="0" w:space="0" w:color="auto"/>
      </w:divBdr>
    </w:div>
    <w:div w:id="899563324">
      <w:bodyDiv w:val="1"/>
      <w:marLeft w:val="0"/>
      <w:marRight w:val="0"/>
      <w:marTop w:val="0"/>
      <w:marBottom w:val="0"/>
      <w:divBdr>
        <w:top w:val="none" w:sz="0" w:space="0" w:color="auto"/>
        <w:left w:val="none" w:sz="0" w:space="0" w:color="auto"/>
        <w:bottom w:val="none" w:sz="0" w:space="0" w:color="auto"/>
        <w:right w:val="none" w:sz="0" w:space="0" w:color="auto"/>
      </w:divBdr>
    </w:div>
    <w:div w:id="1248805973">
      <w:bodyDiv w:val="1"/>
      <w:marLeft w:val="0"/>
      <w:marRight w:val="0"/>
      <w:marTop w:val="0"/>
      <w:marBottom w:val="0"/>
      <w:divBdr>
        <w:top w:val="none" w:sz="0" w:space="0" w:color="auto"/>
        <w:left w:val="none" w:sz="0" w:space="0" w:color="auto"/>
        <w:bottom w:val="none" w:sz="0" w:space="0" w:color="auto"/>
        <w:right w:val="none" w:sz="0" w:space="0" w:color="auto"/>
      </w:divBdr>
    </w:div>
    <w:div w:id="1483811795">
      <w:bodyDiv w:val="1"/>
      <w:marLeft w:val="0"/>
      <w:marRight w:val="0"/>
      <w:marTop w:val="0"/>
      <w:marBottom w:val="0"/>
      <w:divBdr>
        <w:top w:val="none" w:sz="0" w:space="0" w:color="auto"/>
        <w:left w:val="none" w:sz="0" w:space="0" w:color="auto"/>
        <w:bottom w:val="none" w:sz="0" w:space="0" w:color="auto"/>
        <w:right w:val="none" w:sz="0" w:space="0" w:color="auto"/>
      </w:divBdr>
    </w:div>
    <w:div w:id="20168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hyperlink" Target="https://unstats.un.org/unsd/nationalaccount/SNAUpdate/2025/Draft_2025SNA.pdf" TargetMode="External"/><Relationship Id="rId21" Type="http://schemas.openxmlformats.org/officeDocument/2006/relationships/chart" Target="charts/chart11.xml"/><Relationship Id="rId34" Type="http://schemas.openxmlformats.org/officeDocument/2006/relationships/hyperlink" Target="https://unstats.un.org/unsd/publication/SeriesM/SeriesM_84E.pdf" TargetMode="External"/><Relationship Id="rId42" Type="http://schemas.openxmlformats.org/officeDocument/2006/relationships/hyperlink" Target="mailto:chl@un.org"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1.xml"/><Relationship Id="rId37" Type="http://schemas.openxmlformats.org/officeDocument/2006/relationships/chart" Target="charts/chart24.xml"/><Relationship Id="rId40" Type="http://schemas.openxmlformats.org/officeDocument/2006/relationships/hyperlink" Target="https://unstats.un.org/unsd/classifications/cofog/revision"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3.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footer" Target="footer1.xml"/><Relationship Id="rId44" Type="http://schemas.openxmlformats.org/officeDocument/2006/relationships/hyperlink" Target="https://unstats.un.org/unsd/publication/SeriesM/SeriesM_84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2.xml"/><Relationship Id="rId43" Type="http://schemas.openxmlformats.org/officeDocument/2006/relationships/hyperlink" Target="mailto:chl@un.org"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yperlink" Target="https://unstats.un.org/unsd/publication/SeriesM/SeriesM_84E.pdf" TargetMode="External"/><Relationship Id="rId38" Type="http://schemas.openxmlformats.org/officeDocument/2006/relationships/hyperlink" Target="https://unstats.un.org/UNSDWebsite/statcom/session_53/documents/2022-41-FinalReport-E.pdf" TargetMode="External"/><Relationship Id="rId46" Type="http://schemas.openxmlformats.org/officeDocument/2006/relationships/footer" Target="footer2.xml"/><Relationship Id="rId20" Type="http://schemas.openxmlformats.org/officeDocument/2006/relationships/chart" Target="charts/chart10.xml"/><Relationship Id="rId41" Type="http://schemas.openxmlformats.org/officeDocument/2006/relationships/hyperlink" Target="https://www.surveymonkey.com/r/J79YF28" TargetMode="External"/><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970-4907-BF28-9FDBF666EC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70-4907-BF28-9FDBF666EC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970-4907-BF28-9FDBF666EC4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970-4907-BF28-9FDBF666EC4B}"/>
              </c:ext>
            </c:extLst>
          </c:dPt>
          <c:dLbls>
            <c:dLbl>
              <c:idx val="0"/>
              <c:layout>
                <c:manualLayout>
                  <c:x val="-9.8840911015155367E-2"/>
                  <c:y val="-8.726045607935371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970-4907-BF28-9FDBF666EC4B}"/>
                </c:ext>
              </c:extLst>
            </c:dLbl>
            <c:dLbl>
              <c:idx val="1"/>
              <c:layout>
                <c:manualLayout>
                  <c:x val="9.27257641181949E-2"/>
                  <c:y val="-2.19690152367318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970-4907-BF28-9FDBF666EC4B}"/>
                </c:ext>
              </c:extLst>
            </c:dLbl>
            <c:dLbl>
              <c:idx val="2"/>
              <c:layout>
                <c:manualLayout>
                  <c:x val="3.8969773939547876E-2"/>
                  <c:y val="0.1395659065344104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970-4907-BF28-9FDBF666EC4B}"/>
                </c:ext>
              </c:extLst>
            </c:dLbl>
            <c:dLbl>
              <c:idx val="3"/>
              <c:layout>
                <c:manualLayout>
                  <c:x val="8.3115739564812458E-3"/>
                  <c:y val="4.7172512526843235E-3"/>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970-4907-BF28-9FDBF666EC4B}"/>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NSOs</c:v>
                </c:pt>
                <c:pt idx="1">
                  <c:v>Ministries of Finance, Treasury, Central Banks, etc</c:v>
                </c:pt>
                <c:pt idx="2">
                  <c:v>International/regional organizations</c:v>
                </c:pt>
                <c:pt idx="3">
                  <c:v>Experts/consultants</c:v>
                </c:pt>
              </c:strCache>
            </c:strRef>
          </c:cat>
          <c:val>
            <c:numRef>
              <c:f>Sheet1!$B$2:$B$5</c:f>
              <c:numCache>
                <c:formatCode>0%</c:formatCode>
                <c:ptCount val="4"/>
                <c:pt idx="0">
                  <c:v>0.57999999999999996</c:v>
                </c:pt>
                <c:pt idx="1">
                  <c:v>0.31</c:v>
                </c:pt>
                <c:pt idx="2">
                  <c:v>0.08</c:v>
                </c:pt>
                <c:pt idx="3">
                  <c:v>0.03</c:v>
                </c:pt>
              </c:numCache>
            </c:numRef>
          </c:val>
          <c:extLst>
            <c:ext xmlns:c16="http://schemas.microsoft.com/office/drawing/2014/chart" uri="{C3380CC4-5D6E-409C-BE32-E72D297353CC}">
              <c16:uniqueId val="{00000000-E44B-42AF-889B-7A277CB46D94}"/>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4566709000084668"/>
          <c:y val="6.7123427753349008E-2"/>
          <c:w val="0.44044399288798569"/>
          <c:h val="0.8598108191021578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4A-4C82-8B17-335C382669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4A-4C82-8B17-335C3826699E}"/>
              </c:ext>
            </c:extLst>
          </c:dPt>
          <c:dLbls>
            <c:dLbl>
              <c:idx val="0"/>
              <c:layout>
                <c:manualLayout>
                  <c:x val="-0.11377286303161956"/>
                  <c:y val="-0.173701144499794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4A-4C82-8B17-335C3826699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0.69</c:v>
                </c:pt>
                <c:pt idx="1">
                  <c:v>0.31</c:v>
                </c:pt>
              </c:numCache>
            </c:numRef>
          </c:val>
          <c:extLst>
            <c:ext xmlns:c16="http://schemas.microsoft.com/office/drawing/2014/chart" uri="{C3380CC4-5D6E-409C-BE32-E72D297353CC}">
              <c16:uniqueId val="{00000004-234A-4C82-8B17-335C3826699E}"/>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69226606185096429"/>
          <c:y val="0.37226346706661673"/>
          <c:w val="0.16896239067295271"/>
          <c:h val="0.30082382559322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60551861622279"/>
          <c:y val="0.15443468647071018"/>
          <c:w val="0.21020279493533059"/>
          <c:h val="0.69113062705857964"/>
        </c:manualLayout>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BA-4788-943F-337FE6DCA1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BA-4788-943F-337FE6DCA12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2BA-4788-943F-337FE6DCA122}"/>
              </c:ext>
            </c:extLst>
          </c:dPt>
          <c:dLbls>
            <c:dLbl>
              <c:idx val="2"/>
              <c:layout>
                <c:manualLayout>
                  <c:x val="7.963143841895208E-2"/>
                  <c:y val="-7.6846840028824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2BA-4788-943F-337FE6DCA12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 institution uses alternative methods to identify secondary expenditure </c:v>
                </c:pt>
                <c:pt idx="2">
                  <c:v>No, institution does not identify secondary expenditure</c:v>
                </c:pt>
              </c:strCache>
            </c:strRef>
          </c:cat>
          <c:val>
            <c:numRef>
              <c:f>Sheet1!$B$2:$B$4</c:f>
              <c:numCache>
                <c:formatCode>0%</c:formatCode>
                <c:ptCount val="3"/>
                <c:pt idx="0">
                  <c:v>0.28999999999999998</c:v>
                </c:pt>
                <c:pt idx="1">
                  <c:v>0.15</c:v>
                </c:pt>
                <c:pt idx="2">
                  <c:v>0.56000000000000005</c:v>
                </c:pt>
              </c:numCache>
            </c:numRef>
          </c:val>
          <c:extLst>
            <c:ext xmlns:c16="http://schemas.microsoft.com/office/drawing/2014/chart" uri="{C3380CC4-5D6E-409C-BE32-E72D297353CC}">
              <c16:uniqueId val="{00000004-E2BA-4788-943F-337FE6DCA122}"/>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3732011256600045"/>
          <c:y val="0.10442991533705591"/>
          <c:w val="0.5539616266827857"/>
          <c:h val="0.8316954634745040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392987827253981E-2"/>
          <c:y val="0.16227257307122325"/>
          <c:w val="0.19831930129905534"/>
          <c:h val="0.67545485385755355"/>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678-4C59-BC13-ED68A4129E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678-4C59-BC13-ED68A4129ECE}"/>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0.54</c:v>
                </c:pt>
                <c:pt idx="1">
                  <c:v>0.46</c:v>
                </c:pt>
              </c:numCache>
            </c:numRef>
          </c:val>
          <c:extLst>
            <c:ext xmlns:c16="http://schemas.microsoft.com/office/drawing/2014/chart" uri="{C3380CC4-5D6E-409C-BE32-E72D297353CC}">
              <c16:uniqueId val="{00000004-0678-4C59-BC13-ED68A4129ECE}"/>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35671346341361126"/>
          <c:y val="0.33598228792829471"/>
          <c:w val="0.1355245641316779"/>
          <c:h val="0.3280347099469709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03563820059215"/>
          <c:y val="0.16227257307122325"/>
          <c:w val="0.20707821126878917"/>
          <c:h val="0.74801721213419758"/>
        </c:manualLayout>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96B-4396-BB80-53393B3334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6B-4396-BB80-53393B3334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96B-4396-BB80-53393B33345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Ex post (at the end of the budget cycle)</c:v>
                </c:pt>
                <c:pt idx="1">
                  <c:v>Ex ante (at the beginning of the budget cycle)</c:v>
                </c:pt>
                <c:pt idx="2">
                  <c:v>Not sure/not applicable</c:v>
                </c:pt>
              </c:strCache>
            </c:strRef>
          </c:cat>
          <c:val>
            <c:numRef>
              <c:f>Sheet1!$B$2:$B$4</c:f>
              <c:numCache>
                <c:formatCode>0%</c:formatCode>
                <c:ptCount val="3"/>
                <c:pt idx="0">
                  <c:v>0.57999999999999996</c:v>
                </c:pt>
                <c:pt idx="1">
                  <c:v>0.19</c:v>
                </c:pt>
                <c:pt idx="2">
                  <c:v>0.22</c:v>
                </c:pt>
              </c:numCache>
            </c:numRef>
          </c:val>
          <c:extLst>
            <c:ext xmlns:c16="http://schemas.microsoft.com/office/drawing/2014/chart" uri="{C3380CC4-5D6E-409C-BE32-E72D297353CC}">
              <c16:uniqueId val="{00000006-396B-4396-BB80-53393B33345B}"/>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45283929809777124"/>
          <c:y val="8.2014033960040714E-2"/>
          <c:w val="0.54716070190222876"/>
          <c:h val="0.8359712178834788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994397561291389"/>
          <c:y val="0.16726134233220846"/>
          <c:w val="0.23878959076303799"/>
          <c:h val="0.7607154105736782"/>
        </c:manualLayout>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06-4BFC-B214-EB99699FF1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06-4BFC-B214-EB99699FF13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06-4BFC-B214-EB99699FF137}"/>
              </c:ext>
            </c:extLst>
          </c:dPt>
          <c:dLbls>
            <c:dLbl>
              <c:idx val="0"/>
              <c:layout>
                <c:manualLayout>
                  <c:x val="-7.391007196310527E-2"/>
                  <c:y val="-0.25091934936704341"/>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06-4BFC-B214-EB99699FF137}"/>
                </c:ext>
              </c:extLst>
            </c:dLbl>
            <c:dLbl>
              <c:idx val="1"/>
              <c:layout>
                <c:manualLayout>
                  <c:x val="5.5678118710497514E-2"/>
                  <c:y val="0.17593475815523055"/>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06-4BFC-B214-EB99699FF137}"/>
                </c:ext>
              </c:extLst>
            </c:dLbl>
            <c:dLbl>
              <c:idx val="2"/>
              <c:layout>
                <c:manualLayout>
                  <c:x val="9.3714963207340487E-3"/>
                  <c:y val="2.5746067455853734E-2"/>
                </c:manualLayout>
              </c:layout>
              <c:tx>
                <c:rich>
                  <a:bodyPr/>
                  <a:lstStyle/>
                  <a:p>
                    <a:fld id="{13BC2336-66D6-4C00-BF71-6EF3EF87C5BD}" type="VALUE">
                      <a:rPr lang="en-US" sz="105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A06-4BFC-B214-EB99699FF137}"/>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 </c:v>
                </c:pt>
                <c:pt idx="2">
                  <c:v>Not sure/not applicable</c:v>
                </c:pt>
              </c:strCache>
            </c:strRef>
          </c:cat>
          <c:val>
            <c:numRef>
              <c:f>Sheet1!$B$2:$B$4</c:f>
              <c:numCache>
                <c:formatCode>0%</c:formatCode>
                <c:ptCount val="3"/>
                <c:pt idx="0">
                  <c:v>0.87</c:v>
                </c:pt>
                <c:pt idx="1">
                  <c:v>0.09</c:v>
                </c:pt>
                <c:pt idx="2">
                  <c:v>0.04</c:v>
                </c:pt>
              </c:numCache>
            </c:numRef>
          </c:val>
          <c:extLst>
            <c:ext xmlns:c16="http://schemas.microsoft.com/office/drawing/2014/chart" uri="{C3380CC4-5D6E-409C-BE32-E72D297353CC}">
              <c16:uniqueId val="{00000006-4A06-4BFC-B214-EB99699FF137}"/>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5042930902783761"/>
          <c:y val="0.15911136107986498"/>
          <c:w val="0.48855568382179804"/>
          <c:h val="0.636878140232470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35224443098459"/>
          <c:y val="4.3504053786830137E-2"/>
          <c:w val="0.8721434820647419"/>
          <c:h val="0.7404742377390533"/>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chemeClr val="accent1"/>
              </a:solidFill>
              <a:ln>
                <a:noFill/>
              </a:ln>
              <a:effectLst/>
            </c:spPr>
            <c:extLst>
              <c:ext xmlns:c16="http://schemas.microsoft.com/office/drawing/2014/chart" uri="{C3380CC4-5D6E-409C-BE32-E72D297353CC}">
                <c16:uniqueId val="{00000001-CB39-4973-A8FC-E3C9EBE2C216}"/>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3-CB39-4973-A8FC-E3C9EBE2C216}"/>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5-CB39-4973-A8FC-E3C9EBE2C216}"/>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7-CB39-4973-A8FC-E3C9EBE2C216}"/>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Pre-1995</c:v>
                </c:pt>
                <c:pt idx="1">
                  <c:v>1995</c:v>
                </c:pt>
                <c:pt idx="2">
                  <c:v>1996-2005</c:v>
                </c:pt>
                <c:pt idx="3">
                  <c:v>2006-2015</c:v>
                </c:pt>
                <c:pt idx="4">
                  <c:v>2016-past two years</c:v>
                </c:pt>
              </c:strCache>
            </c:strRef>
          </c:cat>
          <c:val>
            <c:numRef>
              <c:f>Sheet1!$B$2:$B$6</c:f>
              <c:numCache>
                <c:formatCode>0%</c:formatCode>
                <c:ptCount val="5"/>
                <c:pt idx="0">
                  <c:v>0.17</c:v>
                </c:pt>
                <c:pt idx="1">
                  <c:v>0.13</c:v>
                </c:pt>
                <c:pt idx="2">
                  <c:v>0.27</c:v>
                </c:pt>
                <c:pt idx="3">
                  <c:v>0.23</c:v>
                </c:pt>
                <c:pt idx="4">
                  <c:v>0.2</c:v>
                </c:pt>
              </c:numCache>
            </c:numRef>
          </c:val>
          <c:extLst>
            <c:ext xmlns:c16="http://schemas.microsoft.com/office/drawing/2014/chart" uri="{C3380CC4-5D6E-409C-BE32-E72D297353CC}">
              <c16:uniqueId val="{00000008-CB39-4973-A8FC-E3C9EBE2C216}"/>
            </c:ext>
          </c:extLst>
        </c:ser>
        <c:dLbls>
          <c:showLegendKey val="0"/>
          <c:showVal val="0"/>
          <c:showCatName val="0"/>
          <c:showSerName val="0"/>
          <c:showPercent val="0"/>
          <c:showBubbleSize val="0"/>
        </c:dLbls>
        <c:gapWidth val="219"/>
        <c:axId val="1458862448"/>
        <c:axId val="1458858608"/>
      </c:barChart>
      <c:catAx>
        <c:axId val="145886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8858608"/>
        <c:crosses val="autoZero"/>
        <c:auto val="1"/>
        <c:lblAlgn val="ctr"/>
        <c:lblOffset val="100"/>
        <c:noMultiLvlLbl val="0"/>
      </c:catAx>
      <c:valAx>
        <c:axId val="1458858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862448"/>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35224443098459"/>
          <c:y val="3.2869657002030941E-2"/>
          <c:w val="0.86995915952869474"/>
          <c:h val="0.56582319041358609"/>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chemeClr val="accent1"/>
              </a:solidFill>
              <a:ln>
                <a:noFill/>
              </a:ln>
              <a:effectLst/>
            </c:spPr>
            <c:extLst>
              <c:ext xmlns:c16="http://schemas.microsoft.com/office/drawing/2014/chart" uri="{C3380CC4-5D6E-409C-BE32-E72D297353CC}">
                <c16:uniqueId val="{00000001-AF17-41FC-88CA-AF7B6D252BBB}"/>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3-AF17-41FC-88CA-AF7B6D252BBB}"/>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5-957A-4E5D-BF4C-116C7E8EC408}"/>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7-957A-4E5D-BF4C-116C7E8EC408}"/>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Total outlays according to GFSM </c:v>
                </c:pt>
                <c:pt idx="1">
                  <c:v>Total expenditure according to ESA 2010</c:v>
                </c:pt>
                <c:pt idx="2">
                  <c:v>Final consumption expenditure </c:v>
                </c:pt>
                <c:pt idx="3">
                  <c:v>Other types of current expenditure</c:v>
                </c:pt>
                <c:pt idx="4">
                  <c:v>Capital expenditure</c:v>
                </c:pt>
                <c:pt idx="5">
                  <c:v>Transactions in financial assets and liabilities</c:v>
                </c:pt>
                <c:pt idx="6">
                  <c:v>Other</c:v>
                </c:pt>
              </c:strCache>
            </c:strRef>
          </c:cat>
          <c:val>
            <c:numRef>
              <c:f>Sheet1!$B$2:$B$8</c:f>
              <c:numCache>
                <c:formatCode>0%</c:formatCode>
                <c:ptCount val="7"/>
                <c:pt idx="0">
                  <c:v>0.67</c:v>
                </c:pt>
                <c:pt idx="1">
                  <c:v>0.5</c:v>
                </c:pt>
                <c:pt idx="2">
                  <c:v>0.78</c:v>
                </c:pt>
                <c:pt idx="3">
                  <c:v>0.68</c:v>
                </c:pt>
                <c:pt idx="4">
                  <c:v>0.71</c:v>
                </c:pt>
                <c:pt idx="5">
                  <c:v>0.23</c:v>
                </c:pt>
                <c:pt idx="6">
                  <c:v>0.1</c:v>
                </c:pt>
              </c:numCache>
            </c:numRef>
          </c:val>
          <c:extLst>
            <c:ext xmlns:c16="http://schemas.microsoft.com/office/drawing/2014/chart" uri="{C3380CC4-5D6E-409C-BE32-E72D297353CC}">
              <c16:uniqueId val="{00000008-AF17-41FC-88CA-AF7B6D252BBB}"/>
            </c:ext>
          </c:extLst>
        </c:ser>
        <c:dLbls>
          <c:showLegendKey val="0"/>
          <c:showVal val="0"/>
          <c:showCatName val="0"/>
          <c:showSerName val="0"/>
          <c:showPercent val="0"/>
          <c:showBubbleSize val="0"/>
        </c:dLbls>
        <c:gapWidth val="219"/>
        <c:axId val="1458862448"/>
        <c:axId val="1458858608"/>
      </c:barChart>
      <c:catAx>
        <c:axId val="145886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858608"/>
        <c:crosses val="autoZero"/>
        <c:auto val="1"/>
        <c:lblAlgn val="ctr"/>
        <c:lblOffset val="100"/>
        <c:noMultiLvlLbl val="0"/>
      </c:catAx>
      <c:valAx>
        <c:axId val="1458858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86244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87-4853-8118-A914C92393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87-4853-8118-A914C92393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87-4853-8118-A914C9239300}"/>
              </c:ext>
            </c:extLst>
          </c:dPt>
          <c:dLbls>
            <c:dLbl>
              <c:idx val="0"/>
              <c:layout>
                <c:manualLayout>
                  <c:x val="-8.795569804992813E-2"/>
                  <c:y val="-0.1330055171674969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87-4853-8118-A914C9239300}"/>
                </c:ext>
              </c:extLst>
            </c:dLbl>
            <c:dLbl>
              <c:idx val="1"/>
              <c:layout>
                <c:manualLayout>
                  <c:x val="8.747448881694396E-2"/>
                  <c:y val="-5.268627135893727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87-4853-8118-A914C9239300}"/>
                </c:ext>
              </c:extLst>
            </c:dLbl>
            <c:dLbl>
              <c:idx val="2"/>
              <c:layout>
                <c:manualLayout>
                  <c:x val="6.2491612562607789E-2"/>
                  <c:y val="0.1618004892245612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13BC2336-66D6-4C00-BF71-6EF3EF87C5BD}" type="VALUE">
                      <a:rPr lang="en-US" sz="1000">
                        <a:solidFill>
                          <a:schemeClr val="bg1"/>
                        </a:solidFill>
                      </a:rPr>
                      <a:pPr>
                        <a:defRPr sz="1000" b="1">
                          <a:solidFill>
                            <a:schemeClr val="bg1"/>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987-4853-8118-A914C923930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 </c:v>
                </c:pt>
                <c:pt idx="2">
                  <c:v>Not sure/not applicable</c:v>
                </c:pt>
              </c:strCache>
            </c:strRef>
          </c:cat>
          <c:val>
            <c:numRef>
              <c:f>Sheet1!$B$2:$B$4</c:f>
              <c:numCache>
                <c:formatCode>0%</c:formatCode>
                <c:ptCount val="3"/>
                <c:pt idx="0">
                  <c:v>0.62</c:v>
                </c:pt>
                <c:pt idx="1">
                  <c:v>0.19</c:v>
                </c:pt>
                <c:pt idx="2">
                  <c:v>0.19</c:v>
                </c:pt>
              </c:numCache>
            </c:numRef>
          </c:val>
          <c:extLst>
            <c:ext xmlns:c16="http://schemas.microsoft.com/office/drawing/2014/chart" uri="{C3380CC4-5D6E-409C-BE32-E72D297353CC}">
              <c16:uniqueId val="{00000006-1987-4853-8118-A914C9239300}"/>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5042930902783761"/>
          <c:y val="0.19085757137500664"/>
          <c:w val="0.42652651360538285"/>
          <c:h val="0.5910732586998054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87390421806339"/>
          <c:y val="0.10785080436374024"/>
          <c:w val="0.18236577368338872"/>
          <c:h val="0.72987662256503649"/>
        </c:manualLayout>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81B-4483-85A4-BE1A0B04C5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81B-4483-85A4-BE1A0B04C5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81B-4483-85A4-BE1A0B04C53D}"/>
              </c:ext>
            </c:extLst>
          </c:dPt>
          <c:dLbls>
            <c:dLbl>
              <c:idx val="0"/>
              <c:layout>
                <c:manualLayout>
                  <c:x val="-7.2294554211904213E-2"/>
                  <c:y val="-8.7654043244594429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1B-4483-85A4-BE1A0B04C53D}"/>
                </c:ext>
              </c:extLst>
            </c:dLbl>
            <c:dLbl>
              <c:idx val="1"/>
              <c:layout>
                <c:manualLayout>
                  <c:x val="5.1430840266779687E-2"/>
                  <c:y val="-0.15245951398932284"/>
                </c:manualLayout>
              </c:layout>
              <c:tx>
                <c:rich>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fld id="{D17E24A5-EF83-4D9E-AEFC-C5D61819E3AE}" type="VALUE">
                      <a:rPr lang="en-US" sz="1050"/>
                      <a:pPr>
                        <a:defRPr sz="1050" b="1">
                          <a:solidFill>
                            <a:schemeClr val="bg1"/>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81B-4483-85A4-BE1A0B04C53D}"/>
                </c:ext>
              </c:extLst>
            </c:dLbl>
            <c:dLbl>
              <c:idx val="2"/>
              <c:layout>
                <c:manualLayout>
                  <c:x val="6.0007301142711592E-2"/>
                  <c:y val="0.12551931008623926"/>
                </c:manualLayout>
              </c:layout>
              <c:tx>
                <c:rich>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fld id="{13BC2336-66D6-4C00-BF71-6EF3EF87C5BD}" type="VALUE">
                      <a:rPr lang="en-US" sz="1050">
                        <a:solidFill>
                          <a:schemeClr val="bg1"/>
                        </a:solidFill>
                      </a:rPr>
                      <a:pPr>
                        <a:defRPr sz="1050" b="1">
                          <a:solidFill>
                            <a:schemeClr val="bg1"/>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81B-4483-85A4-BE1A0B04C53D}"/>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Precise mapping of COFOG classification to collective &amp; individual goods &amp; services as defined in SNA</c:v>
                </c:pt>
                <c:pt idx="1">
                  <c:v>Local adaptation</c:v>
                </c:pt>
                <c:pt idx="2">
                  <c:v>Not sure/not applicable</c:v>
                </c:pt>
              </c:strCache>
            </c:strRef>
          </c:cat>
          <c:val>
            <c:numRef>
              <c:f>Sheet1!$B$2:$B$4</c:f>
              <c:numCache>
                <c:formatCode>0%</c:formatCode>
                <c:ptCount val="3"/>
                <c:pt idx="0">
                  <c:v>0.57999999999999996</c:v>
                </c:pt>
                <c:pt idx="1">
                  <c:v>0.11</c:v>
                </c:pt>
                <c:pt idx="2">
                  <c:v>0.31</c:v>
                </c:pt>
              </c:numCache>
            </c:numRef>
          </c:val>
          <c:extLst>
            <c:ext xmlns:c16="http://schemas.microsoft.com/office/drawing/2014/chart" uri="{C3380CC4-5D6E-409C-BE32-E72D297353CC}">
              <c16:uniqueId val="{00000006-481B-4483-85A4-BE1A0B04C53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2789612852318476"/>
          <c:y val="0.1364358026675237"/>
          <c:w val="0.57210393369753221"/>
          <c:h val="0.8359712178834788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BE7-4412-B92D-5500240881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BE7-4412-B92D-55002408815D}"/>
              </c:ext>
            </c:extLst>
          </c:dPt>
          <c:dLbls>
            <c:dLbl>
              <c:idx val="0"/>
              <c:layout>
                <c:manualLayout>
                  <c:x val="-8.432660761154856E-2"/>
                  <c:y val="-0.2237084650133019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E7-4412-B92D-55002408815D}"/>
                </c:ext>
              </c:extLst>
            </c:dLbl>
            <c:dLbl>
              <c:idx val="1"/>
              <c:layout>
                <c:manualLayout>
                  <c:x val="6.695590551181102E-2"/>
                  <c:y val="0.1740710982555751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E7-4412-B92D-55002408815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 </c:v>
                </c:pt>
              </c:strCache>
            </c:strRef>
          </c:cat>
          <c:val>
            <c:numRef>
              <c:f>Sheet1!$B$2:$B$3</c:f>
              <c:numCache>
                <c:formatCode>0%</c:formatCode>
                <c:ptCount val="2"/>
                <c:pt idx="0">
                  <c:v>0.74</c:v>
                </c:pt>
                <c:pt idx="1">
                  <c:v>0.26</c:v>
                </c:pt>
              </c:numCache>
            </c:numRef>
          </c:val>
          <c:extLst>
            <c:ext xmlns:c16="http://schemas.microsoft.com/office/drawing/2014/chart" uri="{C3380CC4-5D6E-409C-BE32-E72D297353CC}">
              <c16:uniqueId val="{00000006-5BE7-4412-B92D-55002408815D}"/>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62234853455818018"/>
          <c:y val="0.28156051922081166"/>
          <c:w val="0.12744449912510936"/>
          <c:h val="0.3643158890852928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B87-466E-BD06-C2A755CC6EE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B87-466E-BD06-C2A755CC6EE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B87-466E-BD06-C2A755CC6EE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B87-466E-BD06-C2A755CC6EE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8C9-4BD4-9096-20ECB209934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A-08C9-4BD4-9096-20ECB2099349}"/>
              </c:ext>
            </c:extLst>
          </c:dPt>
          <c:dLbls>
            <c:dLbl>
              <c:idx val="0"/>
              <c:layout>
                <c:manualLayout>
                  <c:x val="-8.0478981553124745E-2"/>
                  <c:y val="0.12063648293963254"/>
                </c:manualLayout>
              </c:layout>
              <c:tx>
                <c:rich>
                  <a:bodyPr/>
                  <a:lstStyle/>
                  <a:p>
                    <a:r>
                      <a:rPr lang="en-US"/>
                      <a:t>31%</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B87-466E-BD06-C2A755CC6EE0}"/>
                </c:ext>
              </c:extLst>
            </c:dLbl>
            <c:dLbl>
              <c:idx val="1"/>
              <c:layout>
                <c:manualLayout>
                  <c:x val="-6.1399285590264689E-2"/>
                  <c:y val="-0.1884585099939430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B87-466E-BD06-C2A755CC6EE0}"/>
                </c:ext>
              </c:extLst>
            </c:dLbl>
            <c:dLbl>
              <c:idx val="2"/>
              <c:layout>
                <c:manualLayout>
                  <c:x val="5.5102264432745518E-2"/>
                  <c:y val="-0.2098743185947910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B87-466E-BD06-C2A755CC6EE0}"/>
                </c:ext>
              </c:extLst>
            </c:dLbl>
            <c:dLbl>
              <c:idx val="3"/>
              <c:layout>
                <c:manualLayout>
                  <c:x val="8.1724394277304935E-2"/>
                  <c:y val="-2.92252170401777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B87-466E-BD06-C2A755CC6EE0}"/>
                </c:ext>
              </c:extLst>
            </c:dLbl>
            <c:dLbl>
              <c:idx val="4"/>
              <c:layout>
                <c:manualLayout>
                  <c:x val="6.734281047239038E-2"/>
                  <c:y val="0.1047627700383605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8C9-4BD4-9096-20ECB2099349}"/>
                </c:ext>
              </c:extLst>
            </c:dLbl>
            <c:dLbl>
              <c:idx val="5"/>
              <c:layout>
                <c:manualLayout>
                  <c:x val="4.5987555987100845E-2"/>
                  <c:y val="0.1744962648899656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08C9-4BD4-9096-20ECB209934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Asia-Pacific </c:v>
                </c:pt>
                <c:pt idx="1">
                  <c:v>Western Europe and others</c:v>
                </c:pt>
                <c:pt idx="2">
                  <c:v>Eastern Europe </c:v>
                </c:pt>
                <c:pt idx="3">
                  <c:v>Africa </c:v>
                </c:pt>
                <c:pt idx="4">
                  <c:v>Latin America and Caribbean</c:v>
                </c:pt>
                <c:pt idx="5">
                  <c:v>International/regional organizations or experts/consultants </c:v>
                </c:pt>
              </c:strCache>
            </c:strRef>
          </c:cat>
          <c:val>
            <c:numRef>
              <c:f>Sheet1!$B$2:$B$7</c:f>
              <c:numCache>
                <c:formatCode>0.0%</c:formatCode>
                <c:ptCount val="6"/>
                <c:pt idx="0">
                  <c:v>0.31</c:v>
                </c:pt>
                <c:pt idx="1">
                  <c:v>0.19</c:v>
                </c:pt>
                <c:pt idx="2">
                  <c:v>0.17</c:v>
                </c:pt>
                <c:pt idx="3">
                  <c:v>0.13</c:v>
                </c:pt>
                <c:pt idx="4">
                  <c:v>0.1</c:v>
                </c:pt>
                <c:pt idx="5">
                  <c:v>0.11</c:v>
                </c:pt>
              </c:numCache>
            </c:numRef>
          </c:val>
          <c:extLst>
            <c:ext xmlns:c16="http://schemas.microsoft.com/office/drawing/2014/chart" uri="{C3380CC4-5D6E-409C-BE32-E72D297353CC}">
              <c16:uniqueId val="{00000008-7B87-466E-BD06-C2A755CC6EE0}"/>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5545491784625178"/>
          <c:y val="2.3833535231173021E-2"/>
          <c:w val="0.43921954360714544"/>
          <c:h val="0.9468902685241268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FAA-4CD8-A6B8-DBACDA80818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FAA-4CD8-A6B8-DBACDA80818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FAA-4CD8-A6B8-DBACDA80818B}"/>
              </c:ext>
            </c:extLst>
          </c:dPt>
          <c:dLbls>
            <c:dLbl>
              <c:idx val="0"/>
              <c:layout>
                <c:manualLayout>
                  <c:x val="-5.8280773994690664E-2"/>
                  <c:y val="0.1391033263699180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AA-4CD8-A6B8-DBACDA80818B}"/>
                </c:ext>
              </c:extLst>
            </c:dLbl>
            <c:dLbl>
              <c:idx val="1"/>
              <c:layout>
                <c:manualLayout>
                  <c:x val="-1.8551707078890086E-2"/>
                  <c:y val="-0.225021872265966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AA-4CD8-A6B8-DBACDA80818B}"/>
                </c:ext>
              </c:extLst>
            </c:dLbl>
            <c:dLbl>
              <c:idx val="2"/>
              <c:layout>
                <c:manualLayout>
                  <c:x val="6.0007301142711592E-2"/>
                  <c:y val="0.12551931008623926"/>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13BC2336-66D6-4C00-BF71-6EF3EF87C5BD}" type="VALUE">
                      <a:rPr lang="en-US" sz="1000">
                        <a:solidFill>
                          <a:schemeClr val="bg1"/>
                        </a:solidFill>
                      </a:rPr>
                      <a:pPr>
                        <a:defRPr sz="1000" b="1">
                          <a:solidFill>
                            <a:schemeClr val="bg1"/>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FAA-4CD8-A6B8-DBACDA80818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 </c:v>
                </c:pt>
                <c:pt idx="2">
                  <c:v>Not sure/not applicable</c:v>
                </c:pt>
              </c:strCache>
            </c:strRef>
          </c:cat>
          <c:val>
            <c:numRef>
              <c:f>Sheet1!$B$2:$B$4</c:f>
              <c:numCache>
                <c:formatCode>0%</c:formatCode>
                <c:ptCount val="3"/>
                <c:pt idx="0">
                  <c:v>0.28999999999999998</c:v>
                </c:pt>
                <c:pt idx="1">
                  <c:v>0.38</c:v>
                </c:pt>
                <c:pt idx="2">
                  <c:v>0.33</c:v>
                </c:pt>
              </c:numCache>
            </c:numRef>
          </c:val>
          <c:extLst>
            <c:ext xmlns:c16="http://schemas.microsoft.com/office/drawing/2014/chart" uri="{C3380CC4-5D6E-409C-BE32-E72D297353CC}">
              <c16:uniqueId val="{00000006-9FAA-4CD8-A6B8-DBACDA80818B}"/>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0263622746094028"/>
          <c:y val="0.2362090452979092"/>
          <c:w val="0.30569774188713389"/>
          <c:h val="0.5547920795614833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r>
              <a:rPr lang="en-US" sz="1300"/>
              <a:t>%</a:t>
            </a:r>
            <a:r>
              <a:rPr lang="en-US" sz="1300" baseline="0"/>
              <a:t> Respondents who say issue category should be considered in revision</a:t>
            </a:r>
            <a:endParaRPr lang="en-US" sz="1300"/>
          </a:p>
        </c:rich>
      </c:tx>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6999927092446783"/>
          <c:y val="6.3492063492063489E-2"/>
          <c:w val="0.57246524739963056"/>
          <c:h val="0.30207020253420702"/>
        </c:manualLayout>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A15. Indigenous peoples</c:v>
                </c:pt>
                <c:pt idx="1">
                  <c:v>A14. Gender</c:v>
                </c:pt>
                <c:pt idx="2">
                  <c:v>B2. Primary/secondary purpose</c:v>
                </c:pt>
                <c:pt idx="3">
                  <c:v>A02. Defence</c:v>
                </c:pt>
                <c:pt idx="4">
                  <c:v>A13. Digitalization</c:v>
                </c:pt>
                <c:pt idx="5">
                  <c:v>A03. Public order and safety</c:v>
                </c:pt>
                <c:pt idx="6">
                  <c:v>B3. Additional uses of COFOG</c:v>
                </c:pt>
                <c:pt idx="7">
                  <c:v>B1. COFOG structure/classification principles</c:v>
                </c:pt>
                <c:pt idx="8">
                  <c:v>A11. Cross-cutting issues</c:v>
                </c:pt>
                <c:pt idx="9">
                  <c:v>B6. Internal consistency with  other    classifications of expenditure according to purpose</c:v>
                </c:pt>
                <c:pt idx="10">
                  <c:v>A12. R&amp;D </c:v>
                </c:pt>
                <c:pt idx="11">
                  <c:v>A06. Housing and community amenities</c:v>
                </c:pt>
                <c:pt idx="12">
                  <c:v>A10. Social protection </c:v>
                </c:pt>
                <c:pt idx="13">
                  <c:v>B7. Alignment with other classifications/frameworks</c:v>
                </c:pt>
                <c:pt idx="14">
                  <c:v>A09. Education </c:v>
                </c:pt>
                <c:pt idx="15">
                  <c:v>B5. Individual/collective expenditure</c:v>
                </c:pt>
                <c:pt idx="16">
                  <c:v>B4. Compilation issues</c:v>
                </c:pt>
                <c:pt idx="17">
                  <c:v>A07. Health </c:v>
                </c:pt>
                <c:pt idx="18">
                  <c:v>A01. General public services</c:v>
                </c:pt>
                <c:pt idx="19">
                  <c:v>A04. Economic affairs</c:v>
                </c:pt>
                <c:pt idx="20">
                  <c:v>A05. Environmental protection  </c:v>
                </c:pt>
              </c:strCache>
            </c:strRef>
          </c:cat>
          <c:val>
            <c:numRef>
              <c:f>Sheet1!$B$2:$B$22</c:f>
              <c:numCache>
                <c:formatCode>0%</c:formatCode>
                <c:ptCount val="21"/>
                <c:pt idx="0">
                  <c:v>0.33</c:v>
                </c:pt>
                <c:pt idx="1">
                  <c:v>0.4</c:v>
                </c:pt>
                <c:pt idx="2">
                  <c:v>0.51</c:v>
                </c:pt>
                <c:pt idx="3">
                  <c:v>0.53</c:v>
                </c:pt>
                <c:pt idx="4">
                  <c:v>0.54</c:v>
                </c:pt>
                <c:pt idx="5">
                  <c:v>0.56000000000000005</c:v>
                </c:pt>
                <c:pt idx="6">
                  <c:v>0.56000000000000005</c:v>
                </c:pt>
                <c:pt idx="7">
                  <c:v>0.59</c:v>
                </c:pt>
                <c:pt idx="8">
                  <c:v>0.6</c:v>
                </c:pt>
                <c:pt idx="9">
                  <c:v>0.6</c:v>
                </c:pt>
                <c:pt idx="10">
                  <c:v>0.62</c:v>
                </c:pt>
                <c:pt idx="11">
                  <c:v>0.63</c:v>
                </c:pt>
                <c:pt idx="12">
                  <c:v>0.63</c:v>
                </c:pt>
                <c:pt idx="13">
                  <c:v>0.63</c:v>
                </c:pt>
                <c:pt idx="14">
                  <c:v>0.64</c:v>
                </c:pt>
                <c:pt idx="15">
                  <c:v>0.64</c:v>
                </c:pt>
                <c:pt idx="16">
                  <c:v>0.65</c:v>
                </c:pt>
                <c:pt idx="17">
                  <c:v>0.67</c:v>
                </c:pt>
                <c:pt idx="18">
                  <c:v>0.69</c:v>
                </c:pt>
                <c:pt idx="19">
                  <c:v>0.71</c:v>
                </c:pt>
                <c:pt idx="20">
                  <c:v>0.8</c:v>
                </c:pt>
              </c:numCache>
            </c:numRef>
          </c:val>
          <c:extLst>
            <c:ext xmlns:c16="http://schemas.microsoft.com/office/drawing/2014/chart" uri="{C3380CC4-5D6E-409C-BE32-E72D297353CC}">
              <c16:uniqueId val="{00000000-FB03-4887-BD05-8F7E77755DC9}"/>
            </c:ext>
          </c:extLst>
        </c:ser>
        <c:dLbls>
          <c:showLegendKey val="0"/>
          <c:showVal val="0"/>
          <c:showCatName val="0"/>
          <c:showSerName val="0"/>
          <c:showPercent val="0"/>
          <c:showBubbleSize val="0"/>
        </c:dLbls>
        <c:gapWidth val="219"/>
        <c:axId val="1116082047"/>
        <c:axId val="1116084447"/>
      </c:barChart>
      <c:catAx>
        <c:axId val="11160820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6084447"/>
        <c:crosses val="autoZero"/>
        <c:auto val="1"/>
        <c:lblAlgn val="l"/>
        <c:lblOffset val="100"/>
        <c:noMultiLvlLbl val="0"/>
      </c:catAx>
      <c:valAx>
        <c:axId val="1116084447"/>
        <c:scaling>
          <c:orientation val="minMax"/>
          <c:max val="0.8"/>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16082047"/>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4C-4346-AEA8-236C936A58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4C-4346-AEA8-236C936A5868}"/>
              </c:ext>
            </c:extLst>
          </c:dPt>
          <c:dLbls>
            <c:dLbl>
              <c:idx val="0"/>
              <c:layout>
                <c:manualLayout>
                  <c:x val="-8.5001924604351353E-2"/>
                  <c:y val="0.1118924420161765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4C-4346-AEA8-236C936A5868}"/>
                </c:ext>
              </c:extLst>
            </c:dLbl>
            <c:dLbl>
              <c:idx val="1"/>
              <c:layout>
                <c:manualLayout>
                  <c:x val="8.4520715371367239E-2"/>
                  <c:y val="-0.152459513989322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4C-4346-AEA8-236C936A586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 </c:v>
                </c:pt>
              </c:strCache>
            </c:strRef>
          </c:cat>
          <c:val>
            <c:numRef>
              <c:f>Sheet1!$B$2:$B$3</c:f>
              <c:numCache>
                <c:formatCode>0%</c:formatCode>
                <c:ptCount val="2"/>
                <c:pt idx="0">
                  <c:v>0.36</c:v>
                </c:pt>
                <c:pt idx="1">
                  <c:v>0.64</c:v>
                </c:pt>
              </c:numCache>
            </c:numRef>
          </c:val>
          <c:extLst>
            <c:ext xmlns:c16="http://schemas.microsoft.com/office/drawing/2014/chart" uri="{C3380CC4-5D6E-409C-BE32-E72D297353CC}">
              <c16:uniqueId val="{00000006-244C-4346-AEA8-236C936A5868}"/>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61062893279235086"/>
          <c:y val="0.35412287749745569"/>
          <c:w val="0.13705671593886384"/>
          <c:h val="0.30082382559322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CFB-44C6-82E0-5FB96246F8E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CFB-44C6-82E0-5FB96246F8E5}"/>
              </c:ext>
            </c:extLst>
          </c:dPt>
          <c:dLbls>
            <c:dLbl>
              <c:idx val="0"/>
              <c:layout>
                <c:manualLayout>
                  <c:x val="-7.4699009869175437E-2"/>
                  <c:y val="0.1844548002928205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FB-44C6-82E0-5FB96246F8E5}"/>
                </c:ext>
              </c:extLst>
            </c:dLbl>
            <c:dLbl>
              <c:idx val="1"/>
              <c:layout>
                <c:manualLayout>
                  <c:x val="8.0881375637728084E-2"/>
                  <c:y val="-0.2250218722659667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FB-44C6-82E0-5FB96246F8E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 </c:v>
                </c:pt>
              </c:strCache>
            </c:strRef>
          </c:cat>
          <c:val>
            <c:numRef>
              <c:f>Sheet1!$B$2:$B$3</c:f>
              <c:numCache>
                <c:formatCode>0%</c:formatCode>
                <c:ptCount val="2"/>
                <c:pt idx="0">
                  <c:v>0.22</c:v>
                </c:pt>
                <c:pt idx="1">
                  <c:v>0.78</c:v>
                </c:pt>
              </c:numCache>
            </c:numRef>
          </c:val>
          <c:extLst>
            <c:ext xmlns:c16="http://schemas.microsoft.com/office/drawing/2014/chart" uri="{C3380CC4-5D6E-409C-BE32-E72D297353CC}">
              <c16:uniqueId val="{00000004-3CFB-44C6-82E0-5FB96246F8E5}"/>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61062893279235086"/>
          <c:y val="0.35412287749745569"/>
          <c:w val="0.13705671593886384"/>
          <c:h val="0.30082382559322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50-43D6-BA8E-9079F4D407B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50-43D6-BA8E-9079F4D407BC}"/>
              </c:ext>
            </c:extLst>
          </c:dPt>
          <c:dLbls>
            <c:dLbl>
              <c:idx val="0"/>
              <c:layout>
                <c:manualLayout>
                  <c:x val="-8.2118783566077616E-2"/>
                  <c:y val="0.184454800292820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50-43D6-BA8E-9079F4D407BC}"/>
                </c:ext>
              </c:extLst>
            </c:dLbl>
            <c:dLbl>
              <c:idx val="1"/>
              <c:layout>
                <c:manualLayout>
                  <c:x val="9.5720923031532582E-2"/>
                  <c:y val="-0.1978109879122253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50-43D6-BA8E-9079F4D407B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 </c:v>
                </c:pt>
              </c:strCache>
            </c:strRef>
          </c:cat>
          <c:val>
            <c:numRef>
              <c:f>Sheet1!$B$2:$B$3</c:f>
              <c:numCache>
                <c:formatCode>0%</c:formatCode>
                <c:ptCount val="2"/>
                <c:pt idx="0">
                  <c:v>0.26</c:v>
                </c:pt>
                <c:pt idx="1">
                  <c:v>0.74</c:v>
                </c:pt>
              </c:numCache>
            </c:numRef>
          </c:val>
          <c:extLst>
            <c:ext xmlns:c16="http://schemas.microsoft.com/office/drawing/2014/chart" uri="{C3380CC4-5D6E-409C-BE32-E72D297353CC}">
              <c16:uniqueId val="{00000004-8850-43D6-BA8E-9079F4D407BC}"/>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61062893279235086"/>
          <c:y val="0.35412287749745569"/>
          <c:w val="0.13705671593886384"/>
          <c:h val="0.30082382559322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3"/>
            <c:invertIfNegative val="0"/>
            <c:bubble3D val="0"/>
            <c:spPr>
              <a:solidFill>
                <a:schemeClr val="bg1">
                  <a:lumMod val="65000"/>
                </a:schemeClr>
              </a:solidFill>
              <a:ln>
                <a:noFill/>
              </a:ln>
              <a:effectLst/>
            </c:spPr>
            <c:extLst>
              <c:ext xmlns:c16="http://schemas.microsoft.com/office/drawing/2014/chart" uri="{C3380CC4-5D6E-409C-BE32-E72D297353CC}">
                <c16:uniqueId val="{00000001-8C67-4486-A97A-D9F8F3BB98F7}"/>
              </c:ext>
            </c:extLst>
          </c:dPt>
          <c:dLbls>
            <c:dLbl>
              <c:idx val="3"/>
              <c:layout>
                <c:manualLayout>
                  <c:x val="0"/>
                  <c:y val="0.1094178752176925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67-4486-A97A-D9F8F3BB98F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Compile government expenditure accounts based on COFOG </c:v>
                </c:pt>
                <c:pt idx="1">
                  <c:v>Provide data for compilation of government expenditure accounts based on COFOG </c:v>
                </c:pt>
                <c:pt idx="2">
                  <c:v>Use government expenditure accounts based on COFOG</c:v>
                </c:pt>
                <c:pt idx="3">
                  <c:v>Do not utilize COFOG, but the framework is relevant to their work</c:v>
                </c:pt>
              </c:strCache>
            </c:strRef>
          </c:cat>
          <c:val>
            <c:numRef>
              <c:f>Sheet1!$B$2:$B$5</c:f>
              <c:numCache>
                <c:formatCode>0%</c:formatCode>
                <c:ptCount val="4"/>
                <c:pt idx="0">
                  <c:v>0.63</c:v>
                </c:pt>
                <c:pt idx="1">
                  <c:v>0.27</c:v>
                </c:pt>
                <c:pt idx="2">
                  <c:v>0.48</c:v>
                </c:pt>
                <c:pt idx="3">
                  <c:v>0.13</c:v>
                </c:pt>
              </c:numCache>
            </c:numRef>
          </c:val>
          <c:extLst>
            <c:ext xmlns:c16="http://schemas.microsoft.com/office/drawing/2014/chart" uri="{C3380CC4-5D6E-409C-BE32-E72D297353CC}">
              <c16:uniqueId val="{00000000-8C67-4486-A97A-D9F8F3BB98F7}"/>
            </c:ext>
          </c:extLst>
        </c:ser>
        <c:dLbls>
          <c:showLegendKey val="0"/>
          <c:showVal val="0"/>
          <c:showCatName val="0"/>
          <c:showSerName val="0"/>
          <c:showPercent val="0"/>
          <c:showBubbleSize val="0"/>
        </c:dLbls>
        <c:gapWidth val="219"/>
        <c:overlap val="-27"/>
        <c:axId val="1458862448"/>
        <c:axId val="1458858608"/>
      </c:barChart>
      <c:catAx>
        <c:axId val="145886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8858608"/>
        <c:crosses val="autoZero"/>
        <c:auto val="1"/>
        <c:lblAlgn val="ctr"/>
        <c:lblOffset val="100"/>
        <c:noMultiLvlLbl val="0"/>
      </c:catAx>
      <c:valAx>
        <c:axId val="1458858608"/>
        <c:scaling>
          <c:orientation val="minMax"/>
          <c:max val="0.70000000000000007"/>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86244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0"/>
              <c:layout>
                <c:manualLayout>
                  <c:x val="0"/>
                  <c:y val="0.3064415259537210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D9-4CBC-A9FE-2195BA884109}"/>
                </c:ext>
              </c:extLst>
            </c:dLbl>
            <c:dLbl>
              <c:idx val="1"/>
              <c:layout>
                <c:manualLayout>
                  <c:x val="0"/>
                  <c:y val="0.1876172607879924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D9-4CBC-A9FE-2195BA88410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Compile accounts and/or Provide data</c:v>
                </c:pt>
                <c:pt idx="1">
                  <c:v>Compile accounts and/or Provide data and Use accounts</c:v>
                </c:pt>
              </c:strCache>
            </c:strRef>
          </c:cat>
          <c:val>
            <c:numRef>
              <c:f>Sheet1!$B$2:$B$3</c:f>
              <c:numCache>
                <c:formatCode>0%</c:formatCode>
                <c:ptCount val="2"/>
                <c:pt idx="0">
                  <c:v>0.7</c:v>
                </c:pt>
                <c:pt idx="1">
                  <c:v>0.28000000000000003</c:v>
                </c:pt>
              </c:numCache>
            </c:numRef>
          </c:val>
          <c:extLst>
            <c:ext xmlns:c16="http://schemas.microsoft.com/office/drawing/2014/chart" uri="{C3380CC4-5D6E-409C-BE32-E72D297353CC}">
              <c16:uniqueId val="{00000002-DAD9-4CBC-A9FE-2195BA884109}"/>
            </c:ext>
          </c:extLst>
        </c:ser>
        <c:dLbls>
          <c:showLegendKey val="0"/>
          <c:showVal val="0"/>
          <c:showCatName val="0"/>
          <c:showSerName val="0"/>
          <c:showPercent val="0"/>
          <c:showBubbleSize val="0"/>
        </c:dLbls>
        <c:gapWidth val="219"/>
        <c:overlap val="-27"/>
        <c:axId val="1458862448"/>
        <c:axId val="1458858608"/>
      </c:barChart>
      <c:catAx>
        <c:axId val="145886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8858608"/>
        <c:crosses val="autoZero"/>
        <c:auto val="1"/>
        <c:lblAlgn val="ctr"/>
        <c:lblOffset val="100"/>
        <c:noMultiLvlLbl val="0"/>
      </c:catAx>
      <c:valAx>
        <c:axId val="1458858608"/>
        <c:scaling>
          <c:orientation val="minMax"/>
          <c:max val="0.70000000000000007"/>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86244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3"/>
              <c:layout>
                <c:manualLayout>
                  <c:x val="-1.5640926989483877E-16"/>
                  <c:y val="0.1045276228639976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32-4D7D-93B0-97FC464212A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Division / 2 digits</c:v>
                </c:pt>
                <c:pt idx="1">
                  <c:v>Group / 3 digits </c:v>
                </c:pt>
                <c:pt idx="2">
                  <c:v>Class / 4 digits</c:v>
                </c:pt>
                <c:pt idx="3">
                  <c:v>Additional levels of detail / 5+ digits</c:v>
                </c:pt>
              </c:strCache>
            </c:strRef>
          </c:cat>
          <c:val>
            <c:numRef>
              <c:f>Sheet1!$B$2:$B$5</c:f>
              <c:numCache>
                <c:formatCode>0%</c:formatCode>
                <c:ptCount val="4"/>
                <c:pt idx="0">
                  <c:v>0.17</c:v>
                </c:pt>
                <c:pt idx="1">
                  <c:v>0.28999999999999998</c:v>
                </c:pt>
                <c:pt idx="2">
                  <c:v>0.45</c:v>
                </c:pt>
                <c:pt idx="3">
                  <c:v>0.09</c:v>
                </c:pt>
              </c:numCache>
            </c:numRef>
          </c:val>
          <c:extLst>
            <c:ext xmlns:c16="http://schemas.microsoft.com/office/drawing/2014/chart" uri="{C3380CC4-5D6E-409C-BE32-E72D297353CC}">
              <c16:uniqueId val="{00000000-2030-4FF7-B133-F6A089FC50FA}"/>
            </c:ext>
          </c:extLst>
        </c:ser>
        <c:dLbls>
          <c:showLegendKey val="0"/>
          <c:showVal val="0"/>
          <c:showCatName val="0"/>
          <c:showSerName val="0"/>
          <c:showPercent val="0"/>
          <c:showBubbleSize val="0"/>
        </c:dLbls>
        <c:gapWidth val="219"/>
        <c:overlap val="-27"/>
        <c:axId val="1458862448"/>
        <c:axId val="1458858608"/>
      </c:barChart>
      <c:catAx>
        <c:axId val="145886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8858608"/>
        <c:crosses val="autoZero"/>
        <c:auto val="1"/>
        <c:lblAlgn val="ctr"/>
        <c:lblOffset val="100"/>
        <c:noMultiLvlLbl val="0"/>
      </c:catAx>
      <c:valAx>
        <c:axId val="1458858608"/>
        <c:scaling>
          <c:orientation val="minMax"/>
          <c:max val="0.70000000000000007"/>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86244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Division / 2 digits </c:v>
                </c:pt>
                <c:pt idx="1">
                  <c:v>Group / 3 digits</c:v>
                </c:pt>
                <c:pt idx="2">
                  <c:v>Class / 4 digits</c:v>
                </c:pt>
                <c:pt idx="3">
                  <c:v>Additional levels of detail / 5+ digits</c:v>
                </c:pt>
              </c:strCache>
            </c:strRef>
          </c:cat>
          <c:val>
            <c:numRef>
              <c:f>Sheet1!$B$2:$B$5</c:f>
              <c:numCache>
                <c:formatCode>0%</c:formatCode>
                <c:ptCount val="4"/>
                <c:pt idx="0">
                  <c:v>0.32</c:v>
                </c:pt>
                <c:pt idx="1">
                  <c:v>0.38</c:v>
                </c:pt>
                <c:pt idx="2">
                  <c:v>0.22</c:v>
                </c:pt>
                <c:pt idx="3">
                  <c:v>7.0000000000000007E-2</c:v>
                </c:pt>
              </c:numCache>
            </c:numRef>
          </c:val>
          <c:extLst>
            <c:ext xmlns:c16="http://schemas.microsoft.com/office/drawing/2014/chart" uri="{C3380CC4-5D6E-409C-BE32-E72D297353CC}">
              <c16:uniqueId val="{00000000-0306-4BFB-BC1D-4E99F5408005}"/>
            </c:ext>
          </c:extLst>
        </c:ser>
        <c:dLbls>
          <c:showLegendKey val="0"/>
          <c:showVal val="0"/>
          <c:showCatName val="0"/>
          <c:showSerName val="0"/>
          <c:showPercent val="0"/>
          <c:showBubbleSize val="0"/>
        </c:dLbls>
        <c:gapWidth val="219"/>
        <c:overlap val="-27"/>
        <c:axId val="1458862448"/>
        <c:axId val="1458858608"/>
      </c:barChart>
      <c:catAx>
        <c:axId val="145886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58858608"/>
        <c:crosses val="autoZero"/>
        <c:auto val="1"/>
        <c:lblAlgn val="ctr"/>
        <c:lblOffset val="100"/>
        <c:noMultiLvlLbl val="0"/>
      </c:catAx>
      <c:valAx>
        <c:axId val="1458858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86244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Division / 2 digits </c:v>
                </c:pt>
                <c:pt idx="1">
                  <c:v>Group / 3 digits </c:v>
                </c:pt>
                <c:pt idx="2">
                  <c:v>Class / 4 digits</c:v>
                </c:pt>
                <c:pt idx="3">
                  <c:v>Additional levels of detail / 5+ digits</c:v>
                </c:pt>
              </c:strCache>
            </c:strRef>
          </c:cat>
          <c:val>
            <c:numRef>
              <c:f>Sheet1!$B$2:$B$5</c:f>
              <c:numCache>
                <c:formatCode>0%</c:formatCode>
                <c:ptCount val="4"/>
                <c:pt idx="0">
                  <c:v>0.2</c:v>
                </c:pt>
                <c:pt idx="1">
                  <c:v>0.2</c:v>
                </c:pt>
                <c:pt idx="2">
                  <c:v>0.43</c:v>
                </c:pt>
                <c:pt idx="3">
                  <c:v>0.16</c:v>
                </c:pt>
              </c:numCache>
            </c:numRef>
          </c:val>
          <c:extLst>
            <c:ext xmlns:c16="http://schemas.microsoft.com/office/drawing/2014/chart" uri="{C3380CC4-5D6E-409C-BE32-E72D297353CC}">
              <c16:uniqueId val="{00000000-C21B-4AB4-87B6-3B418D3C4BF2}"/>
            </c:ext>
          </c:extLst>
        </c:ser>
        <c:dLbls>
          <c:showLegendKey val="0"/>
          <c:showVal val="0"/>
          <c:showCatName val="0"/>
          <c:showSerName val="0"/>
          <c:showPercent val="0"/>
          <c:showBubbleSize val="0"/>
        </c:dLbls>
        <c:gapWidth val="219"/>
        <c:overlap val="-27"/>
        <c:axId val="1458862448"/>
        <c:axId val="1458858608"/>
      </c:barChart>
      <c:catAx>
        <c:axId val="145886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858608"/>
        <c:crosses val="autoZero"/>
        <c:auto val="1"/>
        <c:lblAlgn val="ctr"/>
        <c:lblOffset val="100"/>
        <c:noMultiLvlLbl val="0"/>
      </c:catAx>
      <c:valAx>
        <c:axId val="1458858608"/>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862448"/>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29744134743892"/>
          <c:y val="3.9985459832788076E-2"/>
          <c:w val="0.84507270180184535"/>
          <c:h val="0.47285539689218237"/>
        </c:manualLayout>
      </c:layout>
      <c:barChart>
        <c:barDir val="col"/>
        <c:grouping val="clustered"/>
        <c:varyColors val="0"/>
        <c:ser>
          <c:idx val="0"/>
          <c:order val="0"/>
          <c:tx>
            <c:strRef>
              <c:f>Sheet1!$B$1</c:f>
              <c:strCache>
                <c:ptCount val="1"/>
                <c:pt idx="0">
                  <c:v>Compilers/Providers</c:v>
                </c:pt>
              </c:strCache>
            </c:strRef>
          </c:tx>
          <c:spPr>
            <a:solidFill>
              <a:schemeClr val="accent1"/>
            </a:solidFill>
            <a:ln>
              <a:noFill/>
            </a:ln>
            <a:effectLst/>
          </c:spPr>
          <c:invertIfNegative val="0"/>
          <c:dPt>
            <c:idx val="1"/>
            <c:invertIfNegative val="0"/>
            <c:bubble3D val="0"/>
            <c:spPr>
              <a:solidFill>
                <a:schemeClr val="accent1"/>
              </a:solidFill>
              <a:ln>
                <a:noFill/>
              </a:ln>
              <a:effectLst/>
            </c:spPr>
            <c:extLst>
              <c:ext xmlns:c16="http://schemas.microsoft.com/office/drawing/2014/chart" uri="{C3380CC4-5D6E-409C-BE32-E72D297353CC}">
                <c16:uniqueId val="{00000007-7A88-4BF5-964F-F16F64C83E6A}"/>
              </c:ext>
            </c:extLst>
          </c:dPt>
          <c:dPt>
            <c:idx val="2"/>
            <c:invertIfNegative val="0"/>
            <c:bubble3D val="0"/>
            <c:spPr>
              <a:solidFill>
                <a:schemeClr val="accent1">
                  <a:lumMod val="20000"/>
                  <a:lumOff val="80000"/>
                </a:schemeClr>
              </a:solidFill>
              <a:ln>
                <a:noFill/>
              </a:ln>
              <a:effectLst/>
            </c:spPr>
            <c:extLst>
              <c:ext xmlns:c16="http://schemas.microsoft.com/office/drawing/2014/chart" uri="{C3380CC4-5D6E-409C-BE32-E72D297353CC}">
                <c16:uniqueId val="{00000002-7A88-4BF5-964F-F16F64C83E6A}"/>
              </c:ext>
            </c:extLst>
          </c:dPt>
          <c:dPt>
            <c:idx val="3"/>
            <c:invertIfNegative val="0"/>
            <c:bubble3D val="0"/>
            <c:spPr>
              <a:solidFill>
                <a:schemeClr val="accent1">
                  <a:lumMod val="20000"/>
                  <a:lumOff val="80000"/>
                </a:schemeClr>
              </a:solidFill>
              <a:ln>
                <a:noFill/>
              </a:ln>
              <a:effectLst/>
            </c:spPr>
            <c:extLst>
              <c:ext xmlns:c16="http://schemas.microsoft.com/office/drawing/2014/chart" uri="{C3380CC4-5D6E-409C-BE32-E72D297353CC}">
                <c16:uniqueId val="{00000006-7A88-4BF5-964F-F16F64C83E6A}"/>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7-3CF9-419D-A484-744668A00E45}"/>
              </c:ext>
            </c:extLst>
          </c:dPt>
          <c:dLbls>
            <c:dLbl>
              <c:idx val="2"/>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2-7A88-4BF5-964F-F16F64C83E6A}"/>
                </c:ext>
              </c:extLst>
            </c:dLbl>
            <c:dLbl>
              <c:idx val="3"/>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6-7A88-4BF5-964F-F16F64C83E6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General government</c:v>
                </c:pt>
                <c:pt idx="1">
                  <c:v>Central government</c:v>
                </c:pt>
                <c:pt idx="2">
                  <c:v>% of which:  budgetary central govt</c:v>
                </c:pt>
                <c:pt idx="3">
                  <c:v>% of which:  non-budgetary central govt</c:v>
                </c:pt>
                <c:pt idx="4">
                  <c:v>State government</c:v>
                </c:pt>
                <c:pt idx="5">
                  <c:v>Local government</c:v>
                </c:pt>
                <c:pt idx="6">
                  <c:v>Social security funds</c:v>
                </c:pt>
                <c:pt idx="7">
                  <c:v>State-owned enterprises/public corporations</c:v>
                </c:pt>
              </c:strCache>
            </c:strRef>
          </c:cat>
          <c:val>
            <c:numRef>
              <c:f>Sheet1!$B$2:$B$9</c:f>
              <c:numCache>
                <c:formatCode>0%</c:formatCode>
                <c:ptCount val="8"/>
                <c:pt idx="0">
                  <c:v>0.75</c:v>
                </c:pt>
                <c:pt idx="1">
                  <c:v>0.85</c:v>
                </c:pt>
                <c:pt idx="2">
                  <c:v>0.53</c:v>
                </c:pt>
                <c:pt idx="3">
                  <c:v>0.32</c:v>
                </c:pt>
                <c:pt idx="4">
                  <c:v>0.28999999999999998</c:v>
                </c:pt>
                <c:pt idx="5">
                  <c:v>0.64</c:v>
                </c:pt>
                <c:pt idx="6">
                  <c:v>0.63</c:v>
                </c:pt>
                <c:pt idx="7">
                  <c:v>0.11</c:v>
                </c:pt>
              </c:numCache>
            </c:numRef>
          </c:val>
          <c:extLst>
            <c:ext xmlns:c16="http://schemas.microsoft.com/office/drawing/2014/chart" uri="{C3380CC4-5D6E-409C-BE32-E72D297353CC}">
              <c16:uniqueId val="{00000000-7A88-4BF5-964F-F16F64C83E6A}"/>
            </c:ext>
          </c:extLst>
        </c:ser>
        <c:ser>
          <c:idx val="1"/>
          <c:order val="1"/>
          <c:tx>
            <c:strRef>
              <c:f>Sheet1!$C$1</c:f>
              <c:strCache>
                <c:ptCount val="1"/>
                <c:pt idx="0">
                  <c:v>Users</c:v>
                </c:pt>
              </c:strCache>
            </c:strRef>
          </c:tx>
          <c:spPr>
            <a:solidFill>
              <a:schemeClr val="accent2"/>
            </a:solidFill>
            <a:ln>
              <a:noFill/>
            </a:ln>
            <a:effectLst/>
          </c:spPr>
          <c:invertIfNegative val="0"/>
          <c:cat>
            <c:strRef>
              <c:f>Sheet1!$A$2:$A$9</c:f>
              <c:strCache>
                <c:ptCount val="8"/>
                <c:pt idx="0">
                  <c:v>General government</c:v>
                </c:pt>
                <c:pt idx="1">
                  <c:v>Central government</c:v>
                </c:pt>
                <c:pt idx="2">
                  <c:v>% of which:  budgetary central govt</c:v>
                </c:pt>
                <c:pt idx="3">
                  <c:v>% of which:  non-budgetary central govt</c:v>
                </c:pt>
                <c:pt idx="4">
                  <c:v>State government</c:v>
                </c:pt>
                <c:pt idx="5">
                  <c:v>Local government</c:v>
                </c:pt>
                <c:pt idx="6">
                  <c:v>Social security funds</c:v>
                </c:pt>
                <c:pt idx="7">
                  <c:v>State-owned enterprises/public corporations</c:v>
                </c:pt>
              </c:strCache>
            </c:strRef>
          </c:cat>
          <c:val>
            <c:numRef>
              <c:f>Sheet1!$C$2:$C$9</c:f>
              <c:numCache>
                <c:formatCode>General</c:formatCode>
                <c:ptCount val="8"/>
              </c:numCache>
            </c:numRef>
          </c:val>
          <c:extLst>
            <c:ext xmlns:c16="http://schemas.microsoft.com/office/drawing/2014/chart" uri="{C3380CC4-5D6E-409C-BE32-E72D297353CC}">
              <c16:uniqueId val="{00000008-0B6E-4848-BEFA-8E4BC46FF9F1}"/>
            </c:ext>
          </c:extLst>
        </c:ser>
        <c:dLbls>
          <c:showLegendKey val="0"/>
          <c:showVal val="0"/>
          <c:showCatName val="0"/>
          <c:showSerName val="0"/>
          <c:showPercent val="0"/>
          <c:showBubbleSize val="0"/>
        </c:dLbls>
        <c:gapWidth val="219"/>
        <c:axId val="1458862448"/>
        <c:axId val="1458858608"/>
      </c:barChart>
      <c:catAx>
        <c:axId val="145886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58858608"/>
        <c:crosses val="autoZero"/>
        <c:auto val="1"/>
        <c:lblAlgn val="ctr"/>
        <c:lblOffset val="100"/>
        <c:noMultiLvlLbl val="0"/>
      </c:catAx>
      <c:valAx>
        <c:axId val="1458858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86244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35224443098459"/>
          <c:y val="4.3504053786830137E-2"/>
          <c:w val="0.87433983996015452"/>
          <c:h val="0.4677722918913953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chemeClr val="accent1"/>
              </a:solidFill>
              <a:ln>
                <a:noFill/>
              </a:ln>
              <a:effectLst/>
            </c:spPr>
            <c:extLst>
              <c:ext xmlns:c16="http://schemas.microsoft.com/office/drawing/2014/chart" uri="{C3380CC4-5D6E-409C-BE32-E72D297353CC}">
                <c16:uniqueId val="{00000001-2A04-452D-B22A-5CD164E13B36}"/>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3-2A04-452D-B22A-5CD164E13B36}"/>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5-2A04-452D-B22A-5CD164E13B36}"/>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7-2A04-452D-B22A-5CD164E13B36}"/>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General government</c:v>
                </c:pt>
                <c:pt idx="1">
                  <c:v>Central government</c:v>
                </c:pt>
                <c:pt idx="2">
                  <c:v>State government </c:v>
                </c:pt>
                <c:pt idx="3">
                  <c:v>Local government </c:v>
                </c:pt>
                <c:pt idx="4">
                  <c:v>Social security funds </c:v>
                </c:pt>
                <c:pt idx="5">
                  <c:v>State-owned enterprises/public corporations</c:v>
                </c:pt>
              </c:strCache>
            </c:strRef>
          </c:cat>
          <c:val>
            <c:numRef>
              <c:f>Sheet1!$B$2:$B$7</c:f>
              <c:numCache>
                <c:formatCode>0%</c:formatCode>
                <c:ptCount val="6"/>
                <c:pt idx="0">
                  <c:v>0.74</c:v>
                </c:pt>
                <c:pt idx="1">
                  <c:v>0.72</c:v>
                </c:pt>
                <c:pt idx="2">
                  <c:v>0.38</c:v>
                </c:pt>
                <c:pt idx="3">
                  <c:v>0.56000000000000005</c:v>
                </c:pt>
                <c:pt idx="4">
                  <c:v>0.4</c:v>
                </c:pt>
                <c:pt idx="5">
                  <c:v>0.14000000000000001</c:v>
                </c:pt>
              </c:numCache>
            </c:numRef>
          </c:val>
          <c:extLst>
            <c:ext xmlns:c16="http://schemas.microsoft.com/office/drawing/2014/chart" uri="{C3380CC4-5D6E-409C-BE32-E72D297353CC}">
              <c16:uniqueId val="{00000008-2A04-452D-B22A-5CD164E13B36}"/>
            </c:ext>
          </c:extLst>
        </c:ser>
        <c:dLbls>
          <c:showLegendKey val="0"/>
          <c:showVal val="0"/>
          <c:showCatName val="0"/>
          <c:showSerName val="0"/>
          <c:showPercent val="0"/>
          <c:showBubbleSize val="0"/>
        </c:dLbls>
        <c:gapWidth val="219"/>
        <c:axId val="1458862448"/>
        <c:axId val="1458858608"/>
      </c:barChart>
      <c:catAx>
        <c:axId val="145886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858608"/>
        <c:crosses val="autoZero"/>
        <c:auto val="1"/>
        <c:lblAlgn val="ctr"/>
        <c:lblOffset val="100"/>
        <c:noMultiLvlLbl val="0"/>
      </c:catAx>
      <c:valAx>
        <c:axId val="1458858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86244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C8152DD6594686AE9FCAD710D772B4"/>
        <w:category>
          <w:name w:val="General"/>
          <w:gallery w:val="placeholder"/>
        </w:category>
        <w:types>
          <w:type w:val="bbPlcHdr"/>
        </w:types>
        <w:behaviors>
          <w:behavior w:val="content"/>
        </w:behaviors>
        <w:guid w:val="{95217A60-31AE-4768-9B32-E7DD2A2674C9}"/>
      </w:docPartPr>
      <w:docPartBody>
        <w:p w:rsidR="00211E77" w:rsidRDefault="00211E77" w:rsidP="00211E77">
          <w:pPr>
            <w:pStyle w:val="47C8152DD6594686AE9FCAD710D772B4"/>
          </w:pPr>
          <w:r w:rsidRPr="00397B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77"/>
    <w:rsid w:val="000A1AAD"/>
    <w:rsid w:val="001C06FE"/>
    <w:rsid w:val="002116D9"/>
    <w:rsid w:val="00211E77"/>
    <w:rsid w:val="002477BF"/>
    <w:rsid w:val="0027708D"/>
    <w:rsid w:val="0030182C"/>
    <w:rsid w:val="003766B8"/>
    <w:rsid w:val="00404B79"/>
    <w:rsid w:val="00453F4E"/>
    <w:rsid w:val="00471440"/>
    <w:rsid w:val="004D5CC7"/>
    <w:rsid w:val="004E2DD5"/>
    <w:rsid w:val="00513E1C"/>
    <w:rsid w:val="00787347"/>
    <w:rsid w:val="0089604E"/>
    <w:rsid w:val="009E40ED"/>
    <w:rsid w:val="00A42CEA"/>
    <w:rsid w:val="00B277F1"/>
    <w:rsid w:val="00B64EE6"/>
    <w:rsid w:val="00C025F4"/>
    <w:rsid w:val="00C351BA"/>
    <w:rsid w:val="00D738FB"/>
    <w:rsid w:val="00E359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E77"/>
    <w:rPr>
      <w:color w:val="808080"/>
    </w:rPr>
  </w:style>
  <w:style w:type="paragraph" w:customStyle="1" w:styleId="47C8152DD6594686AE9FCAD710D772B4">
    <w:name w:val="47C8152DD6594686AE9FCAD710D772B4"/>
    <w:rsid w:val="00211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4F25E6497ED43898D504973DBDCA9" ma:contentTypeVersion="18" ma:contentTypeDescription="Create a new document." ma:contentTypeScope="" ma:versionID="112f917aed6372d052466bce40c2123a">
  <xsd:schema xmlns:xsd="http://www.w3.org/2001/XMLSchema" xmlns:xs="http://www.w3.org/2001/XMLSchema" xmlns:p="http://schemas.microsoft.com/office/2006/metadata/properties" xmlns:ns2="4f447018-c40e-40e5-80f8-c919516cf764" xmlns:ns3="6b41ce5a-22ff-4aef-bca2-14b56bf0aa25" xmlns:ns4="985ec44e-1bab-4c0b-9df0-6ba128686fc9" targetNamespace="http://schemas.microsoft.com/office/2006/metadata/properties" ma:root="true" ma:fieldsID="af12a5c22fde48320d90163fd64baec5" ns2:_="" ns3:_="" ns4:_="">
    <xsd:import namespace="4f447018-c40e-40e5-80f8-c919516cf764"/>
    <xsd:import namespace="6b41ce5a-22ff-4aef-bca2-14b56bf0aa2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47018-c40e-40e5-80f8-c919516c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1ce5a-22ff-4aef-bca2-14b56bf0aa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34de355-2535-4860-8d3d-a17c1c6094fe}" ma:internalName="TaxCatchAll" ma:showField="CatchAllData" ma:web="6b41ce5a-22ff-4aef-bca2-14b56bf0a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447018-c40e-40e5-80f8-c919516cf764">
      <Terms xmlns="http://schemas.microsoft.com/office/infopath/2007/PartnerControls"/>
    </lcf76f155ced4ddcb4097134ff3c332f>
    <TaxCatchAll xmlns="985ec44e-1bab-4c0b-9df0-6ba128686fc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E4E1D-F943-4119-8EA7-40FD25498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47018-c40e-40e5-80f8-c919516cf764"/>
    <ds:schemaRef ds:uri="6b41ce5a-22ff-4aef-bca2-14b56bf0aa2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A86B9-3E00-4A3F-9F3D-E63C5E5ACEC9}">
  <ds:schemaRefs>
    <ds:schemaRef ds:uri="http://schemas.microsoft.com/office/2006/documentManagement/types"/>
    <ds:schemaRef ds:uri="http://purl.org/dc/dcmitype/"/>
    <ds:schemaRef ds:uri="4f447018-c40e-40e5-80f8-c919516cf764"/>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 ds:uri="985ec44e-1bab-4c0b-9df0-6ba128686fc9"/>
    <ds:schemaRef ds:uri="6b41ce5a-22ff-4aef-bca2-14b56bf0aa25"/>
    <ds:schemaRef ds:uri="http://schemas.microsoft.com/office/2006/metadata/properties"/>
  </ds:schemaRefs>
</ds:datastoreItem>
</file>

<file path=customXml/itemProps3.xml><?xml version="1.0" encoding="utf-8"?>
<ds:datastoreItem xmlns:ds="http://schemas.openxmlformats.org/officeDocument/2006/customXml" ds:itemID="{D1F285E8-8669-4D7B-BCAF-C909598651AF}">
  <ds:schemaRefs>
    <ds:schemaRef ds:uri="http://schemas.microsoft.com/sharepoint/v3/contenttype/forms"/>
  </ds:schemaRefs>
</ds:datastoreItem>
</file>

<file path=customXml/itemProps4.xml><?xml version="1.0" encoding="utf-8"?>
<ds:datastoreItem xmlns:ds="http://schemas.openxmlformats.org/officeDocument/2006/customXml" ds:itemID="{D305BDF1-FC01-4EF3-916B-83A2BC82E29B}">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7523</TotalTime>
  <Pages>55</Pages>
  <Words>16163</Words>
  <Characters>92135</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108082</CharactersWithSpaces>
  <SharedDoc>false</SharedDoc>
  <HLinks>
    <vt:vector size="144" baseType="variant">
      <vt:variant>
        <vt:i4>6160488</vt:i4>
      </vt:variant>
      <vt:variant>
        <vt:i4>117</vt:i4>
      </vt:variant>
      <vt:variant>
        <vt:i4>0</vt:i4>
      </vt:variant>
      <vt:variant>
        <vt:i4>5</vt:i4>
      </vt:variant>
      <vt:variant>
        <vt:lpwstr>https://unstats.un.org/unsd/publication/SeriesM/SeriesM_84E.pdf</vt:lpwstr>
      </vt:variant>
      <vt:variant>
        <vt:lpwstr/>
      </vt:variant>
      <vt:variant>
        <vt:i4>4456547</vt:i4>
      </vt:variant>
      <vt:variant>
        <vt:i4>114</vt:i4>
      </vt:variant>
      <vt:variant>
        <vt:i4>0</vt:i4>
      </vt:variant>
      <vt:variant>
        <vt:i4>5</vt:i4>
      </vt:variant>
      <vt:variant>
        <vt:lpwstr>mailto:chl@un.org</vt:lpwstr>
      </vt:variant>
      <vt:variant>
        <vt:lpwstr/>
      </vt:variant>
      <vt:variant>
        <vt:i4>4456547</vt:i4>
      </vt:variant>
      <vt:variant>
        <vt:i4>111</vt:i4>
      </vt:variant>
      <vt:variant>
        <vt:i4>0</vt:i4>
      </vt:variant>
      <vt:variant>
        <vt:i4>5</vt:i4>
      </vt:variant>
      <vt:variant>
        <vt:lpwstr>mailto:chl@un.org</vt:lpwstr>
      </vt:variant>
      <vt:variant>
        <vt:lpwstr/>
      </vt:variant>
      <vt:variant>
        <vt:i4>4063359</vt:i4>
      </vt:variant>
      <vt:variant>
        <vt:i4>108</vt:i4>
      </vt:variant>
      <vt:variant>
        <vt:i4>0</vt:i4>
      </vt:variant>
      <vt:variant>
        <vt:i4>5</vt:i4>
      </vt:variant>
      <vt:variant>
        <vt:lpwstr>https://www.surveymonkey.com/r/J79YF28</vt:lpwstr>
      </vt:variant>
      <vt:variant>
        <vt:lpwstr/>
      </vt:variant>
      <vt:variant>
        <vt:i4>7077950</vt:i4>
      </vt:variant>
      <vt:variant>
        <vt:i4>105</vt:i4>
      </vt:variant>
      <vt:variant>
        <vt:i4>0</vt:i4>
      </vt:variant>
      <vt:variant>
        <vt:i4>5</vt:i4>
      </vt:variant>
      <vt:variant>
        <vt:lpwstr>https://unstats.un.org/unsd/classifications/cofog/revision</vt:lpwstr>
      </vt:variant>
      <vt:variant>
        <vt:lpwstr/>
      </vt:variant>
      <vt:variant>
        <vt:i4>852076</vt:i4>
      </vt:variant>
      <vt:variant>
        <vt:i4>102</vt:i4>
      </vt:variant>
      <vt:variant>
        <vt:i4>0</vt:i4>
      </vt:variant>
      <vt:variant>
        <vt:i4>5</vt:i4>
      </vt:variant>
      <vt:variant>
        <vt:lpwstr>https://unstats.un.org/unsd/nationalaccount/SNAUpdate/2025/Draft_2025SNA.pdf</vt:lpwstr>
      </vt:variant>
      <vt:variant>
        <vt:lpwstr/>
      </vt:variant>
      <vt:variant>
        <vt:i4>589860</vt:i4>
      </vt:variant>
      <vt:variant>
        <vt:i4>99</vt:i4>
      </vt:variant>
      <vt:variant>
        <vt:i4>0</vt:i4>
      </vt:variant>
      <vt:variant>
        <vt:i4>5</vt:i4>
      </vt:variant>
      <vt:variant>
        <vt:lpwstr>https://unstats.un.org/UNSDWebsite/statcom/session_53/documents/2022-41-FinalReport-E.pdf</vt:lpwstr>
      </vt:variant>
      <vt:variant>
        <vt:lpwstr/>
      </vt:variant>
      <vt:variant>
        <vt:i4>1900602</vt:i4>
      </vt:variant>
      <vt:variant>
        <vt:i4>92</vt:i4>
      </vt:variant>
      <vt:variant>
        <vt:i4>0</vt:i4>
      </vt:variant>
      <vt:variant>
        <vt:i4>5</vt:i4>
      </vt:variant>
      <vt:variant>
        <vt:lpwstr/>
      </vt:variant>
      <vt:variant>
        <vt:lpwstr>_Toc193184063</vt:lpwstr>
      </vt:variant>
      <vt:variant>
        <vt:i4>1900602</vt:i4>
      </vt:variant>
      <vt:variant>
        <vt:i4>86</vt:i4>
      </vt:variant>
      <vt:variant>
        <vt:i4>0</vt:i4>
      </vt:variant>
      <vt:variant>
        <vt:i4>5</vt:i4>
      </vt:variant>
      <vt:variant>
        <vt:lpwstr/>
      </vt:variant>
      <vt:variant>
        <vt:lpwstr>_Toc193184062</vt:lpwstr>
      </vt:variant>
      <vt:variant>
        <vt:i4>1900602</vt:i4>
      </vt:variant>
      <vt:variant>
        <vt:i4>80</vt:i4>
      </vt:variant>
      <vt:variant>
        <vt:i4>0</vt:i4>
      </vt:variant>
      <vt:variant>
        <vt:i4>5</vt:i4>
      </vt:variant>
      <vt:variant>
        <vt:lpwstr/>
      </vt:variant>
      <vt:variant>
        <vt:lpwstr>_Toc193184061</vt:lpwstr>
      </vt:variant>
      <vt:variant>
        <vt:i4>1900602</vt:i4>
      </vt:variant>
      <vt:variant>
        <vt:i4>74</vt:i4>
      </vt:variant>
      <vt:variant>
        <vt:i4>0</vt:i4>
      </vt:variant>
      <vt:variant>
        <vt:i4>5</vt:i4>
      </vt:variant>
      <vt:variant>
        <vt:lpwstr/>
      </vt:variant>
      <vt:variant>
        <vt:lpwstr>_Toc193184060</vt:lpwstr>
      </vt:variant>
      <vt:variant>
        <vt:i4>1966138</vt:i4>
      </vt:variant>
      <vt:variant>
        <vt:i4>68</vt:i4>
      </vt:variant>
      <vt:variant>
        <vt:i4>0</vt:i4>
      </vt:variant>
      <vt:variant>
        <vt:i4>5</vt:i4>
      </vt:variant>
      <vt:variant>
        <vt:lpwstr/>
      </vt:variant>
      <vt:variant>
        <vt:lpwstr>_Toc193184059</vt:lpwstr>
      </vt:variant>
      <vt:variant>
        <vt:i4>1966138</vt:i4>
      </vt:variant>
      <vt:variant>
        <vt:i4>62</vt:i4>
      </vt:variant>
      <vt:variant>
        <vt:i4>0</vt:i4>
      </vt:variant>
      <vt:variant>
        <vt:i4>5</vt:i4>
      </vt:variant>
      <vt:variant>
        <vt:lpwstr/>
      </vt:variant>
      <vt:variant>
        <vt:lpwstr>_Toc193184058</vt:lpwstr>
      </vt:variant>
      <vt:variant>
        <vt:i4>1966138</vt:i4>
      </vt:variant>
      <vt:variant>
        <vt:i4>56</vt:i4>
      </vt:variant>
      <vt:variant>
        <vt:i4>0</vt:i4>
      </vt:variant>
      <vt:variant>
        <vt:i4>5</vt:i4>
      </vt:variant>
      <vt:variant>
        <vt:lpwstr/>
      </vt:variant>
      <vt:variant>
        <vt:lpwstr>_Toc193184057</vt:lpwstr>
      </vt:variant>
      <vt:variant>
        <vt:i4>1966138</vt:i4>
      </vt:variant>
      <vt:variant>
        <vt:i4>50</vt:i4>
      </vt:variant>
      <vt:variant>
        <vt:i4>0</vt:i4>
      </vt:variant>
      <vt:variant>
        <vt:i4>5</vt:i4>
      </vt:variant>
      <vt:variant>
        <vt:lpwstr/>
      </vt:variant>
      <vt:variant>
        <vt:lpwstr>_Toc193184056</vt:lpwstr>
      </vt:variant>
      <vt:variant>
        <vt:i4>1966138</vt:i4>
      </vt:variant>
      <vt:variant>
        <vt:i4>44</vt:i4>
      </vt:variant>
      <vt:variant>
        <vt:i4>0</vt:i4>
      </vt:variant>
      <vt:variant>
        <vt:i4>5</vt:i4>
      </vt:variant>
      <vt:variant>
        <vt:lpwstr/>
      </vt:variant>
      <vt:variant>
        <vt:lpwstr>_Toc193184055</vt:lpwstr>
      </vt:variant>
      <vt:variant>
        <vt:i4>1966138</vt:i4>
      </vt:variant>
      <vt:variant>
        <vt:i4>38</vt:i4>
      </vt:variant>
      <vt:variant>
        <vt:i4>0</vt:i4>
      </vt:variant>
      <vt:variant>
        <vt:i4>5</vt:i4>
      </vt:variant>
      <vt:variant>
        <vt:lpwstr/>
      </vt:variant>
      <vt:variant>
        <vt:lpwstr>_Toc193184054</vt:lpwstr>
      </vt:variant>
      <vt:variant>
        <vt:i4>1966138</vt:i4>
      </vt:variant>
      <vt:variant>
        <vt:i4>32</vt:i4>
      </vt:variant>
      <vt:variant>
        <vt:i4>0</vt:i4>
      </vt:variant>
      <vt:variant>
        <vt:i4>5</vt:i4>
      </vt:variant>
      <vt:variant>
        <vt:lpwstr/>
      </vt:variant>
      <vt:variant>
        <vt:lpwstr>_Toc193184053</vt:lpwstr>
      </vt:variant>
      <vt:variant>
        <vt:i4>1966138</vt:i4>
      </vt:variant>
      <vt:variant>
        <vt:i4>26</vt:i4>
      </vt:variant>
      <vt:variant>
        <vt:i4>0</vt:i4>
      </vt:variant>
      <vt:variant>
        <vt:i4>5</vt:i4>
      </vt:variant>
      <vt:variant>
        <vt:lpwstr/>
      </vt:variant>
      <vt:variant>
        <vt:lpwstr>_Toc193184052</vt:lpwstr>
      </vt:variant>
      <vt:variant>
        <vt:i4>1966138</vt:i4>
      </vt:variant>
      <vt:variant>
        <vt:i4>20</vt:i4>
      </vt:variant>
      <vt:variant>
        <vt:i4>0</vt:i4>
      </vt:variant>
      <vt:variant>
        <vt:i4>5</vt:i4>
      </vt:variant>
      <vt:variant>
        <vt:lpwstr/>
      </vt:variant>
      <vt:variant>
        <vt:lpwstr>_Toc193184051</vt:lpwstr>
      </vt:variant>
      <vt:variant>
        <vt:i4>1966138</vt:i4>
      </vt:variant>
      <vt:variant>
        <vt:i4>14</vt:i4>
      </vt:variant>
      <vt:variant>
        <vt:i4>0</vt:i4>
      </vt:variant>
      <vt:variant>
        <vt:i4>5</vt:i4>
      </vt:variant>
      <vt:variant>
        <vt:lpwstr/>
      </vt:variant>
      <vt:variant>
        <vt:lpwstr>_Toc193184050</vt:lpwstr>
      </vt:variant>
      <vt:variant>
        <vt:i4>2031674</vt:i4>
      </vt:variant>
      <vt:variant>
        <vt:i4>8</vt:i4>
      </vt:variant>
      <vt:variant>
        <vt:i4>0</vt:i4>
      </vt:variant>
      <vt:variant>
        <vt:i4>5</vt:i4>
      </vt:variant>
      <vt:variant>
        <vt:lpwstr/>
      </vt:variant>
      <vt:variant>
        <vt:lpwstr>_Toc193184049</vt:lpwstr>
      </vt:variant>
      <vt:variant>
        <vt:i4>2031674</vt:i4>
      </vt:variant>
      <vt:variant>
        <vt:i4>2</vt:i4>
      </vt:variant>
      <vt:variant>
        <vt:i4>0</vt:i4>
      </vt:variant>
      <vt:variant>
        <vt:i4>5</vt:i4>
      </vt:variant>
      <vt:variant>
        <vt:lpwstr/>
      </vt:variant>
      <vt:variant>
        <vt:lpwstr>_Toc193184048</vt:lpwstr>
      </vt:variant>
      <vt:variant>
        <vt:i4>6160488</vt:i4>
      </vt:variant>
      <vt:variant>
        <vt:i4>0</vt:i4>
      </vt:variant>
      <vt:variant>
        <vt:i4>0</vt:i4>
      </vt:variant>
      <vt:variant>
        <vt:i4>5</vt:i4>
      </vt:variant>
      <vt:variant>
        <vt:lpwstr>https://unstats.un.org/unsd/publication/SeriesM/SeriesM_84E.pdf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Farinas</dc:creator>
  <cp:keywords/>
  <dc:description/>
  <cp:lastModifiedBy>Pedro Farinas</cp:lastModifiedBy>
  <cp:revision>170</cp:revision>
  <cp:lastPrinted>2025-03-14T18:06:00Z</cp:lastPrinted>
  <dcterms:created xsi:type="dcterms:W3CDTF">2025-03-18T18:49:00Z</dcterms:created>
  <dcterms:modified xsi:type="dcterms:W3CDTF">2025-04-17T17:16:00Z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0x0101007024F25E6497ED43898D504973DBDCA9</vt:lpwstr>
  </property>
  <property fmtid="{D5CDD505-2E9C-101B-9397-08002B2CF9AE}" pid="3" name="MediaServiceImageTags">
    <vt:lpwstr/>
  </property>
</Properties>
</file>