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14051" w14:textId="77777777" w:rsidR="00BE2C0D" w:rsidRPr="00D11F2C" w:rsidRDefault="00BE2C0D" w:rsidP="00D11F2C">
      <w:pPr>
        <w:shd w:val="clear" w:color="auto" w:fill="F5F5F5"/>
        <w:spacing w:after="0"/>
        <w:outlineLvl w:val="4"/>
        <w:rPr>
          <w:rFonts w:eastAsia="Times New Roman" w:cs="Times New Roman"/>
          <w:color w:val="333333"/>
          <w:sz w:val="21"/>
          <w:szCs w:val="21"/>
          <w:lang w:eastAsia="en-GB"/>
        </w:rPr>
      </w:pPr>
      <w:r w:rsidRPr="00D11F2C">
        <w:rPr>
          <w:rFonts w:eastAsia="Times New Roman" w:cs="Times New Roman"/>
          <w:color w:val="333333"/>
          <w:sz w:val="21"/>
          <w:szCs w:val="21"/>
          <w:lang w:eastAsia="en-GB"/>
        </w:rPr>
        <w:t>Goal 17: Strengthen the means of implementation and revitalize the Global Partnership for Sustainable Development</w:t>
      </w:r>
    </w:p>
    <w:p w14:paraId="70214052" w14:textId="77777777" w:rsidR="00BE2C0D" w:rsidRPr="00D11F2C" w:rsidRDefault="00BE2C0D" w:rsidP="00D11F2C">
      <w:pPr>
        <w:shd w:val="clear" w:color="auto" w:fill="F5F5F5"/>
        <w:spacing w:after="0"/>
        <w:outlineLvl w:val="4"/>
        <w:rPr>
          <w:rFonts w:eastAsia="Times New Roman" w:cs="Times New Roman"/>
          <w:color w:val="333333"/>
          <w:sz w:val="21"/>
          <w:szCs w:val="21"/>
          <w:lang w:eastAsia="en-GB"/>
        </w:rPr>
      </w:pPr>
      <w:r w:rsidRPr="00D11F2C">
        <w:rPr>
          <w:rFonts w:eastAsia="Times New Roman" w:cs="Times New Roman"/>
          <w:color w:val="333333"/>
          <w:sz w:val="21"/>
          <w:szCs w:val="21"/>
          <w:lang w:eastAsia="en-GB"/>
        </w:rPr>
        <w:t>Target 17.11: Significantly increase the exports of developing countries, in particular with a view to doubling the least developed countries' share of global exports by 2020</w:t>
      </w:r>
    </w:p>
    <w:p w14:paraId="70214054" w14:textId="5B97EBF9" w:rsidR="00BE2C0D" w:rsidRPr="00D11F2C" w:rsidRDefault="00BE2C0D" w:rsidP="001A6582">
      <w:pPr>
        <w:shd w:val="clear" w:color="auto" w:fill="F5F5F5"/>
        <w:spacing w:after="0"/>
        <w:outlineLvl w:val="1"/>
        <w:rPr>
          <w:rFonts w:eastAsia="Times New Roman" w:cs="Times New Roman"/>
          <w:color w:val="1C75BC"/>
          <w:lang w:eastAsia="en-GB"/>
        </w:rPr>
      </w:pPr>
      <w:r w:rsidRPr="00D11F2C">
        <w:rPr>
          <w:rFonts w:eastAsia="Times New Roman" w:cs="Times New Roman"/>
          <w:color w:val="1C75BC"/>
          <w:lang w:eastAsia="en-GB"/>
        </w:rPr>
        <w:t>Indicator 17.11.1: Developing countries' and least developed countries' share of global exports</w:t>
      </w:r>
    </w:p>
    <w:p w14:paraId="57E6682D" w14:textId="77777777" w:rsidR="001A6582" w:rsidRPr="001A6582" w:rsidRDefault="001A6582" w:rsidP="00D11F2C">
      <w:pPr>
        <w:pBdr>
          <w:bottom w:val="single" w:sz="12" w:space="4" w:color="DDDDDD"/>
        </w:pBdr>
        <w:shd w:val="clear" w:color="auto" w:fill="FFFFFF"/>
        <w:spacing w:after="0"/>
        <w:outlineLvl w:val="2"/>
        <w:rPr>
          <w:rFonts w:eastAsia="Times New Roman" w:cs="Times New Roman"/>
          <w:color w:val="1C75BC"/>
          <w:sz w:val="16"/>
          <w:szCs w:val="16"/>
          <w:lang w:eastAsia="en-GB"/>
        </w:rPr>
      </w:pPr>
    </w:p>
    <w:p w14:paraId="70214055" w14:textId="6E4493C9" w:rsidR="00BE2C0D" w:rsidRPr="00D11F2C" w:rsidRDefault="00BE2C0D" w:rsidP="00D11F2C">
      <w:pPr>
        <w:pBdr>
          <w:bottom w:val="single" w:sz="12" w:space="4" w:color="DDDDDD"/>
        </w:pBdr>
        <w:shd w:val="clear" w:color="auto" w:fill="FFFFFF"/>
        <w:spacing w:after="0"/>
        <w:outlineLvl w:val="2"/>
        <w:rPr>
          <w:rFonts w:eastAsia="Times New Roman" w:cs="Times New Roman"/>
          <w:color w:val="1C75BC"/>
          <w:sz w:val="36"/>
          <w:szCs w:val="36"/>
          <w:lang w:eastAsia="en-GB"/>
        </w:rPr>
      </w:pPr>
      <w:r w:rsidRPr="00D11F2C">
        <w:rPr>
          <w:rFonts w:eastAsia="Times New Roman" w:cs="Times New Roman"/>
          <w:color w:val="1C75BC"/>
          <w:sz w:val="36"/>
          <w:szCs w:val="36"/>
          <w:lang w:eastAsia="en-GB"/>
        </w:rPr>
        <w:t>Institutional information</w:t>
      </w:r>
    </w:p>
    <w:p w14:paraId="70214056" w14:textId="77777777" w:rsidR="00BE2C0D" w:rsidRPr="00D11F2C" w:rsidRDefault="00BE2C0D" w:rsidP="00D11F2C">
      <w:pPr>
        <w:shd w:val="clear" w:color="auto" w:fill="FFFFFF"/>
        <w:spacing w:after="0"/>
        <w:rPr>
          <w:rFonts w:eastAsia="Times New Roman" w:cs="Times New Roman"/>
          <w:b/>
          <w:bCs/>
          <w:color w:val="4A4A4A"/>
          <w:sz w:val="21"/>
          <w:szCs w:val="21"/>
          <w:lang w:eastAsia="en-GB"/>
        </w:rPr>
      </w:pPr>
    </w:p>
    <w:p w14:paraId="70214057"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Organization(s):</w:t>
      </w:r>
    </w:p>
    <w:p w14:paraId="70214058" w14:textId="77777777" w:rsidR="00BE2C0D" w:rsidRPr="00D11F2C" w:rsidRDefault="00BE2C0D" w:rsidP="00D11F2C">
      <w:pPr>
        <w:shd w:val="clear" w:color="auto" w:fill="FFFFFF"/>
        <w:spacing w:after="0"/>
        <w:rPr>
          <w:rFonts w:eastAsia="Times New Roman" w:cs="Times New Roman"/>
          <w:color w:val="4A4A4A"/>
          <w:sz w:val="21"/>
          <w:szCs w:val="21"/>
          <w:lang w:eastAsia="en-GB"/>
        </w:rPr>
      </w:pPr>
      <w:bookmarkStart w:id="0" w:name="_GoBack"/>
      <w:bookmarkEnd w:id="0"/>
    </w:p>
    <w:p w14:paraId="70214059"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International Trade Centre (ITC)</w:t>
      </w:r>
    </w:p>
    <w:p w14:paraId="7021405A"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5B"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United Nations Conference on Trade and Development (UNCTAD)</w:t>
      </w:r>
    </w:p>
    <w:p w14:paraId="7021405C"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5D"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The World Trade Organization (WTO)</w:t>
      </w:r>
    </w:p>
    <w:p w14:paraId="7021405E"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5F" w14:textId="77777777" w:rsidR="00BE2C0D" w:rsidRPr="00D11F2C" w:rsidRDefault="00BE2C0D" w:rsidP="00D11F2C">
      <w:pPr>
        <w:pBdr>
          <w:bottom w:val="single" w:sz="12" w:space="4" w:color="DDDDDD"/>
        </w:pBdr>
        <w:shd w:val="clear" w:color="auto" w:fill="FFFFFF"/>
        <w:spacing w:after="0"/>
        <w:outlineLvl w:val="2"/>
        <w:rPr>
          <w:rFonts w:eastAsia="Times New Roman" w:cs="Times New Roman"/>
          <w:color w:val="1C75BC"/>
          <w:sz w:val="36"/>
          <w:szCs w:val="36"/>
          <w:lang w:eastAsia="en-GB"/>
        </w:rPr>
      </w:pPr>
      <w:r w:rsidRPr="00D11F2C">
        <w:rPr>
          <w:rFonts w:eastAsia="Times New Roman" w:cs="Times New Roman"/>
          <w:color w:val="1C75BC"/>
          <w:sz w:val="36"/>
          <w:szCs w:val="36"/>
          <w:lang w:eastAsia="en-GB"/>
        </w:rPr>
        <w:t>Concepts and definitions</w:t>
      </w:r>
    </w:p>
    <w:p w14:paraId="70214060" w14:textId="77777777" w:rsidR="00BE2C0D" w:rsidRPr="00D11F2C" w:rsidRDefault="00BE2C0D" w:rsidP="00D11F2C">
      <w:pPr>
        <w:shd w:val="clear" w:color="auto" w:fill="FFFFFF"/>
        <w:spacing w:after="0"/>
        <w:rPr>
          <w:rFonts w:eastAsia="Times New Roman" w:cs="Times New Roman"/>
          <w:b/>
          <w:bCs/>
          <w:color w:val="4A4A4A"/>
          <w:sz w:val="21"/>
          <w:szCs w:val="21"/>
          <w:lang w:eastAsia="en-GB"/>
        </w:rPr>
      </w:pPr>
    </w:p>
    <w:p w14:paraId="70214061"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Definition:</w:t>
      </w:r>
    </w:p>
    <w:p w14:paraId="70214062"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63"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Exports by developing countries and LDCs as a share of global exports of goods and services</w:t>
      </w:r>
    </w:p>
    <w:p w14:paraId="70214064"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65"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Rationale:</w:t>
      </w:r>
    </w:p>
    <w:p w14:paraId="70214066"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67"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The indicator proposed allows tracking the increase of exports from Developing countries and LDCs prescribed by target 17.11. Using shares of global exports provide information on the relative size of Developing and LDCs export in comparison to global exports.</w:t>
      </w:r>
    </w:p>
    <w:p w14:paraId="70214068"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69"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Concepts:</w:t>
      </w:r>
    </w:p>
    <w:p w14:paraId="7021406A"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6B"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Harmonized System (HS): Is the international classification used to categorize products that are traded (merchandise trade)</w:t>
      </w:r>
    </w:p>
    <w:p w14:paraId="7021406C"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6D"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Balance of Payments (</w:t>
      </w:r>
      <w:proofErr w:type="spellStart"/>
      <w:r w:rsidRPr="00D11F2C">
        <w:rPr>
          <w:rFonts w:eastAsia="Times New Roman" w:cs="Times New Roman"/>
          <w:color w:val="4A4A4A"/>
          <w:sz w:val="21"/>
          <w:szCs w:val="21"/>
          <w:lang w:eastAsia="en-GB"/>
        </w:rPr>
        <w:t>BoP</w:t>
      </w:r>
      <w:proofErr w:type="spellEnd"/>
      <w:r w:rsidRPr="00D11F2C">
        <w:rPr>
          <w:rFonts w:eastAsia="Times New Roman" w:cs="Times New Roman"/>
          <w:color w:val="4A4A4A"/>
          <w:sz w:val="21"/>
          <w:szCs w:val="21"/>
          <w:lang w:eastAsia="en-GB"/>
        </w:rPr>
        <w:t>): Services are classified according to the items presented in the Balance of Payments as defined by the IMF in t the Balance of Payments Manual.</w:t>
      </w:r>
    </w:p>
    <w:p w14:paraId="7021406E"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6F"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Comments and limitations:</w:t>
      </w:r>
    </w:p>
    <w:p w14:paraId="70214070"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71"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 xml:space="preserve">Export shares need to be analysed from different angles in order to infer whether a particular country or region made improvements in its trade performance. First of all, exports value should be always kept into account in order to observe whether changes in export shares are originating from increasing developing and LDCs exports or from a decrease of other countries exported values. Secondly, and in order to foster trade that is beneficial for the other SDGs, it would be useful to </w:t>
      </w:r>
      <w:proofErr w:type="spellStart"/>
      <w:r w:rsidRPr="00D11F2C">
        <w:rPr>
          <w:rFonts w:eastAsia="Times New Roman" w:cs="Times New Roman"/>
          <w:color w:val="4A4A4A"/>
          <w:sz w:val="21"/>
          <w:szCs w:val="21"/>
          <w:lang w:eastAsia="en-GB"/>
        </w:rPr>
        <w:t>analyze</w:t>
      </w:r>
      <w:proofErr w:type="spellEnd"/>
      <w:r w:rsidRPr="00D11F2C">
        <w:rPr>
          <w:rFonts w:eastAsia="Times New Roman" w:cs="Times New Roman"/>
          <w:color w:val="4A4A4A"/>
          <w:sz w:val="21"/>
          <w:szCs w:val="21"/>
          <w:lang w:eastAsia="en-GB"/>
        </w:rPr>
        <w:t xml:space="preserve"> the composition of the export basket by the level of processing of the goods that are traded. This will allow understanding whether progress are made in terms of the quality and value added of the products exported. In addition to that, </w:t>
      </w:r>
      <w:r w:rsidRPr="00D11F2C">
        <w:rPr>
          <w:rFonts w:eastAsia="Times New Roman" w:cs="Times New Roman"/>
          <w:color w:val="4A4A4A"/>
          <w:sz w:val="21"/>
          <w:szCs w:val="21"/>
          <w:lang w:eastAsia="en-GB"/>
        </w:rPr>
        <w:lastRenderedPageBreak/>
        <w:t>while some exports like arms, oil and other natural resources would require a separate analysis, the calculation of export diversification indicators would be recommended to assess the progress made by developing and LDCs in terms of productivity and improvement of their export portfolio.</w:t>
      </w:r>
    </w:p>
    <w:p w14:paraId="70214072"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73"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 xml:space="preserve">For what concerns trade in services, it could be necessary to draw on supplementary data from migration, tourism, multinational companies (MNC) and labour market statistics, in order to provide detailed figures for Travel and Government services </w:t>
      </w:r>
      <w:proofErr w:type="spellStart"/>
      <w:r w:rsidRPr="00D11F2C">
        <w:rPr>
          <w:rFonts w:eastAsia="Times New Roman" w:cs="Times New Roman"/>
          <w:color w:val="4A4A4A"/>
          <w:sz w:val="21"/>
          <w:szCs w:val="21"/>
          <w:lang w:eastAsia="en-GB"/>
        </w:rPr>
        <w:t>n.i.e</w:t>
      </w:r>
      <w:proofErr w:type="spellEnd"/>
      <w:r w:rsidRPr="00D11F2C">
        <w:rPr>
          <w:rFonts w:eastAsia="Times New Roman" w:cs="Times New Roman"/>
          <w:color w:val="4A4A4A"/>
          <w:sz w:val="21"/>
          <w:szCs w:val="21"/>
          <w:lang w:eastAsia="en-GB"/>
        </w:rPr>
        <w:t>. A typical area of interest for international trade in services relates to the data that may be maintained by governments on education and health services provided to or by non-residents (travel; personal, cultural and recreational services). Information obtained from partner countries is useful in order to validate and improve statistics of the compiling economy. Data from international organizations can be useful for aid recipient countries to compile data on technical assistance services.</w:t>
      </w:r>
    </w:p>
    <w:p w14:paraId="70214074"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75" w14:textId="77777777" w:rsidR="00BE2C0D" w:rsidRPr="00D11F2C" w:rsidRDefault="00BE2C0D" w:rsidP="00D11F2C">
      <w:pPr>
        <w:pBdr>
          <w:bottom w:val="single" w:sz="12" w:space="4" w:color="DDDDDD"/>
        </w:pBdr>
        <w:shd w:val="clear" w:color="auto" w:fill="FFFFFF"/>
        <w:spacing w:after="0"/>
        <w:outlineLvl w:val="2"/>
        <w:rPr>
          <w:rFonts w:eastAsia="Times New Roman" w:cs="Times New Roman"/>
          <w:color w:val="1C75BC"/>
          <w:sz w:val="36"/>
          <w:szCs w:val="36"/>
          <w:lang w:eastAsia="en-GB"/>
        </w:rPr>
      </w:pPr>
      <w:r w:rsidRPr="00D11F2C">
        <w:rPr>
          <w:rFonts w:eastAsia="Times New Roman" w:cs="Times New Roman"/>
          <w:color w:val="1C75BC"/>
          <w:sz w:val="36"/>
          <w:szCs w:val="36"/>
          <w:lang w:eastAsia="en-GB"/>
        </w:rPr>
        <w:t>Methodology</w:t>
      </w:r>
    </w:p>
    <w:p w14:paraId="70214076" w14:textId="77777777" w:rsidR="00BE2C0D" w:rsidRPr="00D11F2C" w:rsidRDefault="00BE2C0D" w:rsidP="00D11F2C">
      <w:pPr>
        <w:shd w:val="clear" w:color="auto" w:fill="FFFFFF"/>
        <w:spacing w:after="0"/>
        <w:rPr>
          <w:rFonts w:eastAsia="Times New Roman" w:cs="Times New Roman"/>
          <w:b/>
          <w:bCs/>
          <w:color w:val="4A4A4A"/>
          <w:sz w:val="21"/>
          <w:szCs w:val="21"/>
          <w:lang w:eastAsia="en-GB"/>
        </w:rPr>
      </w:pPr>
    </w:p>
    <w:p w14:paraId="70214077"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Computation Method:</w:t>
      </w:r>
    </w:p>
    <w:p w14:paraId="70214078"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79"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Share of global trade is intended of a particular group of country fraction of total trade.</w:t>
      </w:r>
    </w:p>
    <w:p w14:paraId="7021407A"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7B"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While for merchandise trade data are consistent through he time series (2000-current), for services trade there might be difficulties related to lack of harmonization for data previous to 2005. Before 2005 data are reported according the 5th Balance of Payments Manual. After 2005, data have been converted according to the categories and principles established by the 6th edition of the Balance of Payments Manual.</w:t>
      </w:r>
    </w:p>
    <w:p w14:paraId="7021407C"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7D"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Disaggregation:</w:t>
      </w:r>
    </w:p>
    <w:p w14:paraId="7021407E"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7F"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Disaggregation is available by product sector (e.g. Agriculture, Textile, Environmental goods), level of goods processing, geographical region and country income level (e.g. Developed, Developing, LDCs).</w:t>
      </w:r>
    </w:p>
    <w:p w14:paraId="70214080"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81"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Treatment of missing values:</w:t>
      </w:r>
    </w:p>
    <w:p w14:paraId="70214082"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83" w14:textId="77777777" w:rsidR="00BE2C0D" w:rsidRPr="00D11F2C" w:rsidRDefault="00BE2C0D" w:rsidP="00D11F2C">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D11F2C">
        <w:rPr>
          <w:rFonts w:eastAsia="Times New Roman" w:cs="Times New Roman"/>
          <w:color w:val="1C75BC"/>
          <w:sz w:val="21"/>
          <w:szCs w:val="21"/>
          <w:lang w:eastAsia="en-GB"/>
        </w:rPr>
        <w:t>At country level</w:t>
      </w:r>
    </w:p>
    <w:p w14:paraId="70214084" w14:textId="77777777" w:rsidR="00BE2C0D" w:rsidRPr="00D11F2C" w:rsidRDefault="00BE2C0D" w:rsidP="00D11F2C">
      <w:pPr>
        <w:shd w:val="clear" w:color="auto" w:fill="FFFFFF"/>
        <w:spacing w:after="0"/>
        <w:ind w:left="495"/>
        <w:rPr>
          <w:rFonts w:eastAsia="Times New Roman" w:cs="Times New Roman"/>
          <w:color w:val="4A4A4A"/>
          <w:sz w:val="21"/>
          <w:szCs w:val="21"/>
          <w:lang w:eastAsia="en-GB"/>
        </w:rPr>
      </w:pPr>
    </w:p>
    <w:p w14:paraId="70214085" w14:textId="77777777" w:rsidR="00BE2C0D" w:rsidRPr="00D11F2C" w:rsidRDefault="00BE2C0D" w:rsidP="00D11F2C">
      <w:pPr>
        <w:shd w:val="clear" w:color="auto" w:fill="FFFFFF"/>
        <w:spacing w:after="0"/>
        <w:ind w:left="495"/>
        <w:rPr>
          <w:rFonts w:eastAsia="Times New Roman" w:cs="Times New Roman"/>
          <w:color w:val="4A4A4A"/>
          <w:sz w:val="21"/>
          <w:szCs w:val="21"/>
          <w:lang w:eastAsia="en-GB"/>
        </w:rPr>
      </w:pPr>
      <w:r w:rsidRPr="00D11F2C">
        <w:rPr>
          <w:rFonts w:eastAsia="Times New Roman" w:cs="Times New Roman"/>
          <w:color w:val="4A4A4A"/>
          <w:sz w:val="21"/>
          <w:szCs w:val="21"/>
          <w:lang w:eastAsia="en-GB"/>
        </w:rPr>
        <w:t xml:space="preserve">Previous year is used when latest year is not available. Alternatively mirror statistics can be used. Mirror statistics is the term used to define statistics that are calculated using partner country information when data for the analysed country are not available. For instance, the export of a country X could be recalculated using mirror statistics through the imports from country X of all its partners. It has to be kept in mind however imports are often reported CIF (i.e. including the cost of freight and insurance) while export </w:t>
      </w:r>
      <w:proofErr w:type="spellStart"/>
      <w:r w:rsidRPr="00D11F2C">
        <w:rPr>
          <w:rFonts w:eastAsia="Times New Roman" w:cs="Times New Roman"/>
          <w:color w:val="4A4A4A"/>
          <w:sz w:val="21"/>
          <w:szCs w:val="21"/>
          <w:lang w:eastAsia="en-GB"/>
        </w:rPr>
        <w:t>FoB</w:t>
      </w:r>
      <w:proofErr w:type="spellEnd"/>
      <w:r w:rsidRPr="00D11F2C">
        <w:rPr>
          <w:rFonts w:eastAsia="Times New Roman" w:cs="Times New Roman"/>
          <w:color w:val="4A4A4A"/>
          <w:sz w:val="21"/>
          <w:szCs w:val="21"/>
          <w:lang w:eastAsia="en-GB"/>
        </w:rPr>
        <w:t xml:space="preserve"> (i.e. free on board). The difference between these two reporting systems should be taken into account when using import data to estimate exports.</w:t>
      </w:r>
    </w:p>
    <w:p w14:paraId="70214086" w14:textId="77777777" w:rsidR="00BE2C0D" w:rsidRPr="00D11F2C" w:rsidRDefault="00BE2C0D" w:rsidP="00D11F2C">
      <w:pPr>
        <w:shd w:val="clear" w:color="auto" w:fill="FFFFFF"/>
        <w:spacing w:after="0"/>
        <w:ind w:left="495"/>
        <w:rPr>
          <w:rFonts w:eastAsia="Times New Roman" w:cs="Times New Roman"/>
          <w:color w:val="4A4A4A"/>
          <w:sz w:val="21"/>
          <w:szCs w:val="21"/>
          <w:lang w:eastAsia="en-GB"/>
        </w:rPr>
      </w:pPr>
    </w:p>
    <w:p w14:paraId="70214087" w14:textId="77777777" w:rsidR="00BE2C0D" w:rsidRPr="00D11F2C" w:rsidRDefault="00BE2C0D" w:rsidP="00D11F2C">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D11F2C">
        <w:rPr>
          <w:rFonts w:eastAsia="Times New Roman" w:cs="Times New Roman"/>
          <w:color w:val="1C75BC"/>
          <w:sz w:val="21"/>
          <w:szCs w:val="21"/>
          <w:lang w:eastAsia="en-GB"/>
        </w:rPr>
        <w:t>At regional and global levels</w:t>
      </w:r>
    </w:p>
    <w:p w14:paraId="70214088" w14:textId="77777777" w:rsidR="00BE2C0D" w:rsidRPr="00D11F2C" w:rsidRDefault="00BE2C0D" w:rsidP="00D11F2C">
      <w:pPr>
        <w:shd w:val="clear" w:color="auto" w:fill="FFFFFF"/>
        <w:spacing w:after="0"/>
        <w:ind w:left="495"/>
        <w:rPr>
          <w:rFonts w:eastAsia="Times New Roman" w:cs="Times New Roman"/>
          <w:color w:val="4A4A4A"/>
          <w:sz w:val="21"/>
          <w:szCs w:val="21"/>
          <w:lang w:eastAsia="en-GB"/>
        </w:rPr>
      </w:pPr>
    </w:p>
    <w:p w14:paraId="70214089" w14:textId="77777777" w:rsidR="00BE2C0D" w:rsidRPr="00D11F2C" w:rsidRDefault="00BE2C0D" w:rsidP="00D11F2C">
      <w:pPr>
        <w:shd w:val="clear" w:color="auto" w:fill="FFFFFF"/>
        <w:spacing w:after="0"/>
        <w:ind w:left="495"/>
        <w:rPr>
          <w:rFonts w:eastAsia="Times New Roman" w:cs="Times New Roman"/>
          <w:color w:val="4A4A4A"/>
          <w:sz w:val="21"/>
          <w:szCs w:val="21"/>
          <w:lang w:eastAsia="en-GB"/>
        </w:rPr>
      </w:pPr>
      <w:r w:rsidRPr="00D11F2C">
        <w:rPr>
          <w:rFonts w:eastAsia="Times New Roman" w:cs="Times New Roman"/>
          <w:color w:val="4A4A4A"/>
          <w:sz w:val="21"/>
          <w:szCs w:val="21"/>
          <w:lang w:eastAsia="en-GB"/>
        </w:rPr>
        <w:t>Answered above.</w:t>
      </w:r>
    </w:p>
    <w:p w14:paraId="7021408A" w14:textId="77777777" w:rsidR="00BE2C0D" w:rsidRPr="00D11F2C" w:rsidRDefault="00BE2C0D" w:rsidP="00D11F2C">
      <w:pPr>
        <w:shd w:val="clear" w:color="auto" w:fill="FFFFFF"/>
        <w:spacing w:after="0"/>
        <w:ind w:left="495"/>
        <w:rPr>
          <w:rFonts w:eastAsia="Times New Roman" w:cs="Times New Roman"/>
          <w:color w:val="4A4A4A"/>
          <w:sz w:val="21"/>
          <w:szCs w:val="21"/>
          <w:lang w:eastAsia="en-GB"/>
        </w:rPr>
      </w:pPr>
    </w:p>
    <w:p w14:paraId="7021408B"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lastRenderedPageBreak/>
        <w:t>Regional aggregates:</w:t>
      </w:r>
    </w:p>
    <w:p w14:paraId="7021408C"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8D"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Country exports at the 6 digit level of the Harmonized System (HS) classification are summed together at the regional level and then divided by the total amount of exports.</w:t>
      </w:r>
    </w:p>
    <w:p w14:paraId="7021408E"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8F"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Sources of discrepancies:</w:t>
      </w:r>
    </w:p>
    <w:p w14:paraId="70214090"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91"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Not applicable to this indicator. Global data are calculated uniquely by international agencies. At the national level, the data used are the same provided by national authorities and statistical offices.</w:t>
      </w:r>
    </w:p>
    <w:p w14:paraId="70214092"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93" w14:textId="77777777" w:rsidR="00BE2C0D" w:rsidRPr="00D11F2C" w:rsidRDefault="00BE2C0D" w:rsidP="00D11F2C">
      <w:pPr>
        <w:pBdr>
          <w:bottom w:val="single" w:sz="12" w:space="4" w:color="DDDDDD"/>
        </w:pBdr>
        <w:shd w:val="clear" w:color="auto" w:fill="FFFFFF"/>
        <w:spacing w:after="0"/>
        <w:outlineLvl w:val="2"/>
        <w:rPr>
          <w:rFonts w:eastAsia="Times New Roman" w:cs="Times New Roman"/>
          <w:color w:val="1C75BC"/>
          <w:sz w:val="36"/>
          <w:szCs w:val="36"/>
          <w:lang w:eastAsia="en-GB"/>
        </w:rPr>
      </w:pPr>
      <w:r w:rsidRPr="00D11F2C">
        <w:rPr>
          <w:rFonts w:eastAsia="Times New Roman" w:cs="Times New Roman"/>
          <w:color w:val="1C75BC"/>
          <w:sz w:val="36"/>
          <w:szCs w:val="36"/>
          <w:lang w:eastAsia="en-GB"/>
        </w:rPr>
        <w:t>Data Sources</w:t>
      </w:r>
    </w:p>
    <w:p w14:paraId="70214094" w14:textId="77777777" w:rsidR="00BE2C0D" w:rsidRPr="00D11F2C" w:rsidRDefault="00BE2C0D" w:rsidP="00D11F2C">
      <w:pPr>
        <w:shd w:val="clear" w:color="auto" w:fill="FFFFFF"/>
        <w:spacing w:after="0"/>
        <w:rPr>
          <w:rFonts w:eastAsia="Times New Roman" w:cs="Times New Roman"/>
          <w:b/>
          <w:bCs/>
          <w:color w:val="4A4A4A"/>
          <w:sz w:val="21"/>
          <w:szCs w:val="21"/>
          <w:lang w:eastAsia="en-GB"/>
        </w:rPr>
      </w:pPr>
    </w:p>
    <w:p w14:paraId="70214095"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Description:</w:t>
      </w:r>
    </w:p>
    <w:p w14:paraId="70214096"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97"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"Trade in goods data included in the ITC (Trade Map) database are collected by contacting directly focal points in national agencies or regional organizations (in the case of custom unions or regional economic communities). Trade in goods data included in the WTO (IDB) database are sourced from official notifications of WTO members. Trade in goods data are complemented, when needed using the UN COMTRADE database.</w:t>
      </w:r>
    </w:p>
    <w:p w14:paraId="70214098"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99"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Trade in services data are sourced from a joint ITC/UNCTAD/WTO database, prevalently based on balance of payments accounts data maintained by the IMF, OECD and EUROSTAT. In some cases WTO jointly with UNCTAD collects information from national sources. Trade in services data can be retrieved by domestic banks and/or national statistic offices from one or more of the following sources:</w:t>
      </w:r>
    </w:p>
    <w:p w14:paraId="7021409A"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9B"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International Transaction Reporting System (ITRS). In this case, international payments channelled through domestic banks are collected, generally, under the responsibility of the national central bank. Payments are used as a proxy of transactions.</w:t>
      </w:r>
    </w:p>
    <w:p w14:paraId="7021409C"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9D"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Enterprise surveys. Generally, under the responsibility of the national statistical office.</w:t>
      </w:r>
    </w:p>
    <w:p w14:paraId="7021409E"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9F" w14:textId="77777777" w:rsidR="00BE2C0D" w:rsidRPr="00D11F2C" w:rsidRDefault="00BE2C0D" w:rsidP="00D11F2C">
      <w:pPr>
        <w:pBdr>
          <w:bottom w:val="single" w:sz="12" w:space="4" w:color="DDDDDD"/>
        </w:pBdr>
        <w:shd w:val="clear" w:color="auto" w:fill="FFFFFF"/>
        <w:spacing w:after="0"/>
        <w:outlineLvl w:val="2"/>
        <w:rPr>
          <w:rFonts w:eastAsia="Times New Roman" w:cs="Times New Roman"/>
          <w:color w:val="1C75BC"/>
          <w:sz w:val="36"/>
          <w:szCs w:val="36"/>
          <w:lang w:eastAsia="en-GB"/>
        </w:rPr>
      </w:pPr>
      <w:r w:rsidRPr="00D11F2C">
        <w:rPr>
          <w:rFonts w:eastAsia="Times New Roman" w:cs="Times New Roman"/>
          <w:color w:val="1C75BC"/>
          <w:sz w:val="36"/>
          <w:szCs w:val="36"/>
          <w:lang w:eastAsia="en-GB"/>
        </w:rPr>
        <w:t>Data Availability</w:t>
      </w:r>
    </w:p>
    <w:p w14:paraId="702140A0" w14:textId="77777777" w:rsidR="00BE2C0D" w:rsidRPr="00D11F2C" w:rsidRDefault="00BE2C0D" w:rsidP="00D11F2C">
      <w:pPr>
        <w:shd w:val="clear" w:color="auto" w:fill="FFFFFF"/>
        <w:spacing w:after="0"/>
        <w:rPr>
          <w:rFonts w:eastAsia="Times New Roman" w:cs="Times New Roman"/>
          <w:b/>
          <w:bCs/>
          <w:color w:val="4A4A4A"/>
          <w:sz w:val="21"/>
          <w:szCs w:val="21"/>
          <w:lang w:eastAsia="en-GB"/>
        </w:rPr>
      </w:pPr>
    </w:p>
    <w:p w14:paraId="702140A1"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Description:</w:t>
      </w:r>
    </w:p>
    <w:p w14:paraId="702140A2"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A3"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Asia and Pacific: 40</w:t>
      </w:r>
    </w:p>
    <w:p w14:paraId="702140A4"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Africa: 36</w:t>
      </w:r>
    </w:p>
    <w:p w14:paraId="702140A5"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Latin America and the Caribbean: 29</w:t>
      </w:r>
    </w:p>
    <w:p w14:paraId="702140A6"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Europe, North America, Australia, New Zealand and Japan: 31</w:t>
      </w:r>
    </w:p>
    <w:p w14:paraId="702140A7"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A8"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Time series:</w:t>
      </w:r>
    </w:p>
    <w:p w14:paraId="702140A9"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AA"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 xml:space="preserve">Yearly data from 2000 to latest year </w:t>
      </w:r>
    </w:p>
    <w:p w14:paraId="702140AB"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AC" w14:textId="77777777" w:rsidR="00BE2C0D" w:rsidRPr="00D11F2C" w:rsidRDefault="00BE2C0D" w:rsidP="00D11F2C">
      <w:pPr>
        <w:pBdr>
          <w:bottom w:val="single" w:sz="12" w:space="4" w:color="DDDDDD"/>
        </w:pBdr>
        <w:shd w:val="clear" w:color="auto" w:fill="FFFFFF"/>
        <w:spacing w:after="0"/>
        <w:outlineLvl w:val="2"/>
        <w:rPr>
          <w:rFonts w:eastAsia="Times New Roman" w:cs="Times New Roman"/>
          <w:color w:val="1C75BC"/>
          <w:sz w:val="36"/>
          <w:szCs w:val="36"/>
          <w:lang w:eastAsia="en-GB"/>
        </w:rPr>
      </w:pPr>
      <w:r w:rsidRPr="00D11F2C">
        <w:rPr>
          <w:rFonts w:eastAsia="Times New Roman" w:cs="Times New Roman"/>
          <w:color w:val="1C75BC"/>
          <w:sz w:val="36"/>
          <w:szCs w:val="36"/>
          <w:lang w:eastAsia="en-GB"/>
        </w:rPr>
        <w:lastRenderedPageBreak/>
        <w:t>Calendar</w:t>
      </w:r>
    </w:p>
    <w:p w14:paraId="702140AD" w14:textId="77777777" w:rsidR="00BE2C0D" w:rsidRPr="00D11F2C" w:rsidRDefault="00BE2C0D" w:rsidP="00D11F2C">
      <w:pPr>
        <w:shd w:val="clear" w:color="auto" w:fill="FFFFFF"/>
        <w:spacing w:after="0"/>
        <w:rPr>
          <w:rFonts w:eastAsia="Times New Roman" w:cs="Times New Roman"/>
          <w:b/>
          <w:bCs/>
          <w:color w:val="4A4A4A"/>
          <w:sz w:val="21"/>
          <w:szCs w:val="21"/>
          <w:lang w:eastAsia="en-GB"/>
        </w:rPr>
      </w:pPr>
    </w:p>
    <w:p w14:paraId="702140AE"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Data collection:</w:t>
      </w:r>
    </w:p>
    <w:p w14:paraId="702140AF"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B0"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 xml:space="preserve">Collection of trade data (import and export flow) occurs all year round. </w:t>
      </w:r>
    </w:p>
    <w:p w14:paraId="702140B1"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B2"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Data release:</w:t>
      </w:r>
    </w:p>
    <w:p w14:paraId="702140B3"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B4"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 xml:space="preserve">Data for year “t-1” will be released in year “t” approximately around March/April depending also on the date decided for the launching of the yearly report on the SDGs monitoring. </w:t>
      </w:r>
    </w:p>
    <w:p w14:paraId="702140B5"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B6" w14:textId="77777777" w:rsidR="00BE2C0D" w:rsidRPr="00D11F2C" w:rsidRDefault="00BE2C0D" w:rsidP="00D11F2C">
      <w:pPr>
        <w:pBdr>
          <w:bottom w:val="single" w:sz="12" w:space="4" w:color="DDDDDD"/>
        </w:pBdr>
        <w:shd w:val="clear" w:color="auto" w:fill="FFFFFF"/>
        <w:spacing w:after="0"/>
        <w:outlineLvl w:val="2"/>
        <w:rPr>
          <w:rFonts w:eastAsia="Times New Roman" w:cs="Times New Roman"/>
          <w:color w:val="1C75BC"/>
          <w:sz w:val="36"/>
          <w:szCs w:val="36"/>
          <w:lang w:eastAsia="en-GB"/>
        </w:rPr>
      </w:pPr>
      <w:r w:rsidRPr="00D11F2C">
        <w:rPr>
          <w:rFonts w:eastAsia="Times New Roman" w:cs="Times New Roman"/>
          <w:color w:val="1C75BC"/>
          <w:sz w:val="36"/>
          <w:szCs w:val="36"/>
          <w:lang w:eastAsia="en-GB"/>
        </w:rPr>
        <w:t>Data providers</w:t>
      </w:r>
    </w:p>
    <w:p w14:paraId="702140B7" w14:textId="77777777" w:rsidR="00BE2C0D" w:rsidRPr="00D11F2C" w:rsidRDefault="00BE2C0D" w:rsidP="00D11F2C">
      <w:pPr>
        <w:shd w:val="clear" w:color="auto" w:fill="FFFFFF"/>
        <w:spacing w:after="0"/>
        <w:rPr>
          <w:rFonts w:eastAsia="Times New Roman" w:cs="Times New Roman"/>
          <w:b/>
          <w:bCs/>
          <w:color w:val="4A4A4A"/>
          <w:sz w:val="21"/>
          <w:szCs w:val="21"/>
          <w:lang w:eastAsia="en-GB"/>
        </w:rPr>
      </w:pPr>
    </w:p>
    <w:p w14:paraId="702140B8"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Already answered above.</w:t>
      </w:r>
    </w:p>
    <w:p w14:paraId="702140B9"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BA" w14:textId="77777777" w:rsidR="00BE2C0D" w:rsidRPr="00D11F2C" w:rsidRDefault="00BE2C0D" w:rsidP="00D11F2C">
      <w:pPr>
        <w:pBdr>
          <w:bottom w:val="single" w:sz="12" w:space="4" w:color="DDDDDD"/>
        </w:pBdr>
        <w:shd w:val="clear" w:color="auto" w:fill="FFFFFF"/>
        <w:spacing w:after="0"/>
        <w:outlineLvl w:val="2"/>
        <w:rPr>
          <w:rFonts w:eastAsia="Times New Roman" w:cs="Times New Roman"/>
          <w:color w:val="1C75BC"/>
          <w:sz w:val="36"/>
          <w:szCs w:val="36"/>
          <w:lang w:eastAsia="en-GB"/>
        </w:rPr>
      </w:pPr>
      <w:r w:rsidRPr="00D11F2C">
        <w:rPr>
          <w:rFonts w:eastAsia="Times New Roman" w:cs="Times New Roman"/>
          <w:color w:val="1C75BC"/>
          <w:sz w:val="36"/>
          <w:szCs w:val="36"/>
          <w:lang w:eastAsia="en-GB"/>
        </w:rPr>
        <w:t>Data compilers</w:t>
      </w:r>
    </w:p>
    <w:p w14:paraId="702140BB" w14:textId="77777777" w:rsidR="00BE2C0D" w:rsidRPr="00D11F2C" w:rsidRDefault="00BE2C0D" w:rsidP="00D11F2C">
      <w:pPr>
        <w:shd w:val="clear" w:color="auto" w:fill="FFFFFF"/>
        <w:spacing w:after="0"/>
        <w:rPr>
          <w:rFonts w:eastAsia="Times New Roman" w:cs="Times New Roman"/>
          <w:b/>
          <w:bCs/>
          <w:color w:val="4A4A4A"/>
          <w:sz w:val="21"/>
          <w:szCs w:val="21"/>
          <w:lang w:eastAsia="en-GB"/>
        </w:rPr>
      </w:pPr>
    </w:p>
    <w:p w14:paraId="702140BC"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Name:</w:t>
      </w:r>
    </w:p>
    <w:p w14:paraId="702140BD"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BE"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ITC, WTO and UNCTAD</w:t>
      </w:r>
    </w:p>
    <w:p w14:paraId="702140BF"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C0"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Description:</w:t>
      </w:r>
    </w:p>
    <w:p w14:paraId="702140C1"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C2"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ITC, WTO and UNCTAD will jointly report on this indicator</w:t>
      </w:r>
    </w:p>
    <w:p w14:paraId="702140C3"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C4" w14:textId="77777777" w:rsidR="00BE2C0D" w:rsidRPr="00D11F2C" w:rsidRDefault="00BE2C0D" w:rsidP="00D11F2C">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D11F2C">
        <w:rPr>
          <w:rFonts w:eastAsia="Times New Roman" w:cs="Times New Roman"/>
          <w:color w:val="1C75BC"/>
          <w:sz w:val="36"/>
          <w:szCs w:val="36"/>
          <w:lang w:eastAsia="en-GB"/>
        </w:rPr>
        <w:t>References</w:t>
      </w:r>
    </w:p>
    <w:p w14:paraId="702140C5" w14:textId="77777777" w:rsidR="00BE2C0D" w:rsidRPr="00D11F2C" w:rsidRDefault="00BE2C0D" w:rsidP="00D11F2C">
      <w:pPr>
        <w:keepNext/>
        <w:keepLines/>
        <w:shd w:val="clear" w:color="auto" w:fill="FFFFFF"/>
        <w:spacing w:after="0"/>
        <w:rPr>
          <w:rFonts w:eastAsia="Times New Roman" w:cs="Times New Roman"/>
          <w:b/>
          <w:bCs/>
          <w:color w:val="4A4A4A"/>
          <w:sz w:val="21"/>
          <w:szCs w:val="21"/>
          <w:lang w:eastAsia="en-GB"/>
        </w:rPr>
      </w:pPr>
    </w:p>
    <w:p w14:paraId="702140C6" w14:textId="77777777" w:rsidR="00BE2C0D" w:rsidRPr="00D11F2C" w:rsidRDefault="00BE2C0D" w:rsidP="00D11F2C">
      <w:pPr>
        <w:keepNext/>
        <w:keepLines/>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URL:</w:t>
      </w:r>
    </w:p>
    <w:p w14:paraId="702140C7"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C8"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http://www.intracen.org; www.wto.org; http://unctad.org/en/Pages/Home.aspx</w:t>
      </w:r>
    </w:p>
    <w:p w14:paraId="702140C9"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CA"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b/>
          <w:bCs/>
          <w:color w:val="4A4A4A"/>
          <w:sz w:val="21"/>
          <w:szCs w:val="21"/>
          <w:lang w:eastAsia="en-GB"/>
        </w:rPr>
        <w:t>References:</w:t>
      </w:r>
    </w:p>
    <w:p w14:paraId="702140CB"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CC"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The calculation of trade in goods statistics is based on well-established international and national practices.</w:t>
      </w:r>
    </w:p>
    <w:p w14:paraId="702140CD"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CE"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For trade in goods refer to the manual on International Merchandise Trade Statistics (IMTS) http://unstats.un.org/unsd/trade/methodology%20imts.htm</w:t>
      </w:r>
    </w:p>
    <w:p w14:paraId="702140CF"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D0"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For trade in services, refer to the Manual on Statistics of International Trade in Services http://unstats.un.org/unsd/tradeserv/TFSITS/msits2010.htm</w:t>
      </w:r>
    </w:p>
    <w:p w14:paraId="702140D1" w14:textId="77777777" w:rsidR="00BE2C0D" w:rsidRPr="00D11F2C" w:rsidRDefault="00BE2C0D" w:rsidP="00D11F2C">
      <w:pPr>
        <w:shd w:val="clear" w:color="auto" w:fill="FFFFFF"/>
        <w:spacing w:after="0"/>
        <w:rPr>
          <w:rFonts w:eastAsia="Times New Roman" w:cs="Times New Roman"/>
          <w:color w:val="4A4A4A"/>
          <w:sz w:val="21"/>
          <w:szCs w:val="21"/>
          <w:lang w:eastAsia="en-GB"/>
        </w:rPr>
      </w:pPr>
    </w:p>
    <w:p w14:paraId="702140D2" w14:textId="77777777" w:rsidR="00BE2C0D" w:rsidRPr="00D11F2C" w:rsidRDefault="00BE2C0D" w:rsidP="00D11F2C">
      <w:pPr>
        <w:pBdr>
          <w:bottom w:val="single" w:sz="12" w:space="4" w:color="DDDDDD"/>
        </w:pBdr>
        <w:shd w:val="clear" w:color="auto" w:fill="FFFFFF"/>
        <w:spacing w:after="0"/>
        <w:outlineLvl w:val="2"/>
        <w:rPr>
          <w:rFonts w:eastAsia="Times New Roman" w:cs="Times New Roman"/>
          <w:color w:val="1C75BC"/>
          <w:sz w:val="36"/>
          <w:szCs w:val="36"/>
          <w:lang w:eastAsia="en-GB"/>
        </w:rPr>
      </w:pPr>
      <w:r w:rsidRPr="00D11F2C">
        <w:rPr>
          <w:rFonts w:eastAsia="Times New Roman" w:cs="Times New Roman"/>
          <w:color w:val="1C75BC"/>
          <w:sz w:val="36"/>
          <w:szCs w:val="36"/>
          <w:lang w:eastAsia="en-GB"/>
        </w:rPr>
        <w:t>Related indicators as of February 2020</w:t>
      </w:r>
    </w:p>
    <w:p w14:paraId="702140D3" w14:textId="77777777" w:rsidR="00BE2C0D" w:rsidRPr="00D11F2C" w:rsidRDefault="00BE2C0D" w:rsidP="00D11F2C">
      <w:pPr>
        <w:shd w:val="clear" w:color="auto" w:fill="FFFFFF"/>
        <w:spacing w:after="0"/>
        <w:outlineLvl w:val="4"/>
        <w:rPr>
          <w:rFonts w:eastAsia="Times New Roman" w:cs="Times New Roman"/>
          <w:color w:val="1C75BC"/>
          <w:sz w:val="21"/>
          <w:szCs w:val="21"/>
          <w:lang w:eastAsia="en-GB"/>
        </w:rPr>
      </w:pPr>
    </w:p>
    <w:p w14:paraId="702140D4" w14:textId="77777777" w:rsidR="00BE2C0D" w:rsidRPr="00D11F2C" w:rsidRDefault="00BE2C0D" w:rsidP="00D11F2C">
      <w:pPr>
        <w:shd w:val="clear" w:color="auto" w:fill="FFFFFF"/>
        <w:spacing w:after="0"/>
        <w:rPr>
          <w:rFonts w:eastAsia="Times New Roman" w:cs="Times New Roman"/>
          <w:color w:val="4A4A4A"/>
          <w:sz w:val="21"/>
          <w:szCs w:val="21"/>
          <w:lang w:eastAsia="en-GB"/>
        </w:rPr>
      </w:pPr>
      <w:r w:rsidRPr="00D11F2C">
        <w:rPr>
          <w:rFonts w:eastAsia="Times New Roman" w:cs="Times New Roman"/>
          <w:color w:val="4A4A4A"/>
          <w:sz w:val="21"/>
          <w:szCs w:val="21"/>
          <w:lang w:eastAsia="en-GB"/>
        </w:rPr>
        <w:t>Improvements in the transfer of environmental goods and services (target 17.7). If the indicator is disaggregated by level of processing of the traded products (raw materials, semi-processed and processed) or by the level of diversification of the products exported, it could be also used to measure progress in productivity and diversification (target 8.2).</w:t>
      </w:r>
    </w:p>
    <w:p w14:paraId="702140D5" w14:textId="77777777" w:rsidR="00071F07" w:rsidRPr="00D11F2C" w:rsidRDefault="00071F07" w:rsidP="00D11F2C">
      <w:pPr>
        <w:spacing w:after="0"/>
      </w:pPr>
    </w:p>
    <w:sectPr w:rsidR="00071F07" w:rsidRPr="00D11F2C">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DD034" w14:textId="77777777" w:rsidR="001A6582" w:rsidRDefault="001A6582" w:rsidP="001A6582">
      <w:pPr>
        <w:spacing w:after="0" w:line="240" w:lineRule="auto"/>
      </w:pPr>
      <w:r>
        <w:separator/>
      </w:r>
    </w:p>
  </w:endnote>
  <w:endnote w:type="continuationSeparator" w:id="0">
    <w:p w14:paraId="1C908E55" w14:textId="77777777" w:rsidR="001A6582" w:rsidRDefault="001A6582" w:rsidP="001A65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CFBAF" w14:textId="77777777" w:rsidR="001A6582" w:rsidRDefault="001A6582" w:rsidP="001A6582">
      <w:pPr>
        <w:spacing w:after="0" w:line="240" w:lineRule="auto"/>
      </w:pPr>
      <w:r>
        <w:separator/>
      </w:r>
    </w:p>
  </w:footnote>
  <w:footnote w:type="continuationSeparator" w:id="0">
    <w:p w14:paraId="7B000A97" w14:textId="77777777" w:rsidR="001A6582" w:rsidRDefault="001A6582" w:rsidP="001A65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49070" w14:textId="77777777" w:rsidR="001A6582" w:rsidRPr="00B071C0" w:rsidRDefault="001A6582" w:rsidP="001A6582">
    <w:pPr>
      <w:pStyle w:val="Header"/>
      <w:jc w:val="right"/>
      <w:rPr>
        <w:color w:val="595959" w:themeColor="text1" w:themeTint="A6"/>
        <w:sz w:val="18"/>
        <w:szCs w:val="18"/>
      </w:rPr>
    </w:pPr>
    <w:bookmarkStart w:id="1" w:name="_Hlk532729630"/>
    <w:r>
      <w:rPr>
        <w:color w:val="595959" w:themeColor="text1" w:themeTint="A6"/>
        <w:sz w:val="18"/>
        <w:szCs w:val="18"/>
      </w:rPr>
      <w:t>Last updated: 19 July 2016</w:t>
    </w:r>
  </w:p>
  <w:bookmarkEnd w:id="1"/>
  <w:p w14:paraId="4D61F150" w14:textId="77777777" w:rsidR="001A6582" w:rsidRDefault="001A6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8050E7"/>
    <w:multiLevelType w:val="multilevel"/>
    <w:tmpl w:val="F82C6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2C0D"/>
    <w:rsid w:val="000070BA"/>
    <w:rsid w:val="00047DDA"/>
    <w:rsid w:val="00071F07"/>
    <w:rsid w:val="0007759D"/>
    <w:rsid w:val="000777AB"/>
    <w:rsid w:val="00090FB1"/>
    <w:rsid w:val="00096186"/>
    <w:rsid w:val="000A72E4"/>
    <w:rsid w:val="000B0E2F"/>
    <w:rsid w:val="000B2430"/>
    <w:rsid w:val="000D0B30"/>
    <w:rsid w:val="000F703E"/>
    <w:rsid w:val="00120E86"/>
    <w:rsid w:val="00125DE9"/>
    <w:rsid w:val="00134DE7"/>
    <w:rsid w:val="00185354"/>
    <w:rsid w:val="001854DC"/>
    <w:rsid w:val="00194D09"/>
    <w:rsid w:val="001A6582"/>
    <w:rsid w:val="001C421F"/>
    <w:rsid w:val="001D360D"/>
    <w:rsid w:val="00261A8D"/>
    <w:rsid w:val="00283C1C"/>
    <w:rsid w:val="00291A00"/>
    <w:rsid w:val="00291A11"/>
    <w:rsid w:val="002A3342"/>
    <w:rsid w:val="002A64BA"/>
    <w:rsid w:val="002B4989"/>
    <w:rsid w:val="002D714E"/>
    <w:rsid w:val="002E53C3"/>
    <w:rsid w:val="00343FAA"/>
    <w:rsid w:val="00353C98"/>
    <w:rsid w:val="003A7CEA"/>
    <w:rsid w:val="003F0BD3"/>
    <w:rsid w:val="004456ED"/>
    <w:rsid w:val="004B0F1C"/>
    <w:rsid w:val="005040C4"/>
    <w:rsid w:val="00507637"/>
    <w:rsid w:val="00514DBF"/>
    <w:rsid w:val="00550921"/>
    <w:rsid w:val="00597748"/>
    <w:rsid w:val="005D0AF4"/>
    <w:rsid w:val="005F6CCA"/>
    <w:rsid w:val="006104AF"/>
    <w:rsid w:val="006351E1"/>
    <w:rsid w:val="006852FC"/>
    <w:rsid w:val="006B40AB"/>
    <w:rsid w:val="006B5DC5"/>
    <w:rsid w:val="006E3C08"/>
    <w:rsid w:val="00700ACF"/>
    <w:rsid w:val="00712487"/>
    <w:rsid w:val="007530CA"/>
    <w:rsid w:val="007578D9"/>
    <w:rsid w:val="00763E43"/>
    <w:rsid w:val="00764EB5"/>
    <w:rsid w:val="00777A95"/>
    <w:rsid w:val="007D0981"/>
    <w:rsid w:val="007D1929"/>
    <w:rsid w:val="008249C5"/>
    <w:rsid w:val="008526F9"/>
    <w:rsid w:val="00881E28"/>
    <w:rsid w:val="00894C4B"/>
    <w:rsid w:val="008A12E3"/>
    <w:rsid w:val="008A42FA"/>
    <w:rsid w:val="008C2335"/>
    <w:rsid w:val="008C67C1"/>
    <w:rsid w:val="00917F65"/>
    <w:rsid w:val="009311E7"/>
    <w:rsid w:val="009A7E3A"/>
    <w:rsid w:val="009B1265"/>
    <w:rsid w:val="009B5693"/>
    <w:rsid w:val="009D687E"/>
    <w:rsid w:val="009F6DE7"/>
    <w:rsid w:val="00A37FCB"/>
    <w:rsid w:val="00A54863"/>
    <w:rsid w:val="00A9286F"/>
    <w:rsid w:val="00AF71D6"/>
    <w:rsid w:val="00B3175F"/>
    <w:rsid w:val="00B402D8"/>
    <w:rsid w:val="00B4237C"/>
    <w:rsid w:val="00B52AFD"/>
    <w:rsid w:val="00BB646E"/>
    <w:rsid w:val="00BE2C0D"/>
    <w:rsid w:val="00C43F5B"/>
    <w:rsid w:val="00CB4371"/>
    <w:rsid w:val="00D11F2C"/>
    <w:rsid w:val="00D40056"/>
    <w:rsid w:val="00D72152"/>
    <w:rsid w:val="00D94BA5"/>
    <w:rsid w:val="00D9510F"/>
    <w:rsid w:val="00DE5DC3"/>
    <w:rsid w:val="00E00D8A"/>
    <w:rsid w:val="00E11D92"/>
    <w:rsid w:val="00E130A0"/>
    <w:rsid w:val="00E210C4"/>
    <w:rsid w:val="00E66409"/>
    <w:rsid w:val="00E81D5B"/>
    <w:rsid w:val="00EB19AD"/>
    <w:rsid w:val="00EB6493"/>
    <w:rsid w:val="00ED05A9"/>
    <w:rsid w:val="00F17257"/>
    <w:rsid w:val="00F34D24"/>
    <w:rsid w:val="00F556A2"/>
    <w:rsid w:val="00F878B9"/>
    <w:rsid w:val="00FB24E8"/>
    <w:rsid w:val="00FC18DA"/>
    <w:rsid w:val="00FD60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4051"/>
  <w15:docId w15:val="{7AD912EC-7ED2-47EF-BD83-97B770FC3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2C0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2C0D"/>
    <w:rPr>
      <w:rFonts w:asciiTheme="majorHAnsi" w:eastAsiaTheme="majorEastAsia" w:hAnsiTheme="majorHAnsi" w:cstheme="majorBidi"/>
      <w:b/>
      <w:bCs/>
      <w:color w:val="365F91" w:themeColor="accent1" w:themeShade="BF"/>
      <w:sz w:val="28"/>
      <w:szCs w:val="28"/>
      <w:lang w:eastAsia="en-US"/>
    </w:rPr>
  </w:style>
  <w:style w:type="paragraph" w:styleId="Header">
    <w:name w:val="header"/>
    <w:basedOn w:val="Normal"/>
    <w:link w:val="HeaderChar"/>
    <w:uiPriority w:val="99"/>
    <w:unhideWhenUsed/>
    <w:rsid w:val="001A65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A6582"/>
  </w:style>
  <w:style w:type="paragraph" w:styleId="Footer">
    <w:name w:val="footer"/>
    <w:basedOn w:val="Normal"/>
    <w:link w:val="FooterChar"/>
    <w:uiPriority w:val="99"/>
    <w:unhideWhenUsed/>
    <w:rsid w:val="001A65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A65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1164</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Chunhong Liu</dc:creator>
  <cp:lastModifiedBy>Zin Lin</cp:lastModifiedBy>
  <cp:revision>3</cp:revision>
  <dcterms:created xsi:type="dcterms:W3CDTF">2016-07-15T17:38:00Z</dcterms:created>
  <dcterms:modified xsi:type="dcterms:W3CDTF">2018-12-16T20:48:00Z</dcterms:modified>
</cp:coreProperties>
</file>